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6"/>
          <w:szCs w:val="36"/>
        </w:rPr>
      </w:pPr>
      <w:bookmarkStart w:id="0" w:name="_Hlk57883707"/>
    </w:p>
    <w:p>
      <w:pPr>
        <w:rPr>
          <w:rFonts w:eastAsia="仿宋_GB2312"/>
          <w:sz w:val="36"/>
          <w:szCs w:val="36"/>
        </w:rPr>
      </w:pPr>
    </w:p>
    <w:p>
      <w:pPr>
        <w:rPr>
          <w:rFonts w:eastAsia="仿宋_GB2312"/>
          <w:sz w:val="36"/>
          <w:szCs w:val="36"/>
        </w:rPr>
      </w:pPr>
    </w:p>
    <w:p>
      <w:pPr>
        <w:rPr>
          <w:rFonts w:eastAsia="仿宋_GB2312"/>
          <w:sz w:val="36"/>
          <w:szCs w:val="36"/>
        </w:rPr>
      </w:pPr>
    </w:p>
    <w:bookmarkEnd w:id="0"/>
    <w:p>
      <w:pPr>
        <w:adjustRightInd w:val="0"/>
        <w:snapToGrid w:val="0"/>
        <w:jc w:val="center"/>
        <w:outlineLvl w:val="0"/>
        <w:rPr>
          <w:rFonts w:eastAsia="方正小标宋_GBK"/>
          <w:bCs/>
          <w:sz w:val="72"/>
          <w:szCs w:val="72"/>
        </w:rPr>
      </w:pPr>
      <w:bookmarkStart w:id="1" w:name="_Toc28731"/>
      <w:bookmarkStart w:id="2" w:name="_Toc25982"/>
      <w:r>
        <w:rPr>
          <w:rFonts w:eastAsia="方正小标宋_GBK"/>
          <w:bCs/>
          <w:sz w:val="72"/>
          <w:szCs w:val="72"/>
        </w:rPr>
        <w:t>建设项目环境影响报告表</w:t>
      </w:r>
      <w:bookmarkEnd w:id="1"/>
      <w:bookmarkEnd w:id="2"/>
    </w:p>
    <w:p>
      <w:pPr>
        <w:adjustRightInd w:val="0"/>
        <w:snapToGrid w:val="0"/>
        <w:spacing w:before="192" w:beforeLines="80"/>
        <w:jc w:val="center"/>
        <w:rPr>
          <w:rFonts w:eastAsia="楷体_GB2312"/>
          <w:bCs/>
          <w:sz w:val="48"/>
          <w:szCs w:val="48"/>
        </w:rPr>
      </w:pPr>
      <w:r>
        <w:rPr>
          <w:rFonts w:eastAsia="楷体_GB2312"/>
          <w:bCs/>
          <w:sz w:val="48"/>
          <w:szCs w:val="48"/>
        </w:rPr>
        <w:t>（生态影响类）</w:t>
      </w:r>
    </w:p>
    <w:p>
      <w:pPr>
        <w:adjustRightInd w:val="0"/>
        <w:snapToGrid w:val="0"/>
        <w:spacing w:line="288" w:lineRule="auto"/>
        <w:jc w:val="center"/>
        <w:outlineLvl w:val="9"/>
        <w:rPr>
          <w:rFonts w:eastAsia="华文仿宋"/>
          <w:color w:val="000000"/>
          <w:kern w:val="44"/>
          <w:sz w:val="44"/>
          <w:szCs w:val="44"/>
          <w:highlight w:val="yellow"/>
        </w:rPr>
      </w:pPr>
      <w:bookmarkStart w:id="3" w:name="_Hlk57883728"/>
    </w:p>
    <w:p>
      <w:pPr>
        <w:jc w:val="center"/>
        <w:rPr>
          <w:rFonts w:eastAsia="仿宋"/>
          <w:sz w:val="52"/>
          <w:szCs w:val="52"/>
          <w:highlight w:val="yellow"/>
        </w:rPr>
      </w:pPr>
    </w:p>
    <w:p>
      <w:pPr>
        <w:ind w:firstLine="1040"/>
        <w:rPr>
          <w:rFonts w:eastAsia="仿宋"/>
          <w:sz w:val="44"/>
          <w:szCs w:val="44"/>
          <w:highlight w:val="yellow"/>
        </w:rPr>
      </w:pPr>
    </w:p>
    <w:p>
      <w:pPr>
        <w:ind w:firstLine="1040"/>
        <w:rPr>
          <w:rFonts w:eastAsia="仿宋"/>
          <w:sz w:val="44"/>
          <w:szCs w:val="44"/>
          <w:highlight w:val="yellow"/>
        </w:rPr>
      </w:pPr>
    </w:p>
    <w:p>
      <w:pPr>
        <w:ind w:firstLine="1040"/>
        <w:rPr>
          <w:rFonts w:eastAsia="仿宋"/>
          <w:sz w:val="44"/>
          <w:szCs w:val="44"/>
          <w:highlight w:val="yellow"/>
        </w:rPr>
      </w:pPr>
    </w:p>
    <w:p>
      <w:pPr>
        <w:ind w:firstLine="1040"/>
        <w:rPr>
          <w:rFonts w:eastAsia="仿宋"/>
          <w:sz w:val="44"/>
          <w:szCs w:val="44"/>
          <w:highlight w:val="yellow"/>
        </w:rPr>
      </w:pPr>
    </w:p>
    <w:p>
      <w:pPr>
        <w:pStyle w:val="106"/>
        <w:ind w:left="0" w:leftChars="0" w:firstLine="0" w:firstLineChars="0"/>
        <w:rPr>
          <w:rFonts w:eastAsia="仿宋"/>
          <w:sz w:val="44"/>
          <w:szCs w:val="44"/>
          <w:highlight w:val="yellow"/>
        </w:rPr>
      </w:pPr>
    </w:p>
    <w:p>
      <w:pPr>
        <w:ind w:firstLine="1040"/>
        <w:jc w:val="center"/>
        <w:rPr>
          <w:rFonts w:eastAsia="仿宋"/>
          <w:sz w:val="44"/>
          <w:szCs w:val="44"/>
          <w:highlight w:val="yellow"/>
        </w:rPr>
      </w:pPr>
    </w:p>
    <w:bookmarkEnd w:id="3"/>
    <w:p>
      <w:pPr>
        <w:adjustRightInd w:val="0"/>
        <w:snapToGrid w:val="0"/>
        <w:spacing w:line="360" w:lineRule="auto"/>
        <w:jc w:val="center"/>
        <w:rPr>
          <w:rFonts w:hint="eastAsia" w:eastAsia="仿宋_GB2312"/>
          <w:sz w:val="30"/>
          <w:szCs w:val="30"/>
          <w:u w:val="single"/>
          <w:lang w:val="en-US" w:eastAsia="zh-CN"/>
        </w:rPr>
      </w:pPr>
      <w:r>
        <w:rPr>
          <w:rFonts w:eastAsia="仿宋_GB2312"/>
          <w:sz w:val="30"/>
          <w:szCs w:val="30"/>
        </w:rPr>
        <w:t>项目名称</w:t>
      </w:r>
      <w:r>
        <w:rPr>
          <w:rFonts w:hint="eastAsia" w:eastAsia="仿宋_GB2312"/>
          <w:sz w:val="30"/>
          <w:szCs w:val="30"/>
          <w:lang w:eastAsia="zh-CN"/>
        </w:rPr>
        <w:t>：</w:t>
      </w:r>
      <w:r>
        <w:rPr>
          <w:rFonts w:hint="eastAsia" w:eastAsia="仿宋_GB2312"/>
          <w:sz w:val="30"/>
          <w:szCs w:val="30"/>
          <w:u w:val="single"/>
          <w:lang w:val="en-US" w:eastAsia="zh-CN"/>
        </w:rPr>
        <w:t>东乡县振东盈峰舀水建材厂项目</w:t>
      </w:r>
    </w:p>
    <w:p>
      <w:pPr>
        <w:adjustRightInd w:val="0"/>
        <w:snapToGrid w:val="0"/>
        <w:spacing w:line="360" w:lineRule="auto"/>
        <w:jc w:val="center"/>
        <w:rPr>
          <w:rFonts w:hint="eastAsia" w:eastAsia="仿宋_GB2312"/>
          <w:sz w:val="30"/>
          <w:szCs w:val="30"/>
          <w:u w:val="single"/>
        </w:rPr>
      </w:pPr>
      <w:r>
        <w:rPr>
          <w:rFonts w:eastAsia="仿宋_GB2312"/>
          <w:sz w:val="30"/>
          <w:szCs w:val="30"/>
        </w:rPr>
        <w:t>建设单位（盖章）：</w:t>
      </w:r>
      <w:r>
        <w:rPr>
          <w:rFonts w:hint="eastAsia" w:eastAsia="仿宋_GB2312"/>
          <w:sz w:val="30"/>
          <w:szCs w:val="30"/>
          <w:u w:val="single"/>
          <w:lang w:val="en-US" w:eastAsia="zh-CN"/>
        </w:rPr>
        <w:t>东乡族自治县振东盈峰建筑材料有限公司</w:t>
      </w:r>
    </w:p>
    <w:p>
      <w:pPr>
        <w:adjustRightInd w:val="0"/>
        <w:snapToGrid w:val="0"/>
        <w:spacing w:line="360" w:lineRule="auto"/>
        <w:ind w:firstLine="2700" w:firstLineChars="900"/>
        <w:jc w:val="left"/>
        <w:rPr>
          <w:rFonts w:eastAsia="仿宋_GB2312"/>
          <w:sz w:val="30"/>
          <w:szCs w:val="30"/>
          <w:u w:val="single"/>
        </w:rPr>
      </w:pPr>
      <w:r>
        <w:rPr>
          <w:rFonts w:eastAsia="仿宋_GB2312"/>
          <w:sz w:val="30"/>
          <w:szCs w:val="30"/>
        </w:rPr>
        <w:t>编制日期：</w:t>
      </w:r>
      <w:r>
        <w:rPr>
          <w:rFonts w:hint="eastAsia" w:eastAsia="仿宋_GB2312"/>
          <w:sz w:val="30"/>
          <w:szCs w:val="30"/>
          <w:u w:val="single"/>
        </w:rPr>
        <w:t>二〇</w:t>
      </w:r>
      <w:r>
        <w:rPr>
          <w:rFonts w:eastAsia="仿宋_GB2312"/>
          <w:sz w:val="30"/>
          <w:szCs w:val="30"/>
          <w:u w:val="single"/>
        </w:rPr>
        <w:t>二</w:t>
      </w:r>
      <w:r>
        <w:rPr>
          <w:rFonts w:hint="eastAsia" w:eastAsia="仿宋_GB2312"/>
          <w:sz w:val="30"/>
          <w:szCs w:val="30"/>
          <w:u w:val="single"/>
          <w:lang w:eastAsia="zh-CN"/>
        </w:rPr>
        <w:t>二</w:t>
      </w:r>
      <w:r>
        <w:rPr>
          <w:rFonts w:hint="eastAsia" w:eastAsia="仿宋_GB2312"/>
          <w:sz w:val="30"/>
          <w:szCs w:val="30"/>
          <w:u w:val="single"/>
        </w:rPr>
        <w:t>年</w:t>
      </w:r>
      <w:r>
        <w:rPr>
          <w:rFonts w:hint="eastAsia" w:eastAsia="仿宋_GB2312"/>
          <w:sz w:val="30"/>
          <w:szCs w:val="30"/>
          <w:u w:val="single"/>
          <w:lang w:val="en-US" w:eastAsia="zh-CN"/>
        </w:rPr>
        <w:t>三</w:t>
      </w:r>
      <w:r>
        <w:rPr>
          <w:rFonts w:hint="eastAsia" w:eastAsia="仿宋_GB2312"/>
          <w:sz w:val="30"/>
          <w:szCs w:val="30"/>
          <w:u w:val="single"/>
        </w:rPr>
        <w:t>月</w:t>
      </w:r>
    </w:p>
    <w:p>
      <w:pPr>
        <w:adjustRightInd w:val="0"/>
        <w:snapToGrid w:val="0"/>
        <w:spacing w:line="288" w:lineRule="auto"/>
        <w:ind w:firstLine="1040"/>
        <w:rPr>
          <w:rFonts w:eastAsia="仿宋_GB2312"/>
          <w:sz w:val="36"/>
          <w:szCs w:val="36"/>
          <w:highlight w:val="yellow"/>
          <w:u w:val="single"/>
        </w:rPr>
      </w:pPr>
    </w:p>
    <w:p>
      <w:pPr>
        <w:adjustRightInd w:val="0"/>
        <w:snapToGrid w:val="0"/>
        <w:spacing w:line="288" w:lineRule="auto"/>
        <w:ind w:firstLine="1040"/>
        <w:rPr>
          <w:rFonts w:hint="eastAsia" w:eastAsia="仿宋_GB2312"/>
          <w:sz w:val="36"/>
          <w:szCs w:val="36"/>
          <w:highlight w:val="yellow"/>
        </w:rPr>
      </w:pPr>
    </w:p>
    <w:p>
      <w:pPr>
        <w:adjustRightInd w:val="0"/>
        <w:snapToGrid w:val="0"/>
        <w:spacing w:line="288" w:lineRule="auto"/>
        <w:ind w:firstLine="1040"/>
        <w:rPr>
          <w:rFonts w:hint="eastAsia" w:eastAsia="仿宋_GB2312"/>
          <w:sz w:val="36"/>
          <w:szCs w:val="36"/>
          <w:highlight w:val="yellow"/>
        </w:rPr>
      </w:pPr>
    </w:p>
    <w:p>
      <w:pPr>
        <w:adjustRightInd w:val="0"/>
        <w:snapToGrid w:val="0"/>
        <w:spacing w:line="288" w:lineRule="auto"/>
        <w:ind w:firstLine="1040"/>
        <w:rPr>
          <w:rFonts w:eastAsia="仿宋_GB2312"/>
          <w:sz w:val="36"/>
          <w:szCs w:val="36"/>
          <w:highlight w:val="yellow"/>
        </w:rPr>
      </w:pPr>
    </w:p>
    <w:p>
      <w:pPr>
        <w:adjustRightInd w:val="0"/>
        <w:snapToGrid w:val="0"/>
        <w:spacing w:line="288" w:lineRule="auto"/>
        <w:jc w:val="center"/>
        <w:rPr>
          <w:rFonts w:hint="default" w:eastAsia="仿宋_GB2312"/>
          <w:sz w:val="36"/>
          <w:szCs w:val="36"/>
          <w:highlight w:val="yellow"/>
          <w:lang w:val="en-US"/>
        </w:rPr>
        <w:sectPr>
          <w:headerReference r:id="rId3" w:type="default"/>
          <w:footerReference r:id="rId4" w:type="default"/>
          <w:footerReference r:id="rId5" w:type="even"/>
          <w:pgSz w:w="11906" w:h="16838"/>
          <w:pgMar w:top="1701" w:right="1588" w:bottom="1701" w:left="1588" w:header="1134" w:footer="1134" w:gutter="0"/>
          <w:pgBorders>
            <w:top w:val="none" w:sz="0" w:space="0"/>
            <w:left w:val="none" w:sz="0" w:space="0"/>
            <w:bottom w:val="none" w:sz="0" w:space="0"/>
            <w:right w:val="none" w:sz="0" w:space="0"/>
          </w:pgBorders>
          <w:pgNumType w:fmt="numberInDash" w:start="1"/>
          <w:cols w:space="720" w:num="1"/>
          <w:titlePg/>
          <w:docGrid w:linePitch="312" w:charSpace="0"/>
        </w:sectPr>
      </w:pPr>
      <w:r>
        <w:rPr>
          <w:rFonts w:eastAsia="楷体_GB2312"/>
          <w:sz w:val="36"/>
          <w:szCs w:val="36"/>
        </w:rPr>
        <w:t>中华人民共和国生态环境部制</w:t>
      </w:r>
      <w:r>
        <w:rPr>
          <w:rFonts w:hint="eastAsia" w:eastAsia="仿宋_GB2312"/>
          <w:sz w:val="36"/>
          <w:szCs w:val="36"/>
        </w:rPr>
        <mc:AlternateContent>
          <mc:Choice Requires="wps">
            <w:drawing>
              <wp:anchor distT="0" distB="0" distL="114300" distR="114300" simplePos="0" relativeHeight="251659264" behindDoc="0" locked="0" layoutInCell="1" allowOverlap="1">
                <wp:simplePos x="0" y="0"/>
                <wp:positionH relativeFrom="column">
                  <wp:posOffset>2582545</wp:posOffset>
                </wp:positionH>
                <wp:positionV relativeFrom="paragraph">
                  <wp:posOffset>511810</wp:posOffset>
                </wp:positionV>
                <wp:extent cx="428625" cy="314325"/>
                <wp:effectExtent l="0" t="0" r="9525" b="9525"/>
                <wp:wrapNone/>
                <wp:docPr id="1" name="文本框 162"/>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rgbClr val="FFFFFF"/>
                        </a:solidFill>
                        <a:ln>
                          <a:noFill/>
                        </a:ln>
                      </wps:spPr>
                      <wps:txbx>
                        <w:txbxContent>
                          <w:p/>
                        </w:txbxContent>
                      </wps:txbx>
                      <wps:bodyPr wrap="square" upright="1"/>
                    </wps:wsp>
                  </a:graphicData>
                </a:graphic>
              </wp:anchor>
            </w:drawing>
          </mc:Choice>
          <mc:Fallback>
            <w:pict>
              <v:shape id="文本框 162" o:spid="_x0000_s1026" o:spt="202" type="#_x0000_t202" style="position:absolute;left:0pt;margin-left:203.35pt;margin-top:40.3pt;height:24.75pt;width:33.75pt;z-index:251659264;mso-width-relative:page;mso-height-relative:page;" fillcolor="#FFFFFF" filled="t" stroked="f" coordsize="21600,21600" o:gfxdata="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iJTs2AAAAAoBAAAPAAAAAAAAAAEAIAAAACIAAABkcnMv&#10;ZG93bnJldi54bWxQSwECFAAUAAAACACHTuJAXaWgtsoBAACGAwAADgAAAAAAAAABACAAAAAnAQAA&#10;ZHJzL2Uyb0RvYy54bWxQSwUGAAAAAAYABgBZAQAAYwUAAAAA&#10;">
                <v:fill on="t" focussize="0,0"/>
                <v:stroke on="f"/>
                <v:imagedata o:title=""/>
                <o:lock v:ext="edit" aspectratio="f"/>
                <v:textbox>
                  <w:txbxContent>
                    <w:p/>
                  </w:txbxContent>
                </v:textbox>
              </v:shape>
            </w:pict>
          </mc:Fallback>
        </mc:AlternateContent>
      </w:r>
      <w:r>
        <w:rPr>
          <w:rFonts w:eastAsia="仿宋_GB2312"/>
          <w:sz w:val="36"/>
          <w:szCs w:val="36"/>
        </w:rPr>
        <mc:AlternateContent>
          <mc:Choice Requires="wps">
            <w:drawing>
              <wp:anchor distT="0" distB="0" distL="114300" distR="114300" simplePos="0" relativeHeight="251660288" behindDoc="0" locked="0" layoutInCell="1" allowOverlap="1">
                <wp:simplePos x="0" y="0"/>
                <wp:positionH relativeFrom="column">
                  <wp:posOffset>2544445</wp:posOffset>
                </wp:positionH>
                <wp:positionV relativeFrom="paragraph">
                  <wp:posOffset>8395970</wp:posOffset>
                </wp:positionV>
                <wp:extent cx="428625" cy="314325"/>
                <wp:effectExtent l="0" t="0" r="9525" b="9525"/>
                <wp:wrapNone/>
                <wp:docPr id="2" name="文本框 163"/>
                <wp:cNvGraphicFramePr/>
                <a:graphic xmlns:a="http://schemas.openxmlformats.org/drawingml/2006/main">
                  <a:graphicData uri="http://schemas.microsoft.com/office/word/2010/wordprocessingShape">
                    <wps:wsp>
                      <wps:cNvSpPr txBox="1"/>
                      <wps:spPr>
                        <a:xfrm>
                          <a:off x="0" y="0"/>
                          <a:ext cx="428625" cy="314325"/>
                        </a:xfrm>
                        <a:prstGeom prst="rect">
                          <a:avLst/>
                        </a:prstGeom>
                        <a:solidFill>
                          <a:srgbClr val="FFFFFF"/>
                        </a:solidFill>
                        <a:ln>
                          <a:noFill/>
                        </a:ln>
                      </wps:spPr>
                      <wps:txbx>
                        <w:txbxContent>
                          <w:p/>
                        </w:txbxContent>
                      </wps:txbx>
                      <wps:bodyPr wrap="square" upright="1"/>
                    </wps:wsp>
                  </a:graphicData>
                </a:graphic>
              </wp:anchor>
            </w:drawing>
          </mc:Choice>
          <mc:Fallback>
            <w:pict>
              <v:shape id="文本框 163" o:spid="_x0000_s1026" o:spt="202" type="#_x0000_t202" style="position:absolute;left:0pt;margin-left:200.35pt;margin-top:661.1pt;height:24.75pt;width:33.75pt;z-index:251660288;mso-width-relative:page;mso-height-relative:page;" fillcolor="#FFFFFF" filled="t" stroked="f" coordsize="21600,21600" o:gfxdata="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&#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oSt7n2QAAAA0BAAAPAAAAAAAAAAEAIAAAACIAAABk&#10;cnMvZG93bnJldi54bWxQSwECFAAUAAAACACHTuJARa3WaswBAACGAwAADgAAAAAAAAABACAAAAAo&#10;AQAAZHJzL2Uyb0RvYy54bWxQSwUGAAAAAAYABgBZAQAAZgUAAAAA&#10;">
                <v:fill on="t" focussize="0,0"/>
                <v:stroke on="f"/>
                <v:imagedata o:title=""/>
                <o:lock v:ext="edit" aspectratio="f"/>
                <v:textbox>
                  <w:txbxContent>
                    <w:p/>
                  </w:txbxContent>
                </v:textbox>
              </v:shape>
            </w:pict>
          </mc:Fallback>
        </mc:AlternateContent>
      </w:r>
    </w:p>
    <w:p>
      <w:pPr>
        <w:pStyle w:val="25"/>
        <w:adjustRightInd w:val="0"/>
        <w:snapToGrid w:val="0"/>
        <w:spacing w:before="0" w:beforeAutospacing="0" w:after="0" w:afterAutospacing="0" w:line="360" w:lineRule="auto"/>
        <w:jc w:val="both"/>
        <w:outlineLvl w:val="0"/>
        <w:rPr>
          <w:rFonts w:ascii="Times New Roman" w:hAnsi="Times New Roman" w:eastAsia="黑体"/>
          <w:snapToGrid w:val="0"/>
          <w:sz w:val="30"/>
          <w:szCs w:val="30"/>
        </w:rPr>
      </w:pPr>
      <w:bookmarkStart w:id="4" w:name="_Toc16530"/>
      <w:r>
        <w:rPr>
          <w:rFonts w:ascii="Times New Roman" w:hAnsi="黑体" w:eastAsia="黑体"/>
          <w:snapToGrid w:val="0"/>
          <w:sz w:val="30"/>
          <w:szCs w:val="30"/>
        </w:rPr>
        <w:t>一、建设项目基本情况</w:t>
      </w:r>
      <w:bookmarkEnd w:id="4"/>
    </w:p>
    <w:tbl>
      <w:tblPr>
        <w:tblStyle w:val="28"/>
        <w:tblW w:w="895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87"/>
        <w:gridCol w:w="1515"/>
        <w:gridCol w:w="2154"/>
        <w:gridCol w:w="1251"/>
        <w:gridCol w:w="609"/>
        <w:gridCol w:w="29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rFonts w:hAnsi="宋体"/>
                <w:sz w:val="24"/>
              </w:rPr>
              <w:t>建设项目名称</w:t>
            </w:r>
          </w:p>
        </w:tc>
        <w:tc>
          <w:tcPr>
            <w:tcW w:w="6949" w:type="dxa"/>
            <w:gridSpan w:val="4"/>
            <w:noWrap w:val="0"/>
            <w:vAlign w:val="center"/>
          </w:tcPr>
          <w:p>
            <w:pPr>
              <w:adjustRightInd w:val="0"/>
              <w:snapToGrid w:val="0"/>
              <w:jc w:val="center"/>
              <w:rPr>
                <w:rFonts w:hint="default" w:eastAsia="宋体"/>
                <w:sz w:val="24"/>
                <w:lang w:val="en-US" w:eastAsia="zh-CN"/>
              </w:rPr>
            </w:pPr>
            <w:r>
              <w:rPr>
                <w:rFonts w:hint="eastAsia"/>
                <w:sz w:val="24"/>
                <w:lang w:val="en-US" w:eastAsia="zh-CN"/>
              </w:rPr>
              <w:t>东乡县振东盈峰舀水建材厂项目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rFonts w:hAnsi="宋体"/>
                <w:sz w:val="24"/>
              </w:rPr>
              <w:t>项目代码</w:t>
            </w:r>
          </w:p>
        </w:tc>
        <w:tc>
          <w:tcPr>
            <w:tcW w:w="6949" w:type="dxa"/>
            <w:gridSpan w:val="4"/>
            <w:noWrap w:val="0"/>
            <w:vAlign w:val="center"/>
          </w:tcPr>
          <w:p>
            <w:pPr>
              <w:adjustRightInd w:val="0"/>
              <w:snapToGrid w:val="0"/>
              <w:jc w:val="center"/>
              <w:rPr>
                <w:rFonts w:hint="default" w:eastAsia="宋体"/>
                <w:sz w:val="24"/>
                <w:highlight w:val="yellow"/>
                <w:lang w:val="en-US" w:eastAsia="zh-CN"/>
              </w:rPr>
            </w:pPr>
            <w:r>
              <w:rPr>
                <w:rFonts w:hint="eastAsia"/>
                <w:sz w:val="24"/>
                <w:highlight w:val="none"/>
                <w:lang w:val="en-US" w:eastAsia="zh-CN"/>
              </w:rPr>
              <w:t>2203-622926-04-01-909910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rFonts w:hAnsi="宋体"/>
                <w:sz w:val="24"/>
              </w:rPr>
              <w:t>建设单位联系人</w:t>
            </w:r>
          </w:p>
        </w:tc>
        <w:tc>
          <w:tcPr>
            <w:tcW w:w="2154" w:type="dxa"/>
            <w:noWrap w:val="0"/>
            <w:vAlign w:val="center"/>
          </w:tcPr>
          <w:p>
            <w:pPr>
              <w:adjustRightInd w:val="0"/>
              <w:snapToGrid w:val="0"/>
              <w:jc w:val="center"/>
              <w:rPr>
                <w:rFonts w:hint="default" w:eastAsia="宋体"/>
                <w:sz w:val="24"/>
                <w:lang w:val="en-US" w:eastAsia="zh-CN"/>
              </w:rPr>
            </w:pPr>
            <w:r>
              <w:rPr>
                <w:rFonts w:hint="eastAsia" w:ascii="Times New Roman" w:hAnsi="Times New Roman" w:cs="Times New Roman"/>
                <w:sz w:val="24"/>
                <w:szCs w:val="24"/>
                <w:lang w:val="en-US" w:eastAsia="zh-CN"/>
              </w:rPr>
              <w:t>马正山</w:t>
            </w:r>
          </w:p>
        </w:tc>
        <w:tc>
          <w:tcPr>
            <w:tcW w:w="1251" w:type="dxa"/>
            <w:noWrap w:val="0"/>
            <w:vAlign w:val="center"/>
          </w:tcPr>
          <w:p>
            <w:pPr>
              <w:adjustRightInd w:val="0"/>
              <w:snapToGrid w:val="0"/>
              <w:jc w:val="center"/>
              <w:rPr>
                <w:sz w:val="24"/>
              </w:rPr>
            </w:pPr>
            <w:r>
              <w:rPr>
                <w:rFonts w:hAnsi="宋体"/>
                <w:sz w:val="24"/>
              </w:rPr>
              <w:t>联系方式</w:t>
            </w:r>
          </w:p>
        </w:tc>
        <w:tc>
          <w:tcPr>
            <w:tcW w:w="3544" w:type="dxa"/>
            <w:gridSpan w:val="2"/>
            <w:noWrap w:val="0"/>
            <w:vAlign w:val="center"/>
          </w:tcPr>
          <w:p>
            <w:pPr>
              <w:adjustRightInd w:val="0"/>
              <w:snapToGrid w:val="0"/>
              <w:jc w:val="center"/>
              <w:rPr>
                <w:rFonts w:hint="default" w:eastAsia="宋体"/>
                <w:sz w:val="24"/>
                <w:lang w:val="en-US" w:eastAsia="zh-CN"/>
              </w:rPr>
            </w:pPr>
            <w:r>
              <w:rPr>
                <w:rFonts w:hint="eastAsia"/>
                <w:sz w:val="24"/>
                <w:lang w:val="en-US" w:eastAsia="zh-CN"/>
              </w:rPr>
              <w:t>13993067782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rFonts w:hAnsi="宋体"/>
                <w:sz w:val="24"/>
              </w:rPr>
              <w:t>建设地点</w:t>
            </w:r>
          </w:p>
        </w:tc>
        <w:tc>
          <w:tcPr>
            <w:tcW w:w="6949" w:type="dxa"/>
            <w:gridSpan w:val="4"/>
            <w:noWrap w:val="0"/>
            <w:vAlign w:val="center"/>
          </w:tcPr>
          <w:p>
            <w:pPr>
              <w:adjustRightInd w:val="0"/>
              <w:snapToGrid w:val="0"/>
              <w:jc w:val="center"/>
              <w:rPr>
                <w:rFonts w:hint="eastAsia" w:eastAsia="宋体"/>
                <w:sz w:val="24"/>
                <w:highlight w:val="yellow"/>
                <w:lang w:val="en-US" w:eastAsia="zh-CN"/>
              </w:rPr>
            </w:pPr>
            <w:r>
              <w:rPr>
                <w:rFonts w:hint="eastAsia"/>
                <w:sz w:val="24"/>
                <w:u w:val="none"/>
              </w:rPr>
              <w:t xml:space="preserve"> </w:t>
            </w:r>
            <w:r>
              <w:rPr>
                <w:rFonts w:hint="eastAsia" w:ascii="Times New Roman" w:hAnsi="Times New Roman" w:cs="Times New Roman"/>
                <w:sz w:val="24"/>
                <w:szCs w:val="24"/>
                <w:lang w:val="en-US" w:eastAsia="zh-CN"/>
              </w:rPr>
              <w:t>东乡县达板镇舀水村西侧布塄沟沟口右岸支沟内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sz w:val="24"/>
              </w:rPr>
              <w:t>地理坐标</w:t>
            </w:r>
          </w:p>
        </w:tc>
        <w:tc>
          <w:tcPr>
            <w:tcW w:w="6949" w:type="dxa"/>
            <w:gridSpan w:val="4"/>
            <w:noWrap w:val="0"/>
            <w:vAlign w:val="center"/>
          </w:tcPr>
          <w:p>
            <w:pPr>
              <w:adjustRightInd w:val="0"/>
              <w:snapToGrid w:val="0"/>
              <w:jc w:val="center"/>
              <w:rPr>
                <w:sz w:val="24"/>
                <w:highlight w:val="yellow"/>
              </w:rPr>
            </w:pPr>
            <w:r>
              <w:rPr>
                <w:rFonts w:ascii="宋体" w:hAnsi="宋体" w:cs="宋体"/>
                <w:sz w:val="24"/>
              </w:rPr>
              <w:t>矿区中心地理坐标为东经：103°</w:t>
            </w:r>
            <w:r>
              <w:rPr>
                <w:rFonts w:hint="eastAsia" w:ascii="宋体" w:hAnsi="宋体" w:cs="宋体"/>
                <w:sz w:val="24"/>
              </w:rPr>
              <w:t>36</w:t>
            </w:r>
            <w:r>
              <w:rPr>
                <w:rFonts w:ascii="宋体" w:hAnsi="宋体" w:cs="宋体"/>
                <w:sz w:val="24"/>
              </w:rPr>
              <w:t>′</w:t>
            </w:r>
            <w:r>
              <w:rPr>
                <w:rFonts w:hint="eastAsia" w:ascii="宋体" w:hAnsi="宋体" w:cs="宋体"/>
                <w:sz w:val="24"/>
              </w:rPr>
              <w:t>34</w:t>
            </w:r>
            <w:r>
              <w:rPr>
                <w:rFonts w:ascii="宋体" w:hAnsi="宋体" w:cs="宋体"/>
                <w:sz w:val="24"/>
              </w:rPr>
              <w:t>″北纬：35°44′</w:t>
            </w:r>
            <w:r>
              <w:rPr>
                <w:rFonts w:hint="eastAsia" w:ascii="宋体" w:hAnsi="宋体" w:cs="宋体"/>
                <w:sz w:val="24"/>
              </w:rPr>
              <w:t>28</w:t>
            </w:r>
            <w:r>
              <w:rPr>
                <w:rFonts w:ascii="宋体" w:hAnsi="宋体" w:cs="宋体"/>
                <w:sz w:val="24"/>
              </w:rPr>
              <w:t>″</w:t>
            </w:r>
            <w:r>
              <w:rPr>
                <w:rFonts w:hint="eastAsia" w:ascii="宋体" w:hAnsi="宋体" w:cs="宋体"/>
                <w:sz w:val="24"/>
                <w:lang w:eastAsia="zh-CN"/>
              </w:rPr>
              <w:t>；</w:t>
            </w:r>
            <w:r>
              <w:rPr>
                <w:rFonts w:hint="eastAsia" w:ascii="宋体" w:hAnsi="宋体" w:cs="宋体"/>
                <w:sz w:val="24"/>
                <w:highlight w:val="none"/>
                <w:lang w:eastAsia="zh-CN"/>
              </w:rPr>
              <w:t>加工区</w:t>
            </w:r>
            <w:r>
              <w:rPr>
                <w:rFonts w:ascii="宋体" w:hAnsi="宋体" w:cs="宋体"/>
                <w:sz w:val="24"/>
                <w:highlight w:val="none"/>
              </w:rPr>
              <w:t>中</w:t>
            </w:r>
            <w:r>
              <w:rPr>
                <w:rFonts w:ascii="宋体" w:hAnsi="宋体" w:cs="宋体"/>
                <w:sz w:val="24"/>
              </w:rPr>
              <w:t>心地理坐标为东经：103°</w:t>
            </w:r>
            <w:r>
              <w:rPr>
                <w:rFonts w:hint="eastAsia" w:ascii="宋体" w:hAnsi="宋体" w:cs="宋体"/>
                <w:sz w:val="24"/>
              </w:rPr>
              <w:t>36</w:t>
            </w:r>
            <w:r>
              <w:rPr>
                <w:rFonts w:ascii="宋体" w:hAnsi="宋体" w:cs="宋体"/>
                <w:sz w:val="24"/>
              </w:rPr>
              <w:t>′</w:t>
            </w:r>
            <w:r>
              <w:rPr>
                <w:rFonts w:hint="eastAsia" w:ascii="宋体" w:hAnsi="宋体" w:cs="宋体"/>
                <w:sz w:val="24"/>
                <w:lang w:val="en-US" w:eastAsia="zh-CN"/>
              </w:rPr>
              <w:t>11.997</w:t>
            </w:r>
            <w:r>
              <w:rPr>
                <w:rFonts w:ascii="宋体" w:hAnsi="宋体" w:cs="宋体"/>
                <w:sz w:val="24"/>
              </w:rPr>
              <w:t>″北纬：35°44′</w:t>
            </w:r>
            <w:r>
              <w:rPr>
                <w:rFonts w:hint="eastAsia" w:ascii="宋体" w:hAnsi="宋体" w:cs="宋体"/>
                <w:sz w:val="24"/>
              </w:rPr>
              <w:t>2</w:t>
            </w:r>
            <w:r>
              <w:rPr>
                <w:rFonts w:hint="eastAsia" w:ascii="宋体" w:hAnsi="宋体" w:cs="宋体"/>
                <w:sz w:val="24"/>
                <w:lang w:val="en-US" w:eastAsia="zh-CN"/>
              </w:rPr>
              <w:t>6.738</w:t>
            </w:r>
            <w:r>
              <w:rPr>
                <w:rFonts w:ascii="宋体" w:hAnsi="宋体" w:cs="宋体"/>
                <w:sz w:val="24"/>
              </w:rPr>
              <w:t>″</w:t>
            </w:r>
            <w:r>
              <w:rPr>
                <w:rFonts w:hint="eastAsia" w:ascii="宋体" w:hAnsi="宋体" w:cs="宋体"/>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45"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rFonts w:hAnsi="宋体"/>
                <w:sz w:val="24"/>
              </w:rPr>
              <w:t>建设项目</w:t>
            </w:r>
          </w:p>
          <w:p>
            <w:pPr>
              <w:adjustRightInd w:val="0"/>
              <w:snapToGrid w:val="0"/>
              <w:jc w:val="center"/>
              <w:rPr>
                <w:sz w:val="24"/>
                <w:highlight w:val="yellow"/>
              </w:rPr>
            </w:pPr>
            <w:r>
              <w:rPr>
                <w:rFonts w:hAnsi="宋体"/>
                <w:sz w:val="24"/>
              </w:rPr>
              <w:t>行业类别</w:t>
            </w:r>
          </w:p>
        </w:tc>
        <w:tc>
          <w:tcPr>
            <w:tcW w:w="2154" w:type="dxa"/>
            <w:noWrap w:val="0"/>
            <w:vAlign w:val="center"/>
          </w:tcPr>
          <w:p>
            <w:pPr>
              <w:jc w:val="center"/>
              <w:rPr>
                <w:sz w:val="24"/>
                <w:highlight w:val="yellow"/>
              </w:rPr>
            </w:pPr>
            <w:r>
              <w:rPr>
                <w:sz w:val="24"/>
              </w:rPr>
              <w:t>“</w:t>
            </w:r>
            <w:r>
              <w:rPr>
                <w:rFonts w:hint="eastAsia" w:hAnsi="宋体"/>
                <w:sz w:val="24"/>
              </w:rPr>
              <w:t>八</w:t>
            </w:r>
            <w:r>
              <w:rPr>
                <w:rFonts w:hAnsi="宋体"/>
                <w:sz w:val="24"/>
              </w:rPr>
              <w:t>、非金属矿采选业：</w:t>
            </w:r>
            <w:r>
              <w:rPr>
                <w:sz w:val="24"/>
              </w:rPr>
              <w:t>1</w:t>
            </w:r>
            <w:r>
              <w:rPr>
                <w:rFonts w:hint="eastAsia"/>
                <w:sz w:val="24"/>
              </w:rPr>
              <w:t>1</w:t>
            </w:r>
            <w:r>
              <w:rPr>
                <w:rFonts w:hAnsi="宋体"/>
                <w:sz w:val="24"/>
              </w:rPr>
              <w:t>、土砂石开采</w:t>
            </w:r>
            <w:r>
              <w:rPr>
                <w:rFonts w:hint="eastAsia" w:hAnsi="宋体"/>
                <w:sz w:val="24"/>
              </w:rPr>
              <w:t>101（不含河道采砂项目）中</w:t>
            </w:r>
            <w:r>
              <w:rPr>
                <w:rFonts w:hAnsi="宋体"/>
                <w:sz w:val="24"/>
              </w:rPr>
              <w:t>的其他</w:t>
            </w:r>
            <w:r>
              <w:rPr>
                <w:sz w:val="24"/>
              </w:rPr>
              <w:t>”</w:t>
            </w:r>
          </w:p>
        </w:tc>
        <w:tc>
          <w:tcPr>
            <w:tcW w:w="1860" w:type="dxa"/>
            <w:gridSpan w:val="2"/>
            <w:noWrap w:val="0"/>
            <w:vAlign w:val="center"/>
          </w:tcPr>
          <w:p>
            <w:pPr>
              <w:adjustRightInd w:val="0"/>
              <w:snapToGrid w:val="0"/>
              <w:jc w:val="center"/>
              <w:rPr>
                <w:sz w:val="24"/>
              </w:rPr>
            </w:pPr>
            <w:r>
              <w:rPr>
                <w:rFonts w:hAnsi="宋体"/>
                <w:sz w:val="24"/>
              </w:rPr>
              <w:t>用地（用海）面积（</w:t>
            </w:r>
            <w:r>
              <w:rPr>
                <w:sz w:val="24"/>
              </w:rPr>
              <w:t>m</w:t>
            </w:r>
            <w:r>
              <w:rPr>
                <w:sz w:val="24"/>
                <w:vertAlign w:val="superscript"/>
              </w:rPr>
              <w:t>2</w:t>
            </w:r>
            <w:r>
              <w:rPr>
                <w:rFonts w:hAnsi="宋体"/>
                <w:sz w:val="24"/>
              </w:rPr>
              <w:t>）</w:t>
            </w:r>
            <w:r>
              <w:rPr>
                <w:sz w:val="24"/>
              </w:rPr>
              <w:t>/</w:t>
            </w:r>
            <w:r>
              <w:rPr>
                <w:rFonts w:hAnsi="宋体"/>
                <w:sz w:val="24"/>
              </w:rPr>
              <w:t>长度（</w:t>
            </w:r>
            <w:r>
              <w:rPr>
                <w:sz w:val="24"/>
              </w:rPr>
              <w:t>km</w:t>
            </w:r>
            <w:r>
              <w:rPr>
                <w:rFonts w:hAnsi="宋体"/>
                <w:sz w:val="24"/>
              </w:rPr>
              <w:t>）</w:t>
            </w:r>
          </w:p>
        </w:tc>
        <w:tc>
          <w:tcPr>
            <w:tcW w:w="2935" w:type="dxa"/>
            <w:noWrap w:val="0"/>
            <w:vAlign w:val="center"/>
          </w:tcPr>
          <w:p>
            <w:pPr>
              <w:adjustRightInd w:val="0"/>
              <w:snapToGrid w:val="0"/>
              <w:jc w:val="center"/>
              <w:rPr>
                <w:rFonts w:hint="eastAsia" w:eastAsia="宋体"/>
                <w:sz w:val="24"/>
                <w:vertAlign w:val="baseline"/>
                <w:lang w:val="en-US" w:eastAsia="zh-CN"/>
              </w:rPr>
            </w:pPr>
            <w:r>
              <w:rPr>
                <w:rFonts w:hint="eastAsia" w:ascii="宋体" w:hAnsi="宋体"/>
                <w:sz w:val="24"/>
                <w:highlight w:val="none"/>
                <w:lang w:val="en-US" w:eastAsia="zh-CN"/>
              </w:rPr>
              <w:t>152800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45"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rFonts w:hAnsi="宋体"/>
                <w:sz w:val="24"/>
              </w:rPr>
              <w:t>建设性质</w:t>
            </w:r>
          </w:p>
        </w:tc>
        <w:tc>
          <w:tcPr>
            <w:tcW w:w="2154" w:type="dxa"/>
            <w:noWrap w:val="0"/>
            <w:vAlign w:val="center"/>
          </w:tcPr>
          <w:p>
            <w:pPr>
              <w:adjustRightInd w:val="0"/>
              <w:snapToGrid w:val="0"/>
              <w:jc w:val="left"/>
              <w:rPr>
                <w:sz w:val="24"/>
              </w:rPr>
            </w:pPr>
            <w:r>
              <w:rPr>
                <w:rFonts w:hint="eastAsia" w:ascii="宋体" w:hAnsi="宋体"/>
                <w:sz w:val="24"/>
                <w:lang w:eastAsia="zh-CN"/>
              </w:rPr>
              <w:t>☑</w:t>
            </w:r>
            <w:r>
              <w:rPr>
                <w:rFonts w:hAnsi="宋体"/>
                <w:sz w:val="24"/>
              </w:rPr>
              <w:t>新建（迁建）</w:t>
            </w:r>
          </w:p>
          <w:p>
            <w:pPr>
              <w:adjustRightInd w:val="0"/>
              <w:snapToGrid w:val="0"/>
              <w:jc w:val="left"/>
              <w:rPr>
                <w:sz w:val="24"/>
              </w:rPr>
            </w:pPr>
            <w:r>
              <w:rPr>
                <w:rFonts w:hint="eastAsia" w:ascii="宋体" w:hAnsi="宋体"/>
                <w:sz w:val="24"/>
              </w:rPr>
              <w:t>□</w:t>
            </w:r>
            <w:r>
              <w:rPr>
                <w:rFonts w:hAnsi="宋体"/>
                <w:sz w:val="24"/>
              </w:rPr>
              <w:t>改建</w:t>
            </w:r>
          </w:p>
          <w:p>
            <w:pPr>
              <w:adjustRightInd w:val="0"/>
              <w:snapToGrid w:val="0"/>
              <w:jc w:val="left"/>
              <w:rPr>
                <w:sz w:val="24"/>
              </w:rPr>
            </w:pPr>
            <w:r>
              <w:rPr>
                <w:rFonts w:hint="eastAsia" w:ascii="宋体" w:hAnsi="宋体"/>
                <w:sz w:val="24"/>
              </w:rPr>
              <w:t>□</w:t>
            </w:r>
            <w:r>
              <w:rPr>
                <w:rFonts w:hAnsi="宋体"/>
                <w:sz w:val="24"/>
              </w:rPr>
              <w:t>扩建</w:t>
            </w:r>
          </w:p>
          <w:p>
            <w:pPr>
              <w:adjustRightInd w:val="0"/>
              <w:snapToGrid w:val="0"/>
              <w:jc w:val="left"/>
              <w:rPr>
                <w:sz w:val="24"/>
              </w:rPr>
            </w:pPr>
            <w:r>
              <w:rPr>
                <w:rFonts w:hint="eastAsia" w:ascii="宋体" w:hAnsi="宋体"/>
                <w:sz w:val="24"/>
              </w:rPr>
              <w:t>□</w:t>
            </w:r>
            <w:r>
              <w:rPr>
                <w:rFonts w:hAnsi="宋体"/>
                <w:sz w:val="24"/>
              </w:rPr>
              <w:t>技术改造</w:t>
            </w:r>
          </w:p>
        </w:tc>
        <w:tc>
          <w:tcPr>
            <w:tcW w:w="1860" w:type="dxa"/>
            <w:gridSpan w:val="2"/>
            <w:noWrap w:val="0"/>
            <w:vAlign w:val="center"/>
          </w:tcPr>
          <w:p>
            <w:pPr>
              <w:adjustRightInd w:val="0"/>
              <w:snapToGrid w:val="0"/>
              <w:jc w:val="center"/>
              <w:rPr>
                <w:sz w:val="24"/>
              </w:rPr>
            </w:pPr>
            <w:r>
              <w:rPr>
                <w:rFonts w:hAnsi="宋体"/>
                <w:sz w:val="24"/>
              </w:rPr>
              <w:t>建设项目</w:t>
            </w:r>
          </w:p>
          <w:p>
            <w:pPr>
              <w:adjustRightInd w:val="0"/>
              <w:snapToGrid w:val="0"/>
              <w:jc w:val="center"/>
              <w:rPr>
                <w:sz w:val="24"/>
              </w:rPr>
            </w:pPr>
            <w:r>
              <w:rPr>
                <w:rFonts w:hAnsi="宋体"/>
                <w:sz w:val="24"/>
              </w:rPr>
              <w:t>申报情形</w:t>
            </w:r>
          </w:p>
        </w:tc>
        <w:tc>
          <w:tcPr>
            <w:tcW w:w="2935" w:type="dxa"/>
            <w:noWrap w:val="0"/>
            <w:vAlign w:val="center"/>
          </w:tcPr>
          <w:p>
            <w:pPr>
              <w:adjustRightInd w:val="0"/>
              <w:snapToGrid w:val="0"/>
              <w:jc w:val="left"/>
              <w:rPr>
                <w:sz w:val="24"/>
              </w:rPr>
            </w:pPr>
            <w:r>
              <w:rPr>
                <w:rFonts w:hint="eastAsia" w:ascii="宋体" w:hAnsi="宋体"/>
                <w:sz w:val="24"/>
                <w:lang w:eastAsia="zh-CN"/>
              </w:rPr>
              <w:t>☑</w:t>
            </w:r>
            <w:r>
              <w:rPr>
                <w:rFonts w:hAnsi="宋体"/>
                <w:sz w:val="24"/>
              </w:rPr>
              <w:t>首次申报项目</w:t>
            </w:r>
          </w:p>
          <w:p>
            <w:pPr>
              <w:adjustRightInd w:val="0"/>
              <w:snapToGrid w:val="0"/>
              <w:jc w:val="left"/>
              <w:rPr>
                <w:sz w:val="24"/>
              </w:rPr>
            </w:pPr>
            <w:r>
              <w:rPr>
                <w:rFonts w:hint="eastAsia" w:ascii="宋体" w:hAnsi="宋体"/>
                <w:sz w:val="24"/>
              </w:rPr>
              <w:t>□</w:t>
            </w:r>
            <w:r>
              <w:rPr>
                <w:rFonts w:hAnsi="宋体"/>
                <w:sz w:val="24"/>
              </w:rPr>
              <w:t>不予批准后再次申报项目</w:t>
            </w:r>
          </w:p>
          <w:p>
            <w:pPr>
              <w:adjustRightInd w:val="0"/>
              <w:snapToGrid w:val="0"/>
              <w:jc w:val="left"/>
              <w:rPr>
                <w:sz w:val="24"/>
              </w:rPr>
            </w:pPr>
            <w:r>
              <w:rPr>
                <w:rFonts w:hint="eastAsia" w:ascii="宋体" w:hAnsi="宋体"/>
                <w:sz w:val="24"/>
              </w:rPr>
              <w:t>□</w:t>
            </w:r>
            <w:r>
              <w:rPr>
                <w:rFonts w:hAnsi="宋体"/>
                <w:sz w:val="24"/>
              </w:rPr>
              <w:t>超五年重新审核项目</w:t>
            </w:r>
          </w:p>
          <w:p>
            <w:pPr>
              <w:adjustRightInd w:val="0"/>
              <w:snapToGrid w:val="0"/>
              <w:rPr>
                <w:sz w:val="24"/>
              </w:rPr>
            </w:pPr>
            <w:r>
              <w:rPr>
                <w:rFonts w:hint="eastAsia" w:ascii="宋体" w:hAnsi="宋体"/>
                <w:sz w:val="24"/>
              </w:rPr>
              <w:t>□</w:t>
            </w:r>
            <w:r>
              <w:rPr>
                <w:rFonts w:hAnsi="宋体"/>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2002" w:type="dxa"/>
            <w:gridSpan w:val="2"/>
            <w:noWrap w:val="0"/>
            <w:tcMar>
              <w:top w:w="16" w:type="dxa"/>
              <w:left w:w="16" w:type="dxa"/>
              <w:right w:w="16" w:type="dxa"/>
            </w:tcMar>
            <w:vAlign w:val="center"/>
          </w:tcPr>
          <w:p>
            <w:pPr>
              <w:adjustRightInd w:val="0"/>
              <w:snapToGrid w:val="0"/>
              <w:jc w:val="center"/>
              <w:rPr>
                <w:color w:val="000000"/>
                <w:sz w:val="24"/>
              </w:rPr>
            </w:pPr>
            <w:r>
              <w:rPr>
                <w:rFonts w:hAnsi="宋体"/>
                <w:color w:val="000000"/>
                <w:sz w:val="24"/>
              </w:rPr>
              <w:t>项目审批（核准</w:t>
            </w:r>
            <w:r>
              <w:rPr>
                <w:color w:val="000000"/>
                <w:sz w:val="24"/>
              </w:rPr>
              <w:t>/</w:t>
            </w:r>
            <w:r>
              <w:rPr>
                <w:rFonts w:hAnsi="宋体"/>
                <w:color w:val="000000"/>
                <w:sz w:val="24"/>
              </w:rPr>
              <w:t>备案）部门（选填）</w:t>
            </w:r>
          </w:p>
        </w:tc>
        <w:tc>
          <w:tcPr>
            <w:tcW w:w="2154" w:type="dxa"/>
            <w:noWrap w:val="0"/>
            <w:vAlign w:val="center"/>
          </w:tcPr>
          <w:p>
            <w:pPr>
              <w:keepNext w:val="0"/>
              <w:keepLines w:val="0"/>
              <w:widowControl/>
              <w:suppressLineNumbers w:val="0"/>
              <w:jc w:val="center"/>
              <w:rPr>
                <w:rFonts w:hint="default" w:eastAsia="宋体"/>
                <w:color w:val="000000"/>
                <w:sz w:val="24"/>
                <w:lang w:val="en-US" w:eastAsia="zh-CN"/>
              </w:rPr>
            </w:pPr>
            <w:r>
              <w:rPr>
                <w:rFonts w:ascii="新宋体" w:hAnsi="新宋体" w:eastAsia="新宋体" w:cs="新宋体"/>
                <w:color w:val="000000"/>
                <w:kern w:val="0"/>
                <w:sz w:val="26"/>
                <w:szCs w:val="26"/>
                <w:lang w:val="en-US" w:eastAsia="zh-CN" w:bidi="ar"/>
              </w:rPr>
              <w:t>临夏州东乡县发改局</w:t>
            </w:r>
          </w:p>
        </w:tc>
        <w:tc>
          <w:tcPr>
            <w:tcW w:w="1860" w:type="dxa"/>
            <w:gridSpan w:val="2"/>
            <w:noWrap w:val="0"/>
            <w:vAlign w:val="center"/>
          </w:tcPr>
          <w:p>
            <w:pPr>
              <w:adjustRightInd w:val="0"/>
              <w:snapToGrid w:val="0"/>
              <w:jc w:val="center"/>
              <w:rPr>
                <w:color w:val="000000"/>
                <w:sz w:val="24"/>
              </w:rPr>
            </w:pPr>
            <w:r>
              <w:rPr>
                <w:rFonts w:hAnsi="宋体"/>
                <w:color w:val="000000"/>
                <w:sz w:val="24"/>
              </w:rPr>
              <w:t>项目审批（核准</w:t>
            </w:r>
            <w:r>
              <w:rPr>
                <w:color w:val="000000"/>
                <w:sz w:val="24"/>
              </w:rPr>
              <w:t>/</w:t>
            </w:r>
          </w:p>
          <w:p>
            <w:pPr>
              <w:adjustRightInd w:val="0"/>
              <w:snapToGrid w:val="0"/>
              <w:jc w:val="center"/>
              <w:rPr>
                <w:color w:val="000000"/>
                <w:sz w:val="24"/>
              </w:rPr>
            </w:pPr>
            <w:r>
              <w:rPr>
                <w:rFonts w:hAnsi="宋体"/>
                <w:color w:val="000000"/>
                <w:sz w:val="24"/>
              </w:rPr>
              <w:t>备案）文号（选填）</w:t>
            </w:r>
          </w:p>
        </w:tc>
        <w:tc>
          <w:tcPr>
            <w:tcW w:w="2935" w:type="dxa"/>
            <w:noWrap w:val="0"/>
            <w:vAlign w:val="center"/>
          </w:tcPr>
          <w:p>
            <w:pPr>
              <w:keepNext w:val="0"/>
              <w:keepLines w:val="0"/>
              <w:widowControl/>
              <w:suppressLineNumbers w:val="0"/>
              <w:jc w:val="center"/>
              <w:rPr>
                <w:rFonts w:hint="eastAsia" w:eastAsia="新宋体"/>
                <w:color w:val="000000"/>
                <w:sz w:val="24"/>
                <w:lang w:val="en-US" w:eastAsia="zh-CN"/>
              </w:rPr>
            </w:pPr>
            <w:r>
              <w:rPr>
                <w:rFonts w:hint="default" w:ascii="Times New Roman" w:hAnsi="Times New Roman" w:eastAsia="宋体" w:cs="Times New Roman"/>
                <w:color w:val="000000"/>
                <w:kern w:val="0"/>
                <w:sz w:val="26"/>
                <w:szCs w:val="26"/>
                <w:lang w:val="en-US" w:eastAsia="zh-CN" w:bidi="ar"/>
              </w:rPr>
              <w:t>临夏州东乡县发改局国民经济综合股[2022]5号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rFonts w:hAnsi="宋体"/>
                <w:sz w:val="24"/>
              </w:rPr>
              <w:t>总投资（万元）</w:t>
            </w:r>
          </w:p>
        </w:tc>
        <w:tc>
          <w:tcPr>
            <w:tcW w:w="2154" w:type="dxa"/>
            <w:noWrap w:val="0"/>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3500</w:t>
            </w:r>
          </w:p>
        </w:tc>
        <w:tc>
          <w:tcPr>
            <w:tcW w:w="1860" w:type="dxa"/>
            <w:gridSpan w:val="2"/>
            <w:noWrap w:val="0"/>
            <w:tcMar>
              <w:top w:w="16" w:type="dxa"/>
              <w:left w:w="16" w:type="dxa"/>
              <w:right w:w="16" w:type="dxa"/>
            </w:tcMar>
            <w:vAlign w:val="center"/>
          </w:tcPr>
          <w:p>
            <w:pPr>
              <w:adjustRightInd w:val="0"/>
              <w:snapToGrid w:val="0"/>
              <w:jc w:val="center"/>
              <w:rPr>
                <w:color w:val="000000"/>
                <w:sz w:val="24"/>
              </w:rPr>
            </w:pPr>
            <w:r>
              <w:rPr>
                <w:rFonts w:hAnsi="宋体"/>
                <w:color w:val="000000"/>
                <w:sz w:val="24"/>
              </w:rPr>
              <w:t>环保投资（万元）</w:t>
            </w:r>
          </w:p>
        </w:tc>
        <w:tc>
          <w:tcPr>
            <w:tcW w:w="2935" w:type="dxa"/>
            <w:noWrap w:val="0"/>
            <w:vAlign w:val="center"/>
          </w:tcPr>
          <w:p>
            <w:pPr>
              <w:adjustRightInd w:val="0"/>
              <w:snapToGrid w:val="0"/>
              <w:jc w:val="center"/>
              <w:rPr>
                <w:rFonts w:hint="default" w:eastAsia="宋体"/>
                <w:color w:val="000000"/>
                <w:sz w:val="24"/>
                <w:lang w:val="en-US" w:eastAsia="zh-CN"/>
              </w:rPr>
            </w:pPr>
            <w:r>
              <w:rPr>
                <w:rFonts w:hint="eastAsia"/>
                <w:color w:val="000000"/>
                <w:sz w:val="24"/>
                <w:lang w:val="en-US" w:eastAsia="zh-CN"/>
              </w:rPr>
              <w:t>83.1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rFonts w:hAnsi="宋体"/>
                <w:sz w:val="24"/>
              </w:rPr>
              <w:t>环保投资占比（</w:t>
            </w:r>
            <w:r>
              <w:rPr>
                <w:sz w:val="24"/>
              </w:rPr>
              <w:t>%</w:t>
            </w:r>
            <w:r>
              <w:rPr>
                <w:rFonts w:hAnsi="宋体"/>
                <w:sz w:val="24"/>
              </w:rPr>
              <w:t>）</w:t>
            </w:r>
          </w:p>
        </w:tc>
        <w:tc>
          <w:tcPr>
            <w:tcW w:w="2154" w:type="dxa"/>
            <w:noWrap w:val="0"/>
            <w:vAlign w:val="center"/>
          </w:tcPr>
          <w:p>
            <w:pPr>
              <w:adjustRightInd w:val="0"/>
              <w:snapToGrid w:val="0"/>
              <w:jc w:val="center"/>
              <w:rPr>
                <w:rFonts w:hint="default" w:eastAsia="宋体"/>
                <w:sz w:val="24"/>
                <w:lang w:val="en-US" w:eastAsia="zh-CN"/>
              </w:rPr>
            </w:pPr>
            <w:r>
              <w:rPr>
                <w:rFonts w:hint="eastAsia"/>
                <w:sz w:val="24"/>
                <w:lang w:val="en-US" w:eastAsia="zh-CN"/>
              </w:rPr>
              <w:t>2.37</w:t>
            </w:r>
          </w:p>
        </w:tc>
        <w:tc>
          <w:tcPr>
            <w:tcW w:w="1860" w:type="dxa"/>
            <w:gridSpan w:val="2"/>
            <w:noWrap w:val="0"/>
            <w:tcMar>
              <w:top w:w="16" w:type="dxa"/>
              <w:left w:w="16" w:type="dxa"/>
              <w:right w:w="16" w:type="dxa"/>
            </w:tcMar>
            <w:vAlign w:val="center"/>
          </w:tcPr>
          <w:p>
            <w:pPr>
              <w:adjustRightInd w:val="0"/>
              <w:snapToGrid w:val="0"/>
              <w:jc w:val="center"/>
              <w:rPr>
                <w:sz w:val="24"/>
              </w:rPr>
            </w:pPr>
            <w:r>
              <w:rPr>
                <w:rFonts w:hAnsi="宋体"/>
                <w:sz w:val="24"/>
              </w:rPr>
              <w:t>施工工期</w:t>
            </w:r>
          </w:p>
        </w:tc>
        <w:tc>
          <w:tcPr>
            <w:tcW w:w="2935" w:type="dxa"/>
            <w:noWrap w:val="0"/>
            <w:vAlign w:val="center"/>
          </w:tcPr>
          <w:p>
            <w:pPr>
              <w:adjustRightInd w:val="0"/>
              <w:snapToGrid w:val="0"/>
              <w:jc w:val="center"/>
              <w:rPr>
                <w:rFonts w:hint="default" w:eastAsia="宋体"/>
                <w:sz w:val="24"/>
                <w:lang w:val="en-US" w:eastAsia="zh-CN"/>
              </w:rPr>
            </w:pPr>
            <w:r>
              <w:rPr>
                <w:rFonts w:hint="eastAsia"/>
                <w:sz w:val="24"/>
                <w:lang w:val="en-US" w:eastAsia="zh-CN"/>
              </w:rPr>
              <w:t>19个月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550" w:hRule="atLeast"/>
          <w:jc w:val="center"/>
        </w:trPr>
        <w:tc>
          <w:tcPr>
            <w:tcW w:w="2002" w:type="dxa"/>
            <w:gridSpan w:val="2"/>
            <w:noWrap w:val="0"/>
            <w:tcMar>
              <w:top w:w="16" w:type="dxa"/>
              <w:left w:w="16" w:type="dxa"/>
              <w:right w:w="16" w:type="dxa"/>
            </w:tcMar>
            <w:vAlign w:val="center"/>
          </w:tcPr>
          <w:p>
            <w:pPr>
              <w:adjustRightInd w:val="0"/>
              <w:snapToGrid w:val="0"/>
              <w:jc w:val="center"/>
              <w:rPr>
                <w:sz w:val="24"/>
              </w:rPr>
            </w:pPr>
            <w:r>
              <w:rPr>
                <w:rFonts w:hAnsi="宋体"/>
                <w:sz w:val="24"/>
              </w:rPr>
              <w:t>是否开工建设</w:t>
            </w:r>
          </w:p>
        </w:tc>
        <w:tc>
          <w:tcPr>
            <w:tcW w:w="6949" w:type="dxa"/>
            <w:gridSpan w:val="4"/>
            <w:noWrap w:val="0"/>
            <w:vAlign w:val="center"/>
          </w:tcPr>
          <w:p>
            <w:pPr>
              <w:adjustRightInd w:val="0"/>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否</w:t>
            </w:r>
          </w:p>
          <w:p>
            <w:pPr>
              <w:adjustRightInd w:val="0"/>
              <w:snapToGrid w:val="0"/>
              <w:jc w:val="left"/>
              <w:rPr>
                <w:sz w:val="24"/>
              </w:rPr>
            </w:pPr>
            <w:r>
              <w:rPr>
                <w:rFonts w:hint="eastAsia" w:ascii="宋体" w:hAnsi="宋体" w:eastAsia="宋体" w:cs="宋体"/>
                <w:sz w:val="24"/>
              </w:rPr>
              <w:t>□是：</w:t>
            </w:r>
            <w:r>
              <w:rPr>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8" w:hRule="atLeast"/>
          <w:jc w:val="center"/>
        </w:trPr>
        <w:tc>
          <w:tcPr>
            <w:tcW w:w="2002" w:type="dxa"/>
            <w:gridSpan w:val="2"/>
            <w:noWrap w:val="0"/>
            <w:tcMar>
              <w:top w:w="16" w:type="dxa"/>
              <w:left w:w="16" w:type="dxa"/>
              <w:right w:w="16" w:type="dxa"/>
            </w:tcMar>
            <w:vAlign w:val="center"/>
          </w:tcPr>
          <w:p>
            <w:pPr>
              <w:autoSpaceDE w:val="0"/>
              <w:autoSpaceDN w:val="0"/>
              <w:adjustRightInd w:val="0"/>
              <w:snapToGrid w:val="0"/>
              <w:jc w:val="center"/>
              <w:rPr>
                <w:kern w:val="0"/>
                <w:sz w:val="24"/>
              </w:rPr>
            </w:pPr>
            <w:r>
              <w:rPr>
                <w:rFonts w:hAnsi="宋体"/>
                <w:kern w:val="0"/>
                <w:sz w:val="24"/>
              </w:rPr>
              <w:t>专项评价设置情况</w:t>
            </w:r>
          </w:p>
        </w:tc>
        <w:tc>
          <w:tcPr>
            <w:tcW w:w="6949" w:type="dxa"/>
            <w:gridSpan w:val="4"/>
            <w:noWrap w:val="0"/>
            <w:tcMar>
              <w:top w:w="16" w:type="dxa"/>
              <w:left w:w="16" w:type="dxa"/>
              <w:right w:w="16" w:type="dxa"/>
            </w:tcMar>
            <w:vAlign w:val="center"/>
          </w:tcPr>
          <w:p>
            <w:pPr>
              <w:autoSpaceDE w:val="0"/>
              <w:autoSpaceDN w:val="0"/>
              <w:adjustRightInd w:val="0"/>
              <w:snapToGrid w:val="0"/>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68" w:hRule="atLeast"/>
          <w:jc w:val="center"/>
        </w:trPr>
        <w:tc>
          <w:tcPr>
            <w:tcW w:w="2002" w:type="dxa"/>
            <w:gridSpan w:val="2"/>
            <w:noWrap w:val="0"/>
            <w:tcMar>
              <w:top w:w="16" w:type="dxa"/>
              <w:left w:w="16" w:type="dxa"/>
              <w:right w:w="16" w:type="dxa"/>
            </w:tcMar>
            <w:vAlign w:val="center"/>
          </w:tcPr>
          <w:p>
            <w:pPr>
              <w:autoSpaceDE w:val="0"/>
              <w:autoSpaceDN w:val="0"/>
              <w:adjustRightInd w:val="0"/>
              <w:snapToGrid w:val="0"/>
              <w:jc w:val="center"/>
              <w:rPr>
                <w:kern w:val="0"/>
                <w:sz w:val="24"/>
              </w:rPr>
            </w:pPr>
            <w:r>
              <w:rPr>
                <w:rFonts w:hAnsi="宋体"/>
                <w:sz w:val="24"/>
              </w:rPr>
              <w:t>规划情况</w:t>
            </w:r>
          </w:p>
        </w:tc>
        <w:tc>
          <w:tcPr>
            <w:tcW w:w="6949" w:type="dxa"/>
            <w:gridSpan w:val="4"/>
            <w:noWrap w:val="0"/>
            <w:tcMar>
              <w:top w:w="16" w:type="dxa"/>
              <w:left w:w="16" w:type="dxa"/>
              <w:right w:w="16" w:type="dxa"/>
            </w:tcMar>
            <w:vAlign w:val="center"/>
          </w:tcPr>
          <w:p>
            <w:pPr>
              <w:pStyle w:val="35"/>
              <w:ind w:left="0" w:leftChars="0" w:firstLine="0" w:firstLineChars="0"/>
              <w:rPr>
                <w:kern w:val="0"/>
                <w:sz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甘肃省矿产资源总体规划</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2016-2020年</w:t>
            </w:r>
            <w:r>
              <w:rPr>
                <w:rFonts w:hint="default" w:ascii="Times New Roman" w:hAnsi="Times New Roman" w:eastAsia="宋体" w:cs="Times New Roman"/>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606" w:hRule="atLeast"/>
          <w:jc w:val="center"/>
        </w:trPr>
        <w:tc>
          <w:tcPr>
            <w:tcW w:w="2002" w:type="dxa"/>
            <w:gridSpan w:val="2"/>
            <w:noWrap w:val="0"/>
            <w:tcMar>
              <w:top w:w="16" w:type="dxa"/>
              <w:left w:w="16" w:type="dxa"/>
              <w:right w:w="16" w:type="dxa"/>
            </w:tcMar>
            <w:vAlign w:val="center"/>
          </w:tcPr>
          <w:p>
            <w:pPr>
              <w:autoSpaceDE w:val="0"/>
              <w:autoSpaceDN w:val="0"/>
              <w:adjustRightInd w:val="0"/>
              <w:snapToGrid w:val="0"/>
              <w:jc w:val="center"/>
              <w:rPr>
                <w:sz w:val="24"/>
              </w:rPr>
            </w:pPr>
            <w:r>
              <w:rPr>
                <w:rFonts w:hAnsi="宋体"/>
                <w:sz w:val="24"/>
              </w:rPr>
              <w:t>规划环境影响</w:t>
            </w:r>
          </w:p>
          <w:p>
            <w:pPr>
              <w:autoSpaceDE w:val="0"/>
              <w:autoSpaceDN w:val="0"/>
              <w:adjustRightInd w:val="0"/>
              <w:snapToGrid w:val="0"/>
              <w:jc w:val="center"/>
              <w:rPr>
                <w:kern w:val="0"/>
                <w:sz w:val="24"/>
              </w:rPr>
            </w:pPr>
            <w:r>
              <w:rPr>
                <w:rFonts w:hAnsi="宋体"/>
                <w:sz w:val="24"/>
              </w:rPr>
              <w:t>评价情况</w:t>
            </w:r>
          </w:p>
        </w:tc>
        <w:tc>
          <w:tcPr>
            <w:tcW w:w="6949" w:type="dxa"/>
            <w:gridSpan w:val="4"/>
            <w:noWrap w:val="0"/>
            <w:tcMar>
              <w:top w:w="16" w:type="dxa"/>
              <w:left w:w="16" w:type="dxa"/>
              <w:right w:w="16" w:type="dxa"/>
            </w:tcMar>
            <w:vAlign w:val="center"/>
          </w:tcPr>
          <w:p>
            <w:pPr>
              <w:adjustRightInd w:val="0"/>
              <w:snapToGrid w:val="0"/>
              <w:jc w:val="both"/>
              <w:rPr>
                <w:rFonts w:hint="eastAsia"/>
                <w:sz w:val="24"/>
                <w:szCs w:val="24"/>
              </w:rPr>
            </w:pPr>
          </w:p>
          <w:p>
            <w:pPr>
              <w:adjustRightInd w:val="0"/>
              <w:snapToGrid w:val="0"/>
              <w:jc w:val="both"/>
              <w:rPr>
                <w:rFonts w:hint="eastAsia"/>
                <w:sz w:val="24"/>
                <w:szCs w:val="24"/>
              </w:rPr>
            </w:pPr>
          </w:p>
          <w:p>
            <w:pPr>
              <w:adjustRightInd w:val="0"/>
              <w:snapToGrid w:val="0"/>
              <w:jc w:val="both"/>
              <w:rPr>
                <w:rFonts w:hint="eastAsia"/>
                <w:sz w:val="24"/>
                <w:szCs w:val="24"/>
              </w:rPr>
            </w:pPr>
            <w:r>
              <w:rPr>
                <w:rFonts w:hint="eastAsia"/>
                <w:sz w:val="24"/>
                <w:szCs w:val="24"/>
              </w:rPr>
              <w:t>《</w:t>
            </w:r>
            <w:r>
              <w:rPr>
                <w:rFonts w:hint="eastAsia"/>
                <w:sz w:val="24"/>
                <w:szCs w:val="24"/>
                <w:lang w:val="en-US" w:eastAsia="zh-CN"/>
              </w:rPr>
              <w:t>甘肃省矿产资源总体规划</w:t>
            </w:r>
            <w:r>
              <w:rPr>
                <w:rFonts w:hint="eastAsia"/>
                <w:sz w:val="24"/>
                <w:szCs w:val="24"/>
              </w:rPr>
              <w:t>》</w:t>
            </w:r>
            <w:r>
              <w:rPr>
                <w:rFonts w:hint="eastAsia"/>
                <w:sz w:val="24"/>
                <w:szCs w:val="24"/>
                <w:lang w:eastAsia="zh-CN"/>
              </w:rPr>
              <w:t>（</w:t>
            </w:r>
            <w:r>
              <w:rPr>
                <w:rFonts w:hint="eastAsia"/>
                <w:sz w:val="24"/>
                <w:szCs w:val="24"/>
              </w:rPr>
              <w:t>2016-2020年</w:t>
            </w:r>
            <w:r>
              <w:rPr>
                <w:rFonts w:hint="eastAsia"/>
                <w:sz w:val="24"/>
                <w:szCs w:val="24"/>
                <w:lang w:eastAsia="zh-CN"/>
              </w:rPr>
              <w:t>）</w:t>
            </w:r>
            <w:r>
              <w:rPr>
                <w:rFonts w:hint="eastAsia"/>
                <w:sz w:val="24"/>
                <w:szCs w:val="24"/>
                <w:lang w:val="en-US" w:eastAsia="zh-CN"/>
              </w:rPr>
              <w:t>环境影响评价报告书（甘肃省人民政府，2016年9月）</w:t>
            </w:r>
            <w:r>
              <w:rPr>
                <w:rFonts w:hint="eastAsia"/>
                <w:sz w:val="24"/>
                <w:szCs w:val="24"/>
              </w:rPr>
              <w:t>。</w:t>
            </w:r>
          </w:p>
          <w:p>
            <w:pPr>
              <w:pStyle w:val="35"/>
              <w:ind w:left="0" w:leftChars="0" w:firstLine="0" w:firstLineChars="0"/>
              <w:rPr>
                <w:rFonts w:hint="eastAsia"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16" w:hRule="atLeast"/>
          <w:jc w:val="center"/>
        </w:trPr>
        <w:tc>
          <w:tcPr>
            <w:tcW w:w="487" w:type="dxa"/>
            <w:noWrap w:val="0"/>
            <w:tcMar>
              <w:top w:w="16" w:type="dxa"/>
              <w:left w:w="16" w:type="dxa"/>
              <w:right w:w="16" w:type="dxa"/>
            </w:tcMar>
            <w:vAlign w:val="center"/>
          </w:tcPr>
          <w:p>
            <w:pPr>
              <w:autoSpaceDE w:val="0"/>
              <w:autoSpaceDN w:val="0"/>
              <w:adjustRightInd w:val="0"/>
              <w:snapToGrid w:val="0"/>
              <w:jc w:val="center"/>
              <w:rPr>
                <w:kern w:val="0"/>
                <w:sz w:val="24"/>
                <w:highlight w:val="yellow"/>
              </w:rPr>
            </w:pPr>
            <w:r>
              <w:rPr>
                <w:rFonts w:hAnsi="宋体"/>
                <w:kern w:val="0"/>
                <w:sz w:val="24"/>
              </w:rPr>
              <w:t>规划及</w:t>
            </w:r>
            <w:r>
              <w:rPr>
                <w:rFonts w:hAnsi="宋体"/>
                <w:sz w:val="24"/>
              </w:rPr>
              <w:t>规划环境影响评价</w:t>
            </w:r>
            <w:r>
              <w:rPr>
                <w:rFonts w:hAnsi="宋体"/>
                <w:kern w:val="0"/>
                <w:sz w:val="24"/>
              </w:rPr>
              <w:t>符合性分析</w:t>
            </w:r>
          </w:p>
        </w:tc>
        <w:tc>
          <w:tcPr>
            <w:tcW w:w="8464" w:type="dxa"/>
            <w:gridSpan w:val="5"/>
            <w:noWrap w:val="0"/>
            <w:tcMar>
              <w:top w:w="16" w:type="dxa"/>
              <w:left w:w="16" w:type="dxa"/>
              <w:right w:w="16" w:type="dxa"/>
            </w:tcMar>
            <w:vAlign w:val="center"/>
          </w:tcPr>
          <w:p>
            <w:pPr>
              <w:pStyle w:val="62"/>
              <w:numPr>
                <w:ilvl w:val="0"/>
                <w:numId w:val="0"/>
              </w:numPr>
              <w:overflowPunct w:val="0"/>
              <w:autoSpaceDE w:val="0"/>
              <w:autoSpaceDN w:val="0"/>
              <w:adjustRightInd w:val="0"/>
              <w:snapToGrid w:val="0"/>
              <w:spacing w:line="360" w:lineRule="auto"/>
              <w:ind w:firstLine="482" w:firstLineChars="200"/>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（1）与《甘肃省矿产资源总体规划（2016-2020年）》的符合性分析</w:t>
            </w:r>
          </w:p>
          <w:p>
            <w:pPr>
              <w:pStyle w:val="62"/>
              <w:numPr>
                <w:ilvl w:val="0"/>
                <w:numId w:val="0"/>
              </w:numPr>
              <w:overflowPunct w:val="0"/>
              <w:autoSpaceDE w:val="0"/>
              <w:autoSpaceDN w:val="0"/>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根据《甘肃省矿产资源总体规划》（2016-2020）中</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四、矿产资源开发利用与保护</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二）矿产资源开发利用布局</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2、开采规划区设置及管理</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规定：</w:t>
            </w:r>
          </w:p>
          <w:p>
            <w:pPr>
              <w:pStyle w:val="62"/>
              <w:numPr>
                <w:ilvl w:val="0"/>
                <w:numId w:val="0"/>
              </w:numPr>
              <w:overflowPunct w:val="0"/>
              <w:autoSpaceDE w:val="0"/>
              <w:autoSpaceDN w:val="0"/>
              <w:adjustRightInd w:val="0"/>
              <w:snapToGrid w:val="0"/>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鼓励开采区：设置 36 个，面积 7446.21 平方千米。主要是矿产品市场前景好、开采技术经济条件优越、易形成规模化经营、能有效控制对地质环境影响的矿区，省内老少边穷地区及国家产业政策鼓励矿种和紧缺矿种分布区规划为鼓励开采区。其中煤炭 5 个，面积 359.71 平方千米，要积极促进区内矿产资源开发利用，提高紧缺矿产资源保障程度，推动地区经济发展。在采矿权设置数量、时序及矿山建设用地上适当给予支持，落实老少边穷地区矿产资源开发优惠政策。以多种形式鼓励社会资金进行矿产资源开采，重点培育大中型骨干矿山企业。按照“在鼓励开采区内聚集”的原则，积极引导矿山企业，依规开发，实现规模化集约化经营</w:t>
            </w:r>
            <w:r>
              <w:rPr>
                <w:rFonts w:hint="default" w:ascii="Times New Roman" w:hAnsi="Times New Roman" w:eastAsia="宋体" w:cs="Times New Roman"/>
                <w:sz w:val="24"/>
                <w:szCs w:val="24"/>
                <w:lang w:eastAsia="zh-CN"/>
              </w:rPr>
              <w:t>。</w:t>
            </w:r>
          </w:p>
          <w:p>
            <w:pPr>
              <w:pStyle w:val="1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限制开采区：设置 32 个。面积 1369.88 平方千米。其中煤炭 5 个，面积 1111.17 平方千米，地热 1 个，非能源 26 个，面积 258.71 平方千米。主要是国家规定实行保护性开采的特定矿种分布区，市场容量有限、资源利用方式不合理的矿区；各类自然保护区外围地带，地质公园、地质遗迹（一定范围）、重要饮用水源地保护区的二级保护区均为限制开采区。区内坚持环境保护优先，要建立矿山生产和地质环境变化巡查制度， 加强监控。区内控制新建矿山，逐步减少已有矿山数量。探矿权转为采矿权时，国土资源行政主管部门需就开采对环境的影响进行专门论证， 依法严格审查。</w:t>
            </w:r>
          </w:p>
          <w:p>
            <w:pPr>
              <w:pStyle w:val="1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禁止开采区：设置 75 个，面积 10.32 万平方千米。包括禁止开采矿种所在矿区 4 个，面积 1386.00 平方千米，各级自然保护区 51 个，面积9.23 万平方千米，国家、省级地质公园（地质遗迹保护区）20 个，面积9531.08 平方千米。禁止开采区内已设采矿权到期不再延续，不再新设采矿权，探矿权不再转为采矿权。已建矿山对生态环境影响严重，且对周边环境有重大危害的，当地政府要制定具体关闭计划，采取有效措施予</w:t>
            </w:r>
            <w:r>
              <w:rPr>
                <w:rFonts w:hint="default" w:ascii="Times New Roman" w:hAnsi="Times New Roman" w:eastAsia="宋体" w:cs="Times New Roman"/>
                <w:sz w:val="24"/>
                <w:szCs w:val="24"/>
                <w:lang w:val="en-US" w:eastAsia="zh-CN"/>
              </w:rPr>
              <w:t>以关闭；对有一定影响，但对周边环境危害不甚严重的，要加强监管，改善技术条件，</w:t>
            </w:r>
            <w:r>
              <w:rPr>
                <w:rFonts w:hint="default" w:ascii="Times New Roman" w:hAnsi="Times New Roman" w:eastAsia="宋体" w:cs="Times New Roman"/>
                <w:sz w:val="24"/>
                <w:szCs w:val="24"/>
              </w:rPr>
              <w:t>待采矿许可证到期后关闭，及时复垦被破坏的土地。规划确定重点、鼓励、限制、禁止开采区以外的区域进行矿产资源勘查开采活动，应按照规划区块划分的原则性要求，合理划定开采的范围，编制采矿权规划方案，加强规划准入管理。</w:t>
            </w:r>
          </w:p>
          <w:p>
            <w:pPr>
              <w:pStyle w:val="12"/>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《甘肃省矿产资源总体规划（2016-2020 年）环境影响评价报告书（报批本）》（甘肃省人民政府，2016 年 9 月）认为：《甘肃省矿产资源总体规划（2016-2020 年）》分区基本合理，空间管控措施得力，可以起到优化空间开发布局的作用。通过矿产资源开采总量控制，提高开采管理制度，引导企业采用先进设备、技术及生产工艺，可以有效的减少污染物排放，减轻区域生态环境承载压力，实现区域环境质量改善、产业转型升级的目的。同时，《甘肃省矿产资源总体规划（2016-2020 年）环境影响评价报告书（报批本）》建议，合法合规、绿色建矿，加强科技创新、提高生产效率，较少污染排放，加强清洁生产、发展循环经济，加强矿山环境恢复治理。</w:t>
            </w:r>
          </w:p>
          <w:p>
            <w:pPr>
              <w:spacing w:line="360" w:lineRule="auto"/>
              <w:ind w:firstLine="555"/>
              <w:rPr>
                <w:rFonts w:hint="default"/>
                <w:lang w:val="en-US" w:eastAsia="zh-CN"/>
              </w:rPr>
            </w:pPr>
            <w:r>
              <w:rPr>
                <w:rFonts w:hAnsi="宋体"/>
                <w:sz w:val="24"/>
              </w:rPr>
              <w:t>本项目</w:t>
            </w:r>
            <w:r>
              <w:rPr>
                <w:rFonts w:hint="eastAsia" w:hAnsi="宋体"/>
                <w:sz w:val="24"/>
              </w:rPr>
              <w:t>所在矿区不属于限制和禁止开采区，项目开采方案符合规划“边开采、边保护、边复垦”的要求，因此，项目总体</w:t>
            </w:r>
            <w:r>
              <w:rPr>
                <w:rFonts w:hAnsi="宋体"/>
                <w:sz w:val="24"/>
              </w:rPr>
              <w:t>符合《甘肃省矿产资源总体规划》（</w:t>
            </w:r>
            <w:r>
              <w:rPr>
                <w:sz w:val="24"/>
              </w:rPr>
              <w:t>20</w:t>
            </w:r>
            <w:r>
              <w:rPr>
                <w:rFonts w:hint="eastAsia"/>
                <w:sz w:val="24"/>
              </w:rPr>
              <w:t>16</w:t>
            </w:r>
            <w:r>
              <w:rPr>
                <w:sz w:val="24"/>
              </w:rPr>
              <w:t>-20</w:t>
            </w:r>
            <w:r>
              <w:rPr>
                <w:rFonts w:hint="eastAsia"/>
                <w:sz w:val="24"/>
              </w:rPr>
              <w:t>20</w:t>
            </w:r>
            <w:r>
              <w:rPr>
                <w:rFonts w:hAnsi="宋体"/>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487" w:type="dxa"/>
            <w:noWrap w:val="0"/>
            <w:tcMar>
              <w:top w:w="16" w:type="dxa"/>
              <w:left w:w="16" w:type="dxa"/>
              <w:right w:w="16" w:type="dxa"/>
            </w:tcMar>
            <w:vAlign w:val="center"/>
          </w:tcPr>
          <w:p>
            <w:pPr>
              <w:autoSpaceDE w:val="0"/>
              <w:autoSpaceDN w:val="0"/>
              <w:adjustRightInd w:val="0"/>
              <w:snapToGrid w:val="0"/>
              <w:jc w:val="center"/>
              <w:rPr>
                <w:kern w:val="0"/>
                <w:sz w:val="24"/>
                <w:highlight w:val="yellow"/>
              </w:rPr>
            </w:pPr>
            <w:bookmarkStart w:id="5" w:name="_Hlk56690880"/>
            <w:r>
              <w:rPr>
                <w:rFonts w:hAnsi="宋体"/>
                <w:kern w:val="0"/>
                <w:sz w:val="24"/>
              </w:rPr>
              <w:t>其他符合性分析</w:t>
            </w:r>
            <w:bookmarkEnd w:id="5"/>
          </w:p>
        </w:tc>
        <w:tc>
          <w:tcPr>
            <w:tcW w:w="8464" w:type="dxa"/>
            <w:gridSpan w:val="5"/>
            <w:noWrap w:val="0"/>
            <w:tcMar>
              <w:top w:w="16" w:type="dxa"/>
              <w:left w:w="16" w:type="dxa"/>
              <w:right w:w="16" w:type="dxa"/>
            </w:tcMar>
            <w:vAlign w:val="center"/>
          </w:tcPr>
          <w:p>
            <w:pPr>
              <w:adjustRightInd w:val="0"/>
              <w:snapToGrid w:val="0"/>
              <w:spacing w:line="360" w:lineRule="auto"/>
              <w:ind w:firstLine="48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1.与《产业结构调整指导目录(2019年本)》的符合性分析</w:t>
            </w:r>
          </w:p>
          <w:p>
            <w:pPr>
              <w:adjustRightInd w:val="0"/>
              <w:snapToGrid w:val="0"/>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依据中华人民共和国国家发展</w:t>
            </w:r>
            <w:r>
              <w:rPr>
                <w:rFonts w:hint="eastAsia" w:cs="Times New Roman"/>
                <w:sz w:val="24"/>
                <w:szCs w:val="24"/>
                <w:lang w:eastAsia="zh-CN"/>
              </w:rPr>
              <w:t>和</w:t>
            </w:r>
            <w:bookmarkStart w:id="68" w:name="_GoBack"/>
            <w:bookmarkEnd w:id="68"/>
            <w:r>
              <w:rPr>
                <w:rFonts w:hint="default" w:ascii="Times New Roman" w:hAnsi="Times New Roman" w:eastAsia="宋体" w:cs="Times New Roman"/>
                <w:sz w:val="24"/>
                <w:szCs w:val="24"/>
              </w:rPr>
              <w:t>改革委员会《产业结构调整指导目录(2019年本)》，</w:t>
            </w:r>
            <w:r>
              <w:rPr>
                <w:rFonts w:hint="default" w:ascii="Times New Roman" w:hAnsi="Times New Roman" w:eastAsia="宋体" w:cs="Times New Roman"/>
                <w:sz w:val="24"/>
                <w:szCs w:val="24"/>
                <w:lang w:val="en-US" w:eastAsia="zh-CN"/>
              </w:rPr>
              <w:t>砂石料开采及加工</w:t>
            </w:r>
            <w:r>
              <w:rPr>
                <w:rFonts w:hint="default" w:ascii="Times New Roman" w:hAnsi="Times New Roman" w:eastAsia="宋体" w:cs="Times New Roman"/>
                <w:sz w:val="24"/>
                <w:szCs w:val="24"/>
              </w:rPr>
              <w:t>项目不属于淘汰类和限制类，为允许类。所以本项目符合国家相关的产业政策要求。</w:t>
            </w:r>
          </w:p>
          <w:p>
            <w:pPr>
              <w:pStyle w:val="79"/>
              <w:numPr>
                <w:ilvl w:val="0"/>
                <w:numId w:val="0"/>
              </w:numPr>
              <w:adjustRightInd w:val="0"/>
              <w:snapToGrid w:val="0"/>
              <w:spacing w:line="360" w:lineRule="auto"/>
              <w:ind w:left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2.</w:t>
            </w:r>
            <w:r>
              <w:rPr>
                <w:rFonts w:hint="default" w:ascii="Times New Roman" w:hAnsi="Times New Roman" w:eastAsia="宋体" w:cs="Times New Roman"/>
                <w:b/>
                <w:bCs/>
                <w:sz w:val="24"/>
                <w:szCs w:val="24"/>
              </w:rPr>
              <w:t>与《矿山生态环境保护与污染防治技术政策》的符合性分析</w:t>
            </w:r>
          </w:p>
          <w:p>
            <w:pPr>
              <w:pStyle w:val="79"/>
              <w:numPr>
                <w:ilvl w:val="0"/>
                <w:numId w:val="0"/>
              </w:num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项目与《矿山生态环境保护与污染防治技术政策》（环发[2005]10</w:t>
            </w:r>
            <w:r>
              <w:rPr>
                <w:rFonts w:hint="default" w:ascii="Times New Roman" w:hAnsi="Times New Roman" w:eastAsia="宋体" w:cs="Times New Roman"/>
                <w:sz w:val="24"/>
                <w:szCs w:val="24"/>
                <w:lang w:val="en-US" w:eastAsia="zh-CN"/>
              </w:rPr>
              <w:t>9号）</w:t>
            </w:r>
            <w:r>
              <w:rPr>
                <w:rFonts w:hint="default" w:ascii="Times New Roman" w:hAnsi="Times New Roman" w:eastAsia="宋体" w:cs="Times New Roman"/>
                <w:sz w:val="24"/>
                <w:szCs w:val="24"/>
              </w:rPr>
              <w:t>的符合性分析详见表 1-1。</w:t>
            </w:r>
          </w:p>
          <w:p>
            <w:pPr>
              <w:pStyle w:val="62"/>
              <w:tabs>
                <w:tab w:val="left" w:pos="1311"/>
              </w:tabs>
              <w:spacing w:before="7" w:line="360" w:lineRule="auto"/>
              <w:ind w:left="454"/>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 1-1</w:t>
            </w:r>
            <w:r>
              <w:rPr>
                <w:rFonts w:hint="default" w:ascii="Times New Roman" w:hAnsi="Times New Roman" w:eastAsia="宋体" w:cs="Times New Roman"/>
                <w:b/>
                <w:bCs/>
                <w:sz w:val="24"/>
                <w:szCs w:val="24"/>
              </w:rPr>
              <w:tab/>
            </w:r>
            <w:r>
              <w:rPr>
                <w:rFonts w:hint="default" w:ascii="Times New Roman" w:hAnsi="Times New Roman" w:eastAsia="宋体" w:cs="Times New Roman"/>
                <w:b/>
                <w:bCs/>
                <w:sz w:val="24"/>
                <w:szCs w:val="24"/>
              </w:rPr>
              <w:t>项目与矿山生态环境保护与污染防治技术政策符合性分析</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3557"/>
              <w:gridCol w:w="2919"/>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504" w:type="dxa"/>
                  <w:gridSpan w:val="2"/>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《矿山生态环境保护与污染防治技术政策》</w:t>
                  </w:r>
                  <w:r>
                    <w:rPr>
                      <w:rFonts w:hint="default" w:ascii="Times New Roman" w:hAnsi="Times New Roman" w:eastAsia="宋体" w:cs="Times New Roman"/>
                      <w:sz w:val="21"/>
                      <w:szCs w:val="21"/>
                      <w:lang w:val="en-US" w:eastAsia="zh-CN"/>
                    </w:rPr>
                    <w:t>的相关要点</w:t>
                  </w:r>
                </w:p>
              </w:tc>
              <w:tc>
                <w:tcPr>
                  <w:tcW w:w="2919"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建设项目设计要点</w:t>
                  </w:r>
                </w:p>
              </w:tc>
              <w:tc>
                <w:tcPr>
                  <w:tcW w:w="896"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47" w:type="dxa"/>
                  <w:vMerge w:val="restart"/>
                  <w:tcBorders>
                    <w:tl2br w:val="nil"/>
                    <w:tr2bl w:val="nil"/>
                  </w:tcBorders>
                  <w:vAlign w:val="top"/>
                </w:tcPr>
                <w:p>
                  <w:pPr>
                    <w:keepNext w:val="0"/>
                    <w:keepLines w:val="0"/>
                    <w:widowControl/>
                    <w:suppressLineNumbers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选址</w:t>
                  </w:r>
                </w:p>
                <w:p>
                  <w:pPr>
                    <w:keepNext w:val="0"/>
                    <w:keepLines w:val="0"/>
                    <w:widowControl/>
                    <w:suppressLineNumbers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规定</w:t>
                  </w: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p>
              </w:tc>
              <w:tc>
                <w:tcPr>
                  <w:tcW w:w="3557"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禁止在依法划定的自然保护区（核心区、缓冲区）、风景名胜区、森林公园、饮用水水源保护区、重要湖泊周边、文物古迹所在地、地质遗迹保护区、基本农田保护区等区域内采矿。</w:t>
                  </w:r>
                </w:p>
              </w:tc>
              <w:tc>
                <w:tcPr>
                  <w:tcW w:w="2919"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本项目不涉及自然保护区、风景名胜区、森林公园、饮用水水源保护区、重要湖泊、文物古迹所在地、地质遗迹保护区等禁止采矿区域。</w:t>
                  </w:r>
                </w:p>
              </w:tc>
              <w:tc>
                <w:tcPr>
                  <w:tcW w:w="896"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47" w:type="dxa"/>
                  <w:vMerge w:val="continue"/>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p>
              </w:tc>
              <w:tc>
                <w:tcPr>
                  <w:tcW w:w="3557"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禁止在铁路、国道、省道两侧的直观可视范围内进行露天开采。</w:t>
                  </w:r>
                </w:p>
              </w:tc>
              <w:tc>
                <w:tcPr>
                  <w:tcW w:w="2919"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本项目开采区不在铁路、国道、省道两侧的直观可视范围内。</w:t>
                  </w:r>
                </w:p>
              </w:tc>
              <w:tc>
                <w:tcPr>
                  <w:tcW w:w="896"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47" w:type="dxa"/>
                  <w:vMerge w:val="continue"/>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p>
              </w:tc>
              <w:tc>
                <w:tcPr>
                  <w:tcW w:w="3557"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禁止在地质灾害危险区开采矿采资源。</w:t>
                  </w:r>
                </w:p>
              </w:tc>
              <w:tc>
                <w:tcPr>
                  <w:tcW w:w="2919"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本项目所在地不属于地质灾害危险区。</w:t>
                  </w:r>
                </w:p>
              </w:tc>
              <w:tc>
                <w:tcPr>
                  <w:tcW w:w="896"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47" w:type="dxa"/>
                  <w:vMerge w:val="continue"/>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p>
              </w:tc>
              <w:tc>
                <w:tcPr>
                  <w:tcW w:w="3557"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禁止新建对生态环境产生不可恢复利用的、产生破坏性影响的矿产资源开发项目。</w:t>
                  </w:r>
                </w:p>
              </w:tc>
              <w:tc>
                <w:tcPr>
                  <w:tcW w:w="2919"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闭矿后对裸露地表及时土地复垦，恢复绿化，控制水土流失</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p>
              </w:tc>
              <w:tc>
                <w:tcPr>
                  <w:tcW w:w="896"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47" w:type="dxa"/>
                  <w:vMerge w:val="continue"/>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p>
              </w:tc>
              <w:tc>
                <w:tcPr>
                  <w:tcW w:w="3557"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矿产资源开发应符合国家产业政策要求，选址、布局应符合所在地的区域发展规划。</w:t>
                  </w:r>
                </w:p>
              </w:tc>
              <w:tc>
                <w:tcPr>
                  <w:tcW w:w="2919"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符合国家产业政策。</w:t>
                  </w:r>
                </w:p>
              </w:tc>
              <w:tc>
                <w:tcPr>
                  <w:tcW w:w="896"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947" w:type="dxa"/>
                  <w:tcBorders>
                    <w:tl2br w:val="nil"/>
                    <w:tr2bl w:val="nil"/>
                  </w:tcBorders>
                  <w:vAlign w:val="top"/>
                </w:tcPr>
                <w:p>
                  <w:pPr>
                    <w:keepNext w:val="0"/>
                    <w:keepLines w:val="0"/>
                    <w:widowControl/>
                    <w:suppressLineNumbers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鼓励采用的采矿技术</w:t>
                  </w:r>
                </w:p>
              </w:tc>
              <w:tc>
                <w:tcPr>
                  <w:tcW w:w="3557"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对于露天开采的矿山，宜推广剥离--排土--造地--复垦一体化技术。</w:t>
                  </w:r>
                </w:p>
              </w:tc>
              <w:tc>
                <w:tcPr>
                  <w:tcW w:w="2919"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本项目进行</w:t>
                  </w:r>
                  <w:r>
                    <w:rPr>
                      <w:rFonts w:hint="default" w:ascii="Times New Roman" w:hAnsi="Times New Roman" w:eastAsia="宋体" w:cs="Times New Roman"/>
                      <w:sz w:val="21"/>
                      <w:szCs w:val="21"/>
                      <w:lang w:val="en-US" w:eastAsia="zh-CN"/>
                    </w:rPr>
                    <w:t>剥离--排土--造地--复垦一体化技术</w:t>
                  </w:r>
                  <w:r>
                    <w:rPr>
                      <w:rFonts w:hint="eastAsia" w:ascii="Times New Roman" w:hAnsi="Times New Roman" w:cs="Times New Roman"/>
                      <w:sz w:val="21"/>
                      <w:szCs w:val="21"/>
                      <w:lang w:val="en-US" w:eastAsia="zh-CN"/>
                    </w:rPr>
                    <w:t>。</w:t>
                  </w:r>
                </w:p>
              </w:tc>
              <w:tc>
                <w:tcPr>
                  <w:tcW w:w="896"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947" w:type="dxa"/>
                  <w:tcBorders>
                    <w:tl2br w:val="nil"/>
                    <w:tr2bl w:val="nil"/>
                  </w:tcBorders>
                  <w:vAlign w:val="top"/>
                </w:tcPr>
                <w:p>
                  <w:pPr>
                    <w:keepNext w:val="0"/>
                    <w:keepLines w:val="0"/>
                    <w:widowControl/>
                    <w:suppressLineNumbers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固体废物贮存和综合利用</w:t>
                  </w:r>
                </w:p>
              </w:tc>
              <w:tc>
                <w:tcPr>
                  <w:tcW w:w="3557" w:type="dxa"/>
                  <w:tcBorders>
                    <w:tl2br w:val="nil"/>
                    <w:tr2bl w:val="nil"/>
                  </w:tcBorders>
                  <w:vAlign w:val="top"/>
                </w:tcPr>
                <w:p>
                  <w:pPr>
                    <w:pStyle w:val="79"/>
                    <w:numPr>
                      <w:ilvl w:val="0"/>
                      <w:numId w:val="0"/>
                    </w:numPr>
                    <w:adjustRightInd w:val="0"/>
                    <w:snapToGrid w:val="0"/>
                    <w:spacing w:line="240" w:lineRule="auto"/>
                    <w:jc w:val="both"/>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对采矿活动所产生的固体废物，应使用专用场所堆放，并采取有效措施防止二次环境污染及诱发次生地质灾害。</w:t>
                  </w:r>
                </w:p>
              </w:tc>
              <w:tc>
                <w:tcPr>
                  <w:tcW w:w="2919" w:type="dxa"/>
                  <w:tcBorders>
                    <w:tl2br w:val="nil"/>
                    <w:tr2bl w:val="nil"/>
                  </w:tcBorders>
                  <w:vAlign w:val="top"/>
                </w:tcPr>
                <w:p>
                  <w:pPr>
                    <w:pStyle w:val="79"/>
                    <w:numPr>
                      <w:ilvl w:val="0"/>
                      <w:numId w:val="0"/>
                    </w:numPr>
                    <w:adjustRightInd w:val="0"/>
                    <w:snapToGrid w:val="0"/>
                    <w:spacing w:line="240" w:lineRule="auto"/>
                    <w:jc w:val="both"/>
                    <w:rPr>
                      <w:rFonts w:hint="eastAsia"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采矿产生的表土用于厂区绿化，及道路平整。</w:t>
                  </w:r>
                </w:p>
              </w:tc>
              <w:tc>
                <w:tcPr>
                  <w:tcW w:w="896"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947" w:type="dxa"/>
                  <w:tcBorders>
                    <w:tl2br w:val="nil"/>
                    <w:tr2bl w:val="nil"/>
                  </w:tcBorders>
                  <w:vAlign w:val="top"/>
                </w:tcPr>
                <w:p>
                  <w:pPr>
                    <w:keepNext w:val="0"/>
                    <w:keepLines w:val="0"/>
                    <w:widowControl/>
                    <w:suppressLineNumbers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废弃地复垦</w:t>
                  </w: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p>
              </w:tc>
              <w:tc>
                <w:tcPr>
                  <w:tcW w:w="3557" w:type="dxa"/>
                  <w:tcBorders>
                    <w:tl2br w:val="nil"/>
                    <w:tr2bl w:val="nil"/>
                  </w:tcBorders>
                  <w:vAlign w:val="top"/>
                </w:tcPr>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矿山生产过程中应采取种植植物和覆盖等复垦措施，对露天坑、排土场、尾矿库、矸石山等永久性坡面进行稳定化处理，防止水土流失和滑坡。排土场、尾矿库、矸石山等固废堆场服务期满后，应及时封场和复垦，防止水土流失及风蚀扬尘等。</w:t>
                  </w:r>
                </w:p>
              </w:tc>
              <w:tc>
                <w:tcPr>
                  <w:tcW w:w="2919" w:type="dxa"/>
                  <w:tcBorders>
                    <w:tl2br w:val="nil"/>
                    <w:tr2bl w:val="nil"/>
                  </w:tcBorders>
                  <w:vAlign w:val="top"/>
                </w:tcPr>
                <w:p>
                  <w:pPr>
                    <w:keepNext w:val="0"/>
                    <w:keepLines w:val="0"/>
                    <w:widowControl/>
                    <w:suppressLineNumbers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矿山生产过程中采取种植植物和覆盖等复垦措施，对露天坑等永久性坡面进行稳定化处理，防止水土流失和滑坡。</w:t>
                  </w: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tc>
              <w:tc>
                <w:tcPr>
                  <w:tcW w:w="896"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bl>
          <w:p>
            <w:pPr>
              <w:pStyle w:val="62"/>
              <w:overflowPunct w:val="0"/>
              <w:autoSpaceDE w:val="0"/>
              <w:autoSpaceDN w:val="0"/>
              <w:adjustRightInd w:val="0"/>
              <w:snapToGrid w:val="0"/>
              <w:spacing w:line="360" w:lineRule="auto"/>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3.</w:t>
            </w:r>
            <w:r>
              <w:rPr>
                <w:rFonts w:hint="default" w:ascii="Times New Roman" w:hAnsi="Times New Roman" w:eastAsia="宋体" w:cs="Times New Roman"/>
                <w:b/>
                <w:bCs/>
                <w:sz w:val="24"/>
                <w:szCs w:val="24"/>
              </w:rPr>
              <w:t>与《矿山生态环境保护与</w:t>
            </w:r>
            <w:r>
              <w:rPr>
                <w:rFonts w:hint="default" w:ascii="Times New Roman" w:hAnsi="Times New Roman" w:eastAsia="宋体" w:cs="Times New Roman"/>
                <w:b/>
                <w:bCs/>
                <w:sz w:val="24"/>
                <w:szCs w:val="24"/>
                <w:lang w:val="en-US" w:eastAsia="zh-CN"/>
              </w:rPr>
              <w:t>恢复治理</w:t>
            </w:r>
            <w:r>
              <w:rPr>
                <w:rFonts w:hint="default" w:ascii="Times New Roman" w:hAnsi="Times New Roman" w:eastAsia="宋体" w:cs="Times New Roman"/>
                <w:b/>
                <w:bCs/>
                <w:sz w:val="24"/>
                <w:szCs w:val="24"/>
              </w:rPr>
              <w:t>技术</w:t>
            </w:r>
            <w:r>
              <w:rPr>
                <w:rFonts w:hint="default" w:ascii="Times New Roman" w:hAnsi="Times New Roman" w:eastAsia="宋体" w:cs="Times New Roman"/>
                <w:b/>
                <w:bCs/>
                <w:sz w:val="24"/>
                <w:szCs w:val="24"/>
                <w:lang w:val="en-US" w:eastAsia="zh-CN"/>
              </w:rPr>
              <w:t>规范（试行）</w:t>
            </w:r>
            <w:r>
              <w:rPr>
                <w:rFonts w:hint="default" w:ascii="Times New Roman" w:hAnsi="Times New Roman" w:eastAsia="宋体" w:cs="Times New Roman"/>
                <w:b/>
                <w:bCs/>
                <w:sz w:val="24"/>
                <w:szCs w:val="24"/>
              </w:rPr>
              <w:t>》符合性分析</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本项目与</w:t>
            </w:r>
            <w:r>
              <w:rPr>
                <w:rFonts w:hint="default" w:ascii="Times New Roman" w:hAnsi="Times New Roman" w:eastAsia="宋体" w:cs="Times New Roman"/>
                <w:sz w:val="24"/>
                <w:szCs w:val="24"/>
              </w:rPr>
              <w:t>《矿山生态环境保护与</w:t>
            </w:r>
            <w:r>
              <w:rPr>
                <w:rFonts w:hint="default" w:ascii="Times New Roman" w:hAnsi="Times New Roman" w:eastAsia="宋体" w:cs="Times New Roman"/>
                <w:sz w:val="24"/>
                <w:szCs w:val="24"/>
                <w:lang w:val="en-US" w:eastAsia="zh-CN"/>
              </w:rPr>
              <w:t>恢复治理</w:t>
            </w:r>
            <w:r>
              <w:rPr>
                <w:rFonts w:hint="default" w:ascii="Times New Roman" w:hAnsi="Times New Roman" w:eastAsia="宋体" w:cs="Times New Roman"/>
                <w:sz w:val="24"/>
                <w:szCs w:val="24"/>
              </w:rPr>
              <w:t>技术</w:t>
            </w:r>
            <w:r>
              <w:rPr>
                <w:rFonts w:hint="default" w:ascii="Times New Roman" w:hAnsi="Times New Roman" w:eastAsia="宋体" w:cs="Times New Roman"/>
                <w:sz w:val="24"/>
                <w:szCs w:val="24"/>
                <w:lang w:val="en-US" w:eastAsia="zh-CN"/>
              </w:rPr>
              <w:t>规范（试行）</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符合性分析</w:t>
            </w:r>
            <w:r>
              <w:rPr>
                <w:rFonts w:hint="default" w:ascii="Times New Roman" w:hAnsi="Times New Roman" w:eastAsia="宋体" w:cs="Times New Roman"/>
                <w:sz w:val="24"/>
                <w:szCs w:val="24"/>
              </w:rPr>
              <w:t>具体见表1-</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w:t>
            </w:r>
          </w:p>
          <w:p>
            <w:pPr>
              <w:pStyle w:val="62"/>
              <w:overflowPunct w:val="0"/>
              <w:autoSpaceDE w:val="0"/>
              <w:autoSpaceDN w:val="0"/>
              <w:adjustRightInd w:val="0"/>
              <w:snapToGrid w:val="0"/>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表1</w:t>
            </w:r>
            <w:r>
              <w:rPr>
                <w:rFonts w:hint="default" w:ascii="Times New Roman" w:hAnsi="Times New Roman" w:eastAsia="宋体" w:cs="Times New Roman"/>
                <w:b/>
                <w:bCs/>
                <w:sz w:val="24"/>
                <w:szCs w:val="24"/>
                <w:lang w:val="en-US" w:eastAsia="zh-CN"/>
              </w:rPr>
              <w:t>-2 项目</w:t>
            </w:r>
            <w:r>
              <w:rPr>
                <w:rFonts w:hint="default" w:ascii="Times New Roman" w:hAnsi="Times New Roman" w:eastAsia="宋体" w:cs="Times New Roman"/>
                <w:b/>
                <w:bCs/>
                <w:sz w:val="24"/>
                <w:szCs w:val="24"/>
              </w:rPr>
              <w:t>与《矿山生态环境保护与</w:t>
            </w:r>
            <w:r>
              <w:rPr>
                <w:rFonts w:hint="default" w:ascii="Times New Roman" w:hAnsi="Times New Roman" w:eastAsia="宋体" w:cs="Times New Roman"/>
                <w:b/>
                <w:bCs/>
                <w:sz w:val="24"/>
                <w:szCs w:val="24"/>
                <w:lang w:val="en-US" w:eastAsia="zh-CN"/>
              </w:rPr>
              <w:t>恢复治理</w:t>
            </w:r>
            <w:r>
              <w:rPr>
                <w:rFonts w:hint="default" w:ascii="Times New Roman" w:hAnsi="Times New Roman" w:eastAsia="宋体" w:cs="Times New Roman"/>
                <w:b/>
                <w:bCs/>
                <w:sz w:val="24"/>
                <w:szCs w:val="24"/>
              </w:rPr>
              <w:t>技术</w:t>
            </w:r>
            <w:r>
              <w:rPr>
                <w:rFonts w:hint="default" w:ascii="Times New Roman" w:hAnsi="Times New Roman" w:eastAsia="宋体" w:cs="Times New Roman"/>
                <w:b/>
                <w:bCs/>
                <w:sz w:val="24"/>
                <w:szCs w:val="24"/>
                <w:lang w:val="en-US" w:eastAsia="zh-CN"/>
              </w:rPr>
              <w:t>规范（试行）</w:t>
            </w:r>
            <w:r>
              <w:rPr>
                <w:rFonts w:hint="default" w:ascii="Times New Roman" w:hAnsi="Times New Roman" w:eastAsia="宋体" w:cs="Times New Roman"/>
                <w:b/>
                <w:bCs/>
                <w:sz w:val="24"/>
                <w:szCs w:val="24"/>
              </w:rPr>
              <w:t>》符合性分析</w:t>
            </w:r>
          </w:p>
          <w:tbl>
            <w:tblPr>
              <w:tblStyle w:val="28"/>
              <w:tblW w:w="49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3418"/>
              <w:gridCol w:w="3454"/>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1" w:hRule="atLeast"/>
                <w:jc w:val="center"/>
              </w:trPr>
              <w:tc>
                <w:tcPr>
                  <w:tcW w:w="406"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序号</w:t>
                  </w:r>
                </w:p>
              </w:tc>
              <w:tc>
                <w:tcPr>
                  <w:tcW w:w="205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相关规定</w:t>
                  </w:r>
                </w:p>
              </w:tc>
              <w:tc>
                <w:tcPr>
                  <w:tcW w:w="2078"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本项目情况</w:t>
                  </w:r>
                </w:p>
              </w:tc>
              <w:tc>
                <w:tcPr>
                  <w:tcW w:w="457" w:type="pct"/>
                  <w:tcBorders>
                    <w:tl2br w:val="nil"/>
                    <w:tr2bl w:val="nil"/>
                  </w:tcBorders>
                  <w:noWrap w:val="0"/>
                  <w:vAlign w:val="center"/>
                </w:tcPr>
                <w:p>
                  <w:pPr>
                    <w:adjustRightInd w:val="0"/>
                    <w:snapToGrid w:val="0"/>
                    <w:spacing w:line="240" w:lineRule="auto"/>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符合</w:t>
                  </w:r>
                  <w:r>
                    <w:rPr>
                      <w:rFonts w:hint="default" w:ascii="Times New Roman" w:hAnsi="Times New Roman" w:eastAsia="宋体" w:cs="Times New Roman"/>
                      <w:sz w:val="21"/>
                      <w:szCs w:val="21"/>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483" w:hRule="atLeast"/>
                <w:jc w:val="center"/>
              </w:trPr>
              <w:tc>
                <w:tcPr>
                  <w:tcW w:w="406"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p>
              </w:tc>
              <w:tc>
                <w:tcPr>
                  <w:tcW w:w="2057"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1、禁止在依法划定的自然保护区</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风景名胜区、森林公园、饮用水水源保护区、文物古迹所在地、地质遗迹保护区、基本农田保护区等区</w:t>
                  </w:r>
                  <w:r>
                    <w:rPr>
                      <w:rFonts w:hint="default" w:ascii="Times New Roman" w:hAnsi="Times New Roman" w:eastAsia="宋体" w:cs="Times New Roman"/>
                      <w:sz w:val="21"/>
                      <w:szCs w:val="21"/>
                      <w:lang w:val="en-US" w:eastAsia="zh-CN"/>
                    </w:rPr>
                    <w:t>等重要生态保护地以及其他法律法规规定的禁采区域内采矿。禁止在重要道路、航道两侧及重要生态环境敏感目标可视范围内进行对景观破坏明显的露天开采</w:t>
                  </w:r>
                  <w:r>
                    <w:rPr>
                      <w:rFonts w:hint="default" w:ascii="Times New Roman" w:hAnsi="Times New Roman" w:eastAsia="宋体" w:cs="Times New Roman"/>
                      <w:sz w:val="21"/>
                      <w:szCs w:val="21"/>
                    </w:rPr>
                    <w:t>；</w:t>
                  </w:r>
                </w:p>
              </w:tc>
              <w:tc>
                <w:tcPr>
                  <w:tcW w:w="2078"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矿区不涉及自然保护区、风景名胜区、森林公园、饮用水水源保护区、文物古迹所在地、地质遗迹保护区、基本农田保护区等重要生态保护地。通过采取一定污染防治措施后，不会对重要道路两侧及重要生态环境敏感目标造成景观破坏，项目采矿区</w:t>
                  </w:r>
                  <w:r>
                    <w:rPr>
                      <w:rFonts w:hint="eastAsia" w:cs="Times New Roman"/>
                      <w:sz w:val="21"/>
                      <w:szCs w:val="21"/>
                      <w:lang w:val="en-US" w:eastAsia="zh-CN"/>
                    </w:rPr>
                    <w:t>直线</w:t>
                  </w:r>
                  <w:r>
                    <w:rPr>
                      <w:rFonts w:hint="default" w:ascii="Times New Roman" w:hAnsi="Times New Roman" w:eastAsia="宋体" w:cs="Times New Roman"/>
                      <w:sz w:val="21"/>
                      <w:szCs w:val="21"/>
                      <w:lang w:val="en-US" w:eastAsia="zh-CN"/>
                    </w:rPr>
                    <w:t>距离</w:t>
                  </w:r>
                  <w:r>
                    <w:rPr>
                      <w:rFonts w:hint="eastAsia" w:cs="Times New Roman"/>
                      <w:sz w:val="21"/>
                      <w:szCs w:val="21"/>
                      <w:lang w:val="en-US" w:eastAsia="zh-CN"/>
                    </w:rPr>
                    <w:t>二级公路500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lang w:val="en-US" w:eastAsia="zh-CN"/>
                    </w:rPr>
                    <w:t>，不在可视范围之内</w:t>
                  </w:r>
                </w:p>
              </w:tc>
              <w:tc>
                <w:tcPr>
                  <w:tcW w:w="45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54" w:hRule="atLeast"/>
                <w:jc w:val="center"/>
              </w:trPr>
              <w:tc>
                <w:tcPr>
                  <w:tcW w:w="406" w:type="pct"/>
                  <w:tcBorders>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2057"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矿产资源开发活动应符合国家和区域主体功能区规划、生态功能区划、生态环境保护规划的要求。</w:t>
                  </w:r>
                </w:p>
              </w:tc>
              <w:tc>
                <w:tcPr>
                  <w:tcW w:w="2078"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项目符合当地的生态功能规划、环境功能规划。</w:t>
                  </w:r>
                </w:p>
              </w:tc>
              <w:tc>
                <w:tcPr>
                  <w:tcW w:w="45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06" w:type="pct"/>
                  <w:tcBorders>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2057"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所有矿山企业均应对照本标准各项要求，编制矿山生态环境保护与恢复治理方案。</w:t>
                  </w:r>
                </w:p>
              </w:tc>
              <w:tc>
                <w:tcPr>
                  <w:tcW w:w="2078"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建设单位已编制实施矿山生态环境保护与恢复治理方案</w:t>
                  </w:r>
                </w:p>
                <w:p>
                  <w:pPr>
                    <w:adjustRightInd w:val="0"/>
                    <w:snapToGrid w:val="0"/>
                    <w:spacing w:line="240" w:lineRule="auto"/>
                    <w:jc w:val="center"/>
                    <w:rPr>
                      <w:rFonts w:hint="default" w:ascii="Times New Roman" w:hAnsi="Times New Roman" w:eastAsia="宋体" w:cs="Times New Roman"/>
                      <w:sz w:val="21"/>
                      <w:szCs w:val="21"/>
                    </w:rPr>
                  </w:pPr>
                </w:p>
              </w:tc>
              <w:tc>
                <w:tcPr>
                  <w:tcW w:w="45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59" w:hRule="atLeast"/>
                <w:jc w:val="center"/>
              </w:trPr>
              <w:tc>
                <w:tcPr>
                  <w:tcW w:w="406" w:type="pct"/>
                  <w:tcBorders>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057"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en-US"/>
                    </w:rPr>
                  </w:pPr>
                  <w:r>
                    <w:rPr>
                      <w:rFonts w:hint="default" w:ascii="Times New Roman" w:hAnsi="Times New Roman" w:eastAsia="宋体" w:cs="Times New Roman"/>
                      <w:sz w:val="21"/>
                      <w:szCs w:val="21"/>
                      <w:lang w:val="en-US" w:eastAsia="zh-CN"/>
                    </w:rPr>
                    <w:t>恢复治理后的各类场地应实现：安全稳定，对人类和动植物不造成威胁；与周边自然环境和景观相协调；恢复土地基本功能，因地制宜实现土地可持续利用；区域整体生态功能得到保护和恢复。</w:t>
                  </w:r>
                </w:p>
              </w:tc>
              <w:tc>
                <w:tcPr>
                  <w:tcW w:w="2078"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通过分析，项目对周边生态环境影响较小，通过实施土地复垦，区域整体生态功能得到保护和恢复。</w:t>
                  </w:r>
                </w:p>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sz w:val="21"/>
                      <w:szCs w:val="21"/>
                      <w:lang w:val="en-US" w:eastAsia="en-US"/>
                    </w:rPr>
                  </w:pPr>
                </w:p>
              </w:tc>
              <w:tc>
                <w:tcPr>
                  <w:tcW w:w="45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39" w:hRule="atLeast"/>
                <w:jc w:val="center"/>
              </w:trPr>
              <w:tc>
                <w:tcPr>
                  <w:tcW w:w="406" w:type="pct"/>
                  <w:tcBorders>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057"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矿区专用道路取弃土工程结束后，取排土场应及时回填、整平、压实，并利用堆存的表土进行恢复植被和景观恢复。</w:t>
                  </w:r>
                </w:p>
              </w:tc>
              <w:tc>
                <w:tcPr>
                  <w:tcW w:w="2078"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项目对矿区运输道路生态恢复</w:t>
                  </w:r>
                </w:p>
                <w:p>
                  <w:pPr>
                    <w:adjustRightInd w:val="0"/>
                    <w:snapToGrid w:val="0"/>
                    <w:spacing w:line="240" w:lineRule="auto"/>
                    <w:jc w:val="center"/>
                    <w:rPr>
                      <w:rFonts w:hint="default" w:ascii="Times New Roman" w:hAnsi="Times New Roman" w:eastAsia="宋体" w:cs="Times New Roman"/>
                      <w:sz w:val="21"/>
                      <w:szCs w:val="21"/>
                    </w:rPr>
                  </w:pPr>
                </w:p>
              </w:tc>
              <w:tc>
                <w:tcPr>
                  <w:tcW w:w="45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bl>
          <w:p>
            <w:pPr>
              <w:numPr>
                <w:ilvl w:val="0"/>
                <w:numId w:val="0"/>
              </w:numPr>
              <w:adjustRightInd w:val="0"/>
              <w:snapToGrid w:val="0"/>
              <w:spacing w:line="360" w:lineRule="auto"/>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4.</w:t>
            </w:r>
            <w:r>
              <w:rPr>
                <w:rFonts w:hint="default" w:ascii="Times New Roman" w:hAnsi="Times New Roman" w:eastAsia="宋体" w:cs="Times New Roman"/>
                <w:b/>
                <w:bCs/>
                <w:sz w:val="24"/>
                <w:szCs w:val="24"/>
              </w:rPr>
              <w:t>与《砂石行业绿色矿山建设规范》符合性分析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right="0"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该规划规定了砂石行业绿色矿山矿区环境、资源开发方式等的要求通过对比分析本矿山与规范的符合性如下：</w:t>
            </w:r>
          </w:p>
          <w:p>
            <w:pPr>
              <w:pStyle w:val="62"/>
              <w:keepNext w:val="0"/>
              <w:keepLines w:val="0"/>
              <w:pageBreakBefore w:val="0"/>
              <w:widowControl w:val="0"/>
              <w:kinsoku/>
              <w:wordWrap/>
              <w:overflowPunct/>
              <w:topLinePunct w:val="0"/>
              <w:autoSpaceDE/>
              <w:autoSpaceDN/>
              <w:bidi w:val="0"/>
              <w:spacing w:line="360" w:lineRule="auto"/>
              <w:ind w:left="0" w:right="0" w:firstLine="482" w:firstLineChars="200"/>
              <w:jc w:val="center"/>
              <w:textAlignment w:val="auto"/>
              <w:rPr>
                <w:rFonts w:hint="default"/>
                <w:b/>
                <w:bCs/>
                <w:lang w:val="en-US" w:eastAsia="zh-CN"/>
              </w:rPr>
            </w:pPr>
            <w:r>
              <w:rPr>
                <w:rFonts w:hint="default" w:ascii="Times New Roman" w:hAnsi="Times New Roman" w:eastAsia="宋体" w:cs="Times New Roman"/>
                <w:b/>
                <w:bCs/>
                <w:sz w:val="24"/>
                <w:szCs w:val="24"/>
                <w:lang w:val="en-US" w:eastAsia="zh-CN"/>
              </w:rPr>
              <w:t>表1-3 与砂石行业绿色矿山建设规范符合性分析</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510"/>
              <w:gridCol w:w="3394"/>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681"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基本要求</w:t>
                  </w:r>
                </w:p>
              </w:tc>
              <w:tc>
                <w:tcPr>
                  <w:tcW w:w="3510"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具体内容</w:t>
                  </w:r>
                </w:p>
              </w:tc>
              <w:tc>
                <w:tcPr>
                  <w:tcW w:w="3394"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本矿山建设情况</w:t>
                  </w:r>
                </w:p>
              </w:tc>
              <w:tc>
                <w:tcPr>
                  <w:tcW w:w="733"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jc w:val="center"/>
              </w:trPr>
              <w:tc>
                <w:tcPr>
                  <w:tcW w:w="681"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rPr>
                  </w:pPr>
                  <w:r>
                    <w:rPr>
                      <w:rFonts w:hint="default" w:ascii="Times New Roman" w:hAnsi="Times New Roman" w:eastAsia="宋体" w:cs="Times New Roman"/>
                      <w:sz w:val="21"/>
                      <w:szCs w:val="21"/>
                      <w:lang w:val="en-US" w:eastAsia="zh-CN"/>
                    </w:rPr>
                    <w:t>矿区环境</w:t>
                  </w:r>
                </w:p>
              </w:tc>
              <w:tc>
                <w:tcPr>
                  <w:tcW w:w="3510" w:type="dxa"/>
                  <w:tcBorders>
                    <w:tl2br w:val="nil"/>
                    <w:tr2bl w:val="nil"/>
                  </w:tcBorders>
                  <w:vAlign w:val="top"/>
                </w:tcPr>
                <w:p>
                  <w:pPr>
                    <w:keepNext w:val="0"/>
                    <w:keepLines w:val="0"/>
                    <w:widowControl/>
                    <w:numPr>
                      <w:ilvl w:val="0"/>
                      <w:numId w:val="1"/>
                    </w:numPr>
                    <w:suppressLineNumbers w:val="0"/>
                    <w:spacing w:line="240"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矿区功能分区布局合理，生产区、生活、办公等功能区应有相应的管理机构和管理制度；</w:t>
                  </w:r>
                </w:p>
                <w:p>
                  <w:pPr>
                    <w:keepNext w:val="0"/>
                    <w:keepLines w:val="0"/>
                    <w:widowControl/>
                    <w:numPr>
                      <w:ilvl w:val="0"/>
                      <w:numId w:val="0"/>
                    </w:numPr>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2、矿区道路、供水、供电、卫生、环保等配套设施齐全； </w:t>
                  </w:r>
                </w:p>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3、矿山生产过程、输送系统、生产线、料库、车辆运输等采取有效抑尘； </w:t>
                  </w:r>
                </w:p>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4、高噪音设备进行降噪处理；矿山开采面、作业平台干净整洁，规范美观；</w:t>
                  </w:r>
                </w:p>
                <w:p>
                  <w:pPr>
                    <w:keepNext w:val="0"/>
                    <w:keepLines w:val="0"/>
                    <w:widowControl/>
                    <w:suppressLineNumbers w:val="0"/>
                    <w:spacing w:line="240" w:lineRule="auto"/>
                    <w:jc w:val="left"/>
                    <w:rPr>
                      <w:rFonts w:hint="default" w:ascii="Times New Roman" w:hAnsi="Times New Roman" w:eastAsia="宋体" w:cs="Times New Roman"/>
                      <w:sz w:val="21"/>
                      <w:szCs w:val="21"/>
                    </w:rPr>
                  </w:pPr>
                </w:p>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zh-CN"/>
                    </w:rPr>
                  </w:pPr>
                </w:p>
              </w:tc>
              <w:tc>
                <w:tcPr>
                  <w:tcW w:w="3394" w:type="dxa"/>
                  <w:tcBorders>
                    <w:tl2br w:val="nil"/>
                    <w:tr2bl w:val="nil"/>
                  </w:tcBorders>
                  <w:vAlign w:val="top"/>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1、本项目矿区开采区位于规划集中开采区，项目生产区、生活、办公等功能区分开执行，各自有相应的管理机构和管理制度； </w:t>
                  </w:r>
                </w:p>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2、项目道路、供水、供电等配套设施齐全； </w:t>
                  </w:r>
                </w:p>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3、项目矿区距离加工区较近，并且运输时进行篷布遮盖；生产线、料库均进行有效防尘措施； </w:t>
                  </w:r>
                </w:p>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 xml:space="preserve">4、项目加工区设备均有降噪措施； </w:t>
                  </w:r>
                </w:p>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项目建筑用砂矿开采面整洁、规范美观；</w:t>
                  </w:r>
                </w:p>
              </w:tc>
              <w:tc>
                <w:tcPr>
                  <w:tcW w:w="733"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81"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资源开发利用</w:t>
                  </w:r>
                </w:p>
              </w:tc>
              <w:tc>
                <w:tcPr>
                  <w:tcW w:w="3510" w:type="dxa"/>
                  <w:tcBorders>
                    <w:tl2br w:val="nil"/>
                    <w:tr2bl w:val="nil"/>
                  </w:tcBorders>
                  <w:vAlign w:val="top"/>
                </w:tcPr>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1、按照地方矿产资源规划，做好开采计划；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2、遵循采剥并举剥离先行原则。减少对矿区植被破坏和环境扰动；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3、排土场选址稳定，堆放安全；</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4、执行开采设计施工和开发利用方案，露天开采实行自上而下台阶式开采开谷阶高度不宜大于15m；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5、合理确定爆破参数，减少大块系及爆破过粉碎；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6、按照核发的采矿许可证规定生产规模生产原料品质分级利用，优质优用；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7、实行绿色运输；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8、应按照矿山地质环境保护与土地复方案进行环境治理和土地复垦；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9、应建设环境监测机制，设施专门机构； </w:t>
                  </w:r>
                </w:p>
              </w:tc>
              <w:tc>
                <w:tcPr>
                  <w:tcW w:w="3394" w:type="dxa"/>
                  <w:tcBorders>
                    <w:tl2br w:val="nil"/>
                    <w:tr2bl w:val="nil"/>
                  </w:tcBorders>
                  <w:vAlign w:val="top"/>
                </w:tcPr>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lang w:val="en-US"/>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1、本矿山已制定开发利用方案；</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2、项目遵循采剥并举剥离先行原则；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3、项目</w:t>
                  </w:r>
                  <w:r>
                    <w:rPr>
                      <w:rFonts w:hint="eastAsia" w:cs="Times New Roman"/>
                      <w:color w:val="000000" w:themeColor="text1"/>
                      <w:sz w:val="21"/>
                      <w:szCs w:val="21"/>
                      <w:highlight w:val="none"/>
                      <w:lang w:val="en-US" w:eastAsia="zh-CN"/>
                      <w14:textFill>
                        <w14:solidFill>
                          <w14:schemeClr w14:val="tx1"/>
                        </w14:solidFill>
                      </w14:textFill>
                    </w:rPr>
                    <w:t>不设</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排土场；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4、</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本项目</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露天开采实行自上而下台阶式开采开谷阶高度</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为</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m</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5、</w:t>
                  </w:r>
                  <w:r>
                    <w:rPr>
                      <w:rFonts w:hint="eastAsia" w:cs="Times New Roman"/>
                      <w:color w:val="000000" w:themeColor="text1"/>
                      <w:sz w:val="21"/>
                      <w:szCs w:val="21"/>
                      <w:highlight w:val="none"/>
                      <w:lang w:val="en-US" w:eastAsia="zh-CN"/>
                      <w14:textFill>
                        <w14:solidFill>
                          <w14:schemeClr w14:val="tx1"/>
                        </w14:solidFill>
                      </w14:textFill>
                    </w:rPr>
                    <w:t>本项目</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合理确定爆破参数；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6、</w:t>
                  </w:r>
                  <w:r>
                    <w:rPr>
                      <w:rFonts w:hint="eastAsia" w:cs="Times New Roman"/>
                      <w:color w:val="000000" w:themeColor="text1"/>
                      <w:sz w:val="21"/>
                      <w:szCs w:val="21"/>
                      <w:highlight w:val="none"/>
                      <w:lang w:val="en-US" w:eastAsia="zh-CN"/>
                      <w14:textFill>
                        <w14:solidFill>
                          <w14:schemeClr w14:val="tx1"/>
                        </w14:solidFill>
                      </w14:textFill>
                    </w:rPr>
                    <w:t>本项目已取得</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采矿权成交确认书</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采矿许可证</w:t>
                  </w:r>
                  <w:r>
                    <w:rPr>
                      <w:rFonts w:hint="eastAsia" w:cs="Times New Roman"/>
                      <w:color w:val="000000" w:themeColor="text1"/>
                      <w:sz w:val="21"/>
                      <w:szCs w:val="21"/>
                      <w:highlight w:val="none"/>
                      <w:lang w:val="en-US" w:eastAsia="zh-CN"/>
                      <w14:textFill>
                        <w14:solidFill>
                          <w14:schemeClr w14:val="tx1"/>
                        </w14:solidFill>
                      </w14:textFill>
                    </w:rPr>
                    <w:t>正在办理中</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7、</w:t>
                  </w:r>
                  <w:r>
                    <w:rPr>
                      <w:rFonts w:hint="eastAsia" w:cs="Times New Roman"/>
                      <w:color w:val="000000" w:themeColor="text1"/>
                      <w:sz w:val="21"/>
                      <w:szCs w:val="21"/>
                      <w:highlight w:val="none"/>
                      <w:lang w:val="en-US" w:eastAsia="zh-CN"/>
                      <w14:textFill>
                        <w14:solidFill>
                          <w14:schemeClr w14:val="tx1"/>
                        </w14:solidFill>
                      </w14:textFill>
                    </w:rPr>
                    <w:t>本项目运输车辆采取篷布遮盖</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 xml:space="preserve">8、企业已编制矿山地质环境综合防治方案及水土保持方案； </w:t>
                  </w:r>
                </w:p>
                <w:p>
                  <w:pPr>
                    <w:keepNext w:val="0"/>
                    <w:keepLines w:val="0"/>
                    <w:widowControl/>
                    <w:suppressLineNumbers w:val="0"/>
                    <w:spacing w:line="240" w:lineRule="auto"/>
                    <w:jc w:val="left"/>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9、本次环评要求企业做好定期的环境监测，可委托第三方执行；</w:t>
                  </w:r>
                </w:p>
              </w:tc>
              <w:tc>
                <w:tcPr>
                  <w:tcW w:w="733" w:type="dxa"/>
                  <w:tcBorders>
                    <w:tl2br w:val="nil"/>
                    <w:tr2bl w:val="nil"/>
                  </w:tcBorders>
                  <w:vAlign w:val="top"/>
                </w:tcPr>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lang w:val="en-US" w:eastAsia="zh-CN"/>
                    </w:rPr>
                  </w:pPr>
                </w:p>
                <w:p>
                  <w:pPr>
                    <w:pStyle w:val="79"/>
                    <w:numPr>
                      <w:ilvl w:val="0"/>
                      <w:numId w:val="0"/>
                    </w:num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符合</w:t>
                  </w:r>
                </w:p>
              </w:tc>
            </w:tr>
          </w:tbl>
          <w:p>
            <w:pPr>
              <w:keepNext w:val="0"/>
              <w:keepLines w:val="0"/>
              <w:widowControl/>
              <w:suppressLineNumbers w:val="0"/>
              <w:spacing w:line="360" w:lineRule="auto"/>
              <w:ind w:firstLine="482" w:firstLineChars="200"/>
              <w:jc w:val="left"/>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5.与《关于促进砂石行业健康有序发展的指导意见》的通知的符合性</w:t>
            </w:r>
          </w:p>
          <w:p>
            <w:pPr>
              <w:pStyle w:val="62"/>
              <w:overflowPunct w:val="0"/>
              <w:autoSpaceDE w:val="0"/>
              <w:autoSpaceDN w:val="0"/>
              <w:adjustRightInd w:val="0"/>
              <w:snapToGrid w:val="0"/>
              <w:spacing w:line="360" w:lineRule="auto"/>
              <w:rPr>
                <w:rFonts w:hint="default"/>
                <w:b/>
                <w:bCs/>
              </w:rPr>
            </w:pPr>
            <w:r>
              <w:rPr>
                <w:rFonts w:hint="default" w:ascii="Times New Roman" w:hAnsi="Times New Roman" w:eastAsia="宋体" w:cs="Times New Roman"/>
                <w:b/>
                <w:bCs/>
                <w:sz w:val="24"/>
                <w:szCs w:val="24"/>
              </w:rPr>
              <w:t>表1</w:t>
            </w:r>
            <w:r>
              <w:rPr>
                <w:rFonts w:hint="default" w:ascii="Times New Roman" w:hAnsi="Times New Roman" w:eastAsia="宋体" w:cs="Times New Roman"/>
                <w:b/>
                <w:bCs/>
                <w:sz w:val="24"/>
                <w:szCs w:val="24"/>
                <w:lang w:val="en-US" w:eastAsia="zh-CN"/>
              </w:rPr>
              <w:t>-4 项目</w:t>
            </w:r>
            <w:r>
              <w:rPr>
                <w:rFonts w:hint="default" w:ascii="Times New Roman" w:hAnsi="Times New Roman" w:eastAsia="宋体" w:cs="Times New Roman"/>
                <w:b/>
                <w:bCs/>
                <w:sz w:val="24"/>
                <w:szCs w:val="24"/>
              </w:rPr>
              <w:t>与</w:t>
            </w:r>
            <w:r>
              <w:rPr>
                <w:rFonts w:hint="default" w:ascii="Times New Roman" w:hAnsi="Times New Roman" w:eastAsia="宋体" w:cs="Times New Roman"/>
                <w:b/>
                <w:bCs/>
                <w:sz w:val="24"/>
                <w:szCs w:val="24"/>
                <w:lang w:val="en-US" w:eastAsia="zh-CN"/>
              </w:rPr>
              <w:t>《关于促进砂石行业健康有序发展的指导意见》的通知符</w:t>
            </w:r>
            <w:r>
              <w:rPr>
                <w:rFonts w:hint="default" w:ascii="Times New Roman" w:hAnsi="Times New Roman" w:eastAsia="宋体" w:cs="Times New Roman"/>
                <w:b/>
                <w:bCs/>
                <w:sz w:val="24"/>
                <w:szCs w:val="24"/>
              </w:rPr>
              <w:t>合性分析</w:t>
            </w:r>
          </w:p>
          <w:tbl>
            <w:tblPr>
              <w:tblStyle w:val="28"/>
              <w:tblW w:w="48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4"/>
              <w:gridCol w:w="4463"/>
              <w:gridCol w:w="2366"/>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6" w:hRule="atLeast"/>
                <w:jc w:val="center"/>
              </w:trPr>
              <w:tc>
                <w:tcPr>
                  <w:tcW w:w="3108" w:type="pct"/>
                  <w:gridSpan w:val="2"/>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意见规定内容</w:t>
                  </w:r>
                </w:p>
              </w:tc>
              <w:tc>
                <w:tcPr>
                  <w:tcW w:w="1434"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本项目情况</w:t>
                  </w:r>
                </w:p>
              </w:tc>
              <w:tc>
                <w:tcPr>
                  <w:tcW w:w="457" w:type="pct"/>
                  <w:tcBorders>
                    <w:tl2br w:val="nil"/>
                    <w:tr2bl w:val="nil"/>
                  </w:tcBorders>
                  <w:noWrap w:val="0"/>
                  <w:vAlign w:val="center"/>
                </w:tcPr>
                <w:p>
                  <w:pPr>
                    <w:adjustRightInd w:val="0"/>
                    <w:snapToGrid w:val="0"/>
                    <w:spacing w:line="240" w:lineRule="auto"/>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符合</w:t>
                  </w:r>
                  <w:r>
                    <w:rPr>
                      <w:rFonts w:hint="default" w:ascii="Times New Roman" w:hAnsi="Times New Roman" w:eastAsia="宋体" w:cs="Times New Roman"/>
                      <w:sz w:val="21"/>
                      <w:szCs w:val="21"/>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02" w:hRule="atLeast"/>
                <w:jc w:val="center"/>
              </w:trPr>
              <w:tc>
                <w:tcPr>
                  <w:tcW w:w="402" w:type="pct"/>
                  <w:vMerge w:val="restar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推动机制砂石产业高质量发展</w:t>
                  </w:r>
                </w:p>
              </w:tc>
              <w:tc>
                <w:tcPr>
                  <w:tcW w:w="2705"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统筹考虑各类砂石资源整体发展趋势，逐步过渡到依靠机制砂石满足建设需要为主，在规划布局、工艺装备、产品质量、污染防治、综合利用、安全生产等方面加强联动，加快推动机制砂石产业转型升级。（各省级人民政府，工业和信息化部、发展改革委、自然资源部、生态环境部、住房城乡建设部、交通运输部、水利部、应急部、市场监管总局，中国国家铁路集团有限公司）强化上下游衔接，加快建立并逐步完善机制砂石产品及应用标准规范体系，不断提高优质和专用产品应用比例。</w:t>
                  </w:r>
                </w:p>
              </w:tc>
              <w:tc>
                <w:tcPr>
                  <w:tcW w:w="1434"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矿山位于</w:t>
                  </w:r>
                  <w:r>
                    <w:rPr>
                      <w:rFonts w:hint="eastAsia" w:ascii="Times New Roman" w:hAnsi="Times New Roman" w:eastAsia="宋体" w:cs="Times New Roman"/>
                      <w:sz w:val="21"/>
                      <w:szCs w:val="21"/>
                      <w:lang w:val="en-US" w:eastAsia="zh-CN"/>
                    </w:rPr>
                    <w:t>东乡县达板镇舀水村西侧布塄沟</w:t>
                  </w:r>
                  <w:r>
                    <w:rPr>
                      <w:rFonts w:hint="default" w:ascii="Times New Roman" w:hAnsi="Times New Roman" w:eastAsia="宋体" w:cs="Times New Roman"/>
                      <w:sz w:val="21"/>
                      <w:szCs w:val="21"/>
                      <w:lang w:val="en-US" w:eastAsia="zh-CN"/>
                    </w:rPr>
                    <w:t>，在工艺装备、产品质量、污染防治、综合利用、安全生产等方面均做到了转型升级。</w:t>
                  </w:r>
                </w:p>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zh-CN"/>
                    </w:rPr>
                  </w:pPr>
                </w:p>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zh-CN"/>
                    </w:rPr>
                  </w:pPr>
                </w:p>
              </w:tc>
              <w:tc>
                <w:tcPr>
                  <w:tcW w:w="45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44" w:hRule="atLeast"/>
                <w:jc w:val="center"/>
              </w:trPr>
              <w:tc>
                <w:tcPr>
                  <w:tcW w:w="402" w:type="pct"/>
                  <w:vMerge w:val="continue"/>
                  <w:tcBorders>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p>
              </w:tc>
              <w:tc>
                <w:tcPr>
                  <w:tcW w:w="2705"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在引导中小砂石企业合规生产的同时，通过市场化办法实现砂石矿山资源集约化、规模化开采，建设绿色矿山。</w:t>
                  </w:r>
                </w:p>
              </w:tc>
              <w:tc>
                <w:tcPr>
                  <w:tcW w:w="1434"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本项目按照</w:t>
                  </w:r>
                  <w:r>
                    <w:rPr>
                      <w:rFonts w:hint="default" w:ascii="Times New Roman" w:hAnsi="Times New Roman" w:eastAsia="宋体" w:cs="Times New Roman"/>
                      <w:sz w:val="21"/>
                      <w:szCs w:val="21"/>
                      <w:highlight w:val="none"/>
                      <w:lang w:val="en-US" w:eastAsia="zh-CN"/>
                    </w:rPr>
                    <w:t>绿色矿山</w:t>
                  </w:r>
                  <w:r>
                    <w:rPr>
                      <w:rFonts w:hint="eastAsia" w:cs="Times New Roman"/>
                      <w:sz w:val="21"/>
                      <w:szCs w:val="21"/>
                      <w:highlight w:val="none"/>
                      <w:lang w:val="en-US" w:eastAsia="zh-CN"/>
                    </w:rPr>
                    <w:t>建设</w:t>
                  </w:r>
                  <w:r>
                    <w:rPr>
                      <w:rFonts w:hint="default" w:ascii="Times New Roman" w:hAnsi="Times New Roman" w:eastAsia="宋体" w:cs="Times New Roman"/>
                      <w:sz w:val="21"/>
                      <w:szCs w:val="21"/>
                      <w:highlight w:val="none"/>
                      <w:lang w:val="en-US" w:eastAsia="zh-CN"/>
                    </w:rPr>
                    <w:t>。</w:t>
                  </w:r>
                </w:p>
              </w:tc>
              <w:tc>
                <w:tcPr>
                  <w:tcW w:w="457"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bl>
          <w:p>
            <w:pPr>
              <w:keepNext w:val="0"/>
              <w:keepLines w:val="0"/>
              <w:widowControl/>
              <w:suppressLineNumbers w:val="0"/>
              <w:spacing w:line="360" w:lineRule="auto"/>
              <w:ind w:firstLine="482" w:firstLineChars="200"/>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 xml:space="preserve">6.与《甘肃省生态环境厅自然资源厅关于“举一反三”严格矿产开发生态环境准入的通知（甘环发[2019]124 号）》符合性分析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根据《甘肃省生态环境厅自然资源厅关于“举一反三”严格矿产开发生态环境准入的通知（甘环发[2019]124 号）》的要求，列表对比分析了本项目符合性，详见下表。</w:t>
            </w:r>
          </w:p>
          <w:p>
            <w:pPr>
              <w:keepNext w:val="0"/>
              <w:keepLines w:val="0"/>
              <w:widowControl/>
              <w:suppressLineNumbers w:val="0"/>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表 1-5 与《甘肃省生态环境厅自然资源厅关于“举一反三”严格矿产开发生态环境准入的通知（甘环发[2019]124 号）》符合性分析一览表</w:t>
            </w:r>
          </w:p>
          <w:tbl>
            <w:tblPr>
              <w:tblStyle w:val="28"/>
              <w:tblW w:w="4891" w:type="pct"/>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87"/>
              <w:gridCol w:w="4094"/>
              <w:gridCol w:w="2813"/>
              <w:gridCol w:w="753"/>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53" w:hRule="atLeast"/>
                <w:jc w:val="center"/>
              </w:trPr>
              <w:tc>
                <w:tcPr>
                  <w:tcW w:w="356" w:type="pct"/>
                  <w:tcBorders>
                    <w:top w:val="single" w:color="auto" w:sz="4" w:space="0"/>
                    <w:left w:val="single" w:color="auto" w:sz="0"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序号</w:t>
                  </w:r>
                </w:p>
              </w:tc>
              <w:tc>
                <w:tcPr>
                  <w:tcW w:w="2481" w:type="pct"/>
                  <w:tcBorders>
                    <w:top w:val="single" w:color="auto" w:sz="4"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相关规定</w:t>
                  </w:r>
                </w:p>
              </w:tc>
              <w:tc>
                <w:tcPr>
                  <w:tcW w:w="1705" w:type="pct"/>
                  <w:tcBorders>
                    <w:top w:val="single" w:color="auto" w:sz="4"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本项目情况</w:t>
                  </w:r>
                </w:p>
              </w:tc>
              <w:tc>
                <w:tcPr>
                  <w:tcW w:w="456" w:type="pct"/>
                  <w:tcBorders>
                    <w:top w:val="single" w:color="auto" w:sz="4" w:space="0"/>
                    <w:right w:val="single" w:color="auto" w:sz="4" w:space="0"/>
                    <w:tl2br w:val="nil"/>
                    <w:tr2bl w:val="nil"/>
                  </w:tcBorders>
                  <w:noWrap w:val="0"/>
                  <w:vAlign w:val="center"/>
                </w:tcPr>
                <w:p>
                  <w:pPr>
                    <w:adjustRightInd w:val="0"/>
                    <w:snapToGrid w:val="0"/>
                    <w:spacing w:line="240" w:lineRule="auto"/>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符合</w:t>
                  </w:r>
                  <w:r>
                    <w:rPr>
                      <w:rFonts w:hint="default" w:ascii="Times New Roman" w:hAnsi="Times New Roman" w:eastAsia="宋体" w:cs="Times New Roman"/>
                      <w:sz w:val="21"/>
                      <w:szCs w:val="21"/>
                      <w:lang w:val="en-US" w:eastAsia="zh-CN"/>
                    </w:rPr>
                    <w:t>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1926" w:hRule="atLeast"/>
                <w:jc w:val="center"/>
              </w:trPr>
              <w:tc>
                <w:tcPr>
                  <w:tcW w:w="356" w:type="pct"/>
                  <w:tcBorders>
                    <w:left w:val="single" w:color="auto" w:sz="4"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p>
              </w:tc>
              <w:tc>
                <w:tcPr>
                  <w:tcW w:w="2481"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对于现状存在严重生态环境问题的矿山，在矿山改扩建项目环评受理和审批前，由矿业权人制定遗留生态环境问题的恢复治理方案，生态环境治理恢复方案应明确整改时限、整改要求和责任单位，有明确具体的工程内容、工程量和工程资金，落实资金来源，并经所在地县级政府认可。</w:t>
                  </w:r>
                </w:p>
              </w:tc>
              <w:tc>
                <w:tcPr>
                  <w:tcW w:w="1705"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本项目</w:t>
                  </w:r>
                  <w:r>
                    <w:rPr>
                      <w:rFonts w:hint="default" w:ascii="Times New Roman" w:hAnsi="Times New Roman" w:eastAsia="宋体" w:cs="Times New Roman"/>
                      <w:sz w:val="21"/>
                      <w:szCs w:val="21"/>
                      <w:highlight w:val="none"/>
                      <w:lang w:val="en-US" w:eastAsia="zh-CN"/>
                    </w:rPr>
                    <w:t>现状</w:t>
                  </w:r>
                  <w:r>
                    <w:rPr>
                      <w:rFonts w:hint="eastAsia" w:ascii="Times New Roman" w:hAnsi="Times New Roman" w:cs="Times New Roman"/>
                      <w:sz w:val="21"/>
                      <w:szCs w:val="21"/>
                      <w:highlight w:val="none"/>
                      <w:lang w:val="en-US" w:eastAsia="zh-CN"/>
                    </w:rPr>
                    <w:t>不</w:t>
                  </w:r>
                  <w:r>
                    <w:rPr>
                      <w:rFonts w:hint="default" w:ascii="Times New Roman" w:hAnsi="Times New Roman" w:eastAsia="宋体" w:cs="Times New Roman"/>
                      <w:sz w:val="21"/>
                      <w:szCs w:val="21"/>
                      <w:highlight w:val="none"/>
                      <w:lang w:val="en-US" w:eastAsia="zh-CN"/>
                    </w:rPr>
                    <w:t>存在严重生态环境问题</w:t>
                  </w:r>
                </w:p>
              </w:tc>
              <w:tc>
                <w:tcPr>
                  <w:tcW w:w="456" w:type="pct"/>
                  <w:tcBorders>
                    <w:right w:val="single" w:color="auto" w:sz="4"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cantSplit/>
                <w:trHeight w:val="551" w:hRule="atLeast"/>
                <w:jc w:val="center"/>
              </w:trPr>
              <w:tc>
                <w:tcPr>
                  <w:tcW w:w="356" w:type="pct"/>
                  <w:tcBorders>
                    <w:left w:val="single" w:color="auto" w:sz="4" w:space="0"/>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w:t>
                  </w:r>
                </w:p>
              </w:tc>
              <w:tc>
                <w:tcPr>
                  <w:tcW w:w="2481"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环评在受理和审批前原则上应取得产业主管部门的备案或核准文件。</w:t>
                  </w:r>
                </w:p>
              </w:tc>
              <w:tc>
                <w:tcPr>
                  <w:tcW w:w="1705"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本项目取得</w:t>
                  </w:r>
                  <w:r>
                    <w:rPr>
                      <w:rFonts w:hint="eastAsia" w:cs="Times New Roman"/>
                      <w:sz w:val="21"/>
                      <w:szCs w:val="21"/>
                      <w:highlight w:val="none"/>
                      <w:lang w:val="en-US" w:eastAsia="zh-CN"/>
                    </w:rPr>
                    <w:t>备案</w:t>
                  </w:r>
                </w:p>
              </w:tc>
              <w:tc>
                <w:tcPr>
                  <w:tcW w:w="456" w:type="pct"/>
                  <w:tcBorders>
                    <w:right w:val="single" w:color="auto" w:sz="4"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cantSplit/>
                <w:trHeight w:val="1906" w:hRule="atLeast"/>
                <w:jc w:val="center"/>
              </w:trPr>
              <w:tc>
                <w:tcPr>
                  <w:tcW w:w="356" w:type="pct"/>
                  <w:tcBorders>
                    <w:left w:val="single" w:color="auto" w:sz="4" w:space="0"/>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w:t>
                  </w:r>
                </w:p>
              </w:tc>
              <w:tc>
                <w:tcPr>
                  <w:tcW w:w="2481"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应严格按照自然资源部门编审要求编制和审查矿产资源开发利用、矿山地质环境保护与治理恢复、土地复垦方案（内容），矿产资源开发利用项目，环评报告原则上应在编制完成矿产资源开发利用方案或矿产资源开发与恢复治理方案并通过专家审查后受理。</w:t>
                  </w:r>
                </w:p>
              </w:tc>
              <w:tc>
                <w:tcPr>
                  <w:tcW w:w="1705" w:type="pct"/>
                  <w:tcBorders>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lang w:val="en-US" w:eastAsia="zh-CN"/>
                    </w:rPr>
                    <w:t>建设单位已编制实施矿山生态环境保护与恢复治理方案。</w:t>
                  </w:r>
                </w:p>
                <w:p>
                  <w:pPr>
                    <w:adjustRightInd w:val="0"/>
                    <w:snapToGrid w:val="0"/>
                    <w:spacing w:line="240" w:lineRule="auto"/>
                    <w:jc w:val="center"/>
                    <w:rPr>
                      <w:rFonts w:hint="default" w:ascii="Times New Roman" w:hAnsi="Times New Roman" w:eastAsia="宋体" w:cs="Times New Roman"/>
                      <w:sz w:val="21"/>
                      <w:szCs w:val="21"/>
                      <w:highlight w:val="none"/>
                    </w:rPr>
                  </w:pPr>
                </w:p>
              </w:tc>
              <w:tc>
                <w:tcPr>
                  <w:tcW w:w="456" w:type="pct"/>
                  <w:tcBorders>
                    <w:right w:val="single" w:color="auto" w:sz="4"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cantSplit/>
                <w:trHeight w:val="1936" w:hRule="atLeast"/>
                <w:jc w:val="center"/>
              </w:trPr>
              <w:tc>
                <w:tcPr>
                  <w:tcW w:w="356" w:type="pct"/>
                  <w:tcBorders>
                    <w:left w:val="single" w:color="auto" w:sz="4" w:space="0"/>
                    <w:bottom w:val="single" w:color="auto" w:sz="4" w:space="0"/>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481" w:type="pct"/>
                  <w:tcBorders>
                    <w:bottom w:val="single" w:color="auto" w:sz="4" w:space="0"/>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环评报告应结合矿产资源开发利用方案、矿山地质环境保护与治理恢复方案、土地复垦方案或矿产资源开发与恢复治理方案中矿山地质环境保护与治理恢复、土地复垦相关措施和要求，提出生态恢复治理措施，并理清各项投资。</w:t>
                  </w:r>
                </w:p>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en-US"/>
                    </w:rPr>
                  </w:pPr>
                </w:p>
              </w:tc>
              <w:tc>
                <w:tcPr>
                  <w:tcW w:w="1705" w:type="pct"/>
                  <w:tcBorders>
                    <w:bottom w:val="single" w:color="auto" w:sz="4" w:space="0"/>
                    <w:tl2br w:val="nil"/>
                    <w:tr2bl w:val="nil"/>
                  </w:tcBorders>
                  <w:noWrap w:val="0"/>
                  <w:vAlign w:val="center"/>
                </w:tcPr>
                <w:p>
                  <w:pPr>
                    <w:keepNext w:val="0"/>
                    <w:keepLines w:val="0"/>
                    <w:widowControl/>
                    <w:suppressLineNumbers w:val="0"/>
                    <w:spacing w:line="240" w:lineRule="auto"/>
                    <w:jc w:val="left"/>
                    <w:rPr>
                      <w:rFonts w:hint="default" w:ascii="Times New Roman" w:hAnsi="Times New Roman" w:eastAsia="宋体" w:cs="Times New Roman"/>
                      <w:sz w:val="21"/>
                      <w:szCs w:val="21"/>
                      <w:lang w:val="en-US" w:eastAsia="en-US"/>
                    </w:rPr>
                  </w:pPr>
                  <w:r>
                    <w:rPr>
                      <w:rFonts w:hint="default" w:ascii="Times New Roman" w:hAnsi="Times New Roman" w:eastAsia="宋体" w:cs="Times New Roman"/>
                      <w:sz w:val="21"/>
                      <w:szCs w:val="21"/>
                      <w:lang w:val="en-US" w:eastAsia="zh-CN"/>
                    </w:rPr>
                    <w:t>环评报告结合矿产资源开发利用方案、矿山地质环境保护与治理恢复方案、土地复垦方案中矿山地质环境保护与治理恢复、土地复垦相关措施和要求，提出生态恢复治理措施，并说明了生态恢复治理投资。</w:t>
                  </w:r>
                </w:p>
              </w:tc>
              <w:tc>
                <w:tcPr>
                  <w:tcW w:w="456" w:type="pct"/>
                  <w:tcBorders>
                    <w:bottom w:val="single" w:color="auto" w:sz="4" w:space="0"/>
                    <w:right w:val="single" w:color="auto" w:sz="4" w:space="0"/>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符合</w:t>
                  </w:r>
                </w:p>
              </w:tc>
            </w:tr>
          </w:tbl>
          <w:p>
            <w:pPr>
              <w:keepNext w:val="0"/>
              <w:keepLines w:val="0"/>
              <w:widowControl/>
              <w:suppressLineNumbers w:val="0"/>
              <w:spacing w:line="360" w:lineRule="auto"/>
              <w:ind w:firstLine="482" w:firstLineChars="200"/>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 xml:space="preserve">7.与《甘肃省自然资源厅关于打赢蓝天保卫战全面推进露天矿山综合整治的通知》的符合性分析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对取得环境影响评价批复的露天开采矿山，要严格按照绿色矿山建设标准，进行管控和管理，全面推行规模化、集约化绿色开采和绿色矿山建设针对有主矿山，督促矿山企业依法履行矿山环境恢复治理责任，针对无主矿山，积极争取和安排矿山生态环境恢复治理修复资金，开展生态修复，构建砂石资源绿色发展环境。”</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任何单位和个人不得以工程施工为名，在未取得采矿许可证的前提下开采矿产资源（政策另有规定的除外）。各级政府及有关部门要严厉打击以工程施工为名无证开采、超层越界开采、破坏生态环境的违法违规行为，严厉打击有组织实施非法开采矿产资源和破坏矿产资源、生态环境的行为，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结合上文，本工程符合《砂石行业绿色矿山建设规范》的要求。本工程积极履行矿山环境恢复治理责任，符合《甘肃省自然资源厅关于打赢蓝天保卫战全面推进露天矿山综合整治的通知》的要求。 </w:t>
            </w:r>
          </w:p>
          <w:p>
            <w:pPr>
              <w:keepNext w:val="0"/>
              <w:keepLines w:val="0"/>
              <w:widowControl/>
              <w:suppressLineNumbers w:val="0"/>
              <w:spacing w:line="360" w:lineRule="auto"/>
              <w:ind w:firstLine="482" w:firstLineChars="200"/>
              <w:jc w:val="left"/>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8.与《甘肃省自然资源厅关于规范砂石资源有序绿色开发保障全省经济高质量发展的指导意见》（甘资矿发【2019】55 号</w:t>
            </w:r>
            <w:r>
              <w:rPr>
                <w:rFonts w:hint="eastAsia" w:ascii="Times New Roman" w:hAnsi="Times New Roman" w:eastAsia="宋体" w:cs="Times New Roman"/>
                <w:b/>
                <w:bCs/>
                <w:sz w:val="24"/>
                <w:szCs w:val="24"/>
                <w:lang w:val="en-US" w:eastAsia="zh-CN"/>
              </w:rPr>
              <w:t>）</w:t>
            </w:r>
            <w:r>
              <w:rPr>
                <w:rFonts w:hint="default" w:ascii="Times New Roman" w:hAnsi="Times New Roman" w:eastAsia="宋体" w:cs="Times New Roman"/>
                <w:b/>
                <w:bCs/>
                <w:sz w:val="24"/>
                <w:szCs w:val="24"/>
                <w:lang w:val="en-US" w:eastAsia="zh-CN"/>
              </w:rPr>
              <w:t>的符合性</w:t>
            </w:r>
          </w:p>
          <w:p>
            <w:pPr>
              <w:keepNext w:val="0"/>
              <w:keepLines w:val="0"/>
              <w:pageBreakBefore w:val="0"/>
              <w:widowControl w:val="0"/>
              <w:kinsoku/>
              <w:wordWrap/>
              <w:overflowPunct/>
              <w:topLinePunct w:val="0"/>
              <w:autoSpaceDE w:val="0"/>
              <w:autoSpaceDN w:val="0"/>
              <w:bidi w:val="0"/>
              <w:adjustRightInd w:val="0"/>
              <w:snapToGrid/>
              <w:spacing w:after="0" w:line="360" w:lineRule="auto"/>
              <w:ind w:right="0" w:firstLine="480" w:firstLineChars="200"/>
              <w:jc w:val="left"/>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sz w:val="24"/>
                <w:szCs w:val="24"/>
              </w:rPr>
              <w:t>项目与《甘肃省自然资源厅关于规范砂石资源有序绿色开发保障全省经济高质量发展的指导意见》的符合性分析见表 1-</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center"/>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表1-6  符合性分析</w:t>
            </w:r>
          </w:p>
          <w:tbl>
            <w:tblPr>
              <w:tblStyle w:val="28"/>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8"/>
              <w:gridCol w:w="5124"/>
              <w:gridCol w:w="1964"/>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7" w:hRule="atLeast"/>
                <w:jc w:val="center"/>
              </w:trPr>
              <w:tc>
                <w:tcPr>
                  <w:tcW w:w="3373" w:type="pct"/>
                  <w:gridSpan w:val="2"/>
                  <w:tcBorders>
                    <w:tl2br w:val="nil"/>
                    <w:tr2bl w:val="nil"/>
                  </w:tcBorders>
                  <w:noWrap w:val="0"/>
                  <w:vAlign w:val="center"/>
                </w:tcPr>
                <w:p>
                  <w:pPr>
                    <w:adjustRightInd w:val="0"/>
                    <w:snapToGrid w:val="0"/>
                    <w:spacing w:line="240" w:lineRule="auto"/>
                    <w:jc w:val="center"/>
                    <w:rPr>
                      <w:rFonts w:hint="default"/>
                      <w:sz w:val="21"/>
                      <w:szCs w:val="21"/>
                      <w:lang w:val="en-US" w:eastAsia="zh-CN"/>
                    </w:rPr>
                  </w:pPr>
                  <w:r>
                    <w:rPr>
                      <w:rFonts w:hint="default"/>
                      <w:sz w:val="21"/>
                      <w:szCs w:val="21"/>
                      <w:lang w:val="en-US" w:eastAsia="zh-CN"/>
                    </w:rPr>
                    <w:t>已建规定内容</w:t>
                  </w:r>
                </w:p>
              </w:tc>
              <w:tc>
                <w:tcPr>
                  <w:tcW w:w="1180" w:type="pct"/>
                  <w:tcBorders>
                    <w:tl2br w:val="nil"/>
                    <w:tr2bl w:val="nil"/>
                  </w:tcBorders>
                  <w:noWrap w:val="0"/>
                  <w:vAlign w:val="center"/>
                </w:tcPr>
                <w:p>
                  <w:pPr>
                    <w:adjustRightInd w:val="0"/>
                    <w:snapToGrid w:val="0"/>
                    <w:spacing w:line="240" w:lineRule="auto"/>
                    <w:jc w:val="center"/>
                    <w:rPr>
                      <w:rFonts w:hint="default"/>
                      <w:sz w:val="21"/>
                      <w:szCs w:val="21"/>
                    </w:rPr>
                  </w:pPr>
                  <w:r>
                    <w:rPr>
                      <w:rFonts w:hint="default"/>
                      <w:sz w:val="21"/>
                      <w:szCs w:val="21"/>
                    </w:rPr>
                    <w:t>本项目情况</w:t>
                  </w:r>
                </w:p>
              </w:tc>
              <w:tc>
                <w:tcPr>
                  <w:tcW w:w="446" w:type="pct"/>
                  <w:tcBorders>
                    <w:tl2br w:val="nil"/>
                    <w:tr2bl w:val="nil"/>
                  </w:tcBorders>
                  <w:noWrap w:val="0"/>
                  <w:vAlign w:val="center"/>
                </w:tcPr>
                <w:p>
                  <w:pPr>
                    <w:adjustRightInd w:val="0"/>
                    <w:snapToGrid w:val="0"/>
                    <w:spacing w:line="240" w:lineRule="auto"/>
                    <w:jc w:val="center"/>
                    <w:rPr>
                      <w:rFonts w:hint="default"/>
                      <w:sz w:val="21"/>
                      <w:szCs w:val="21"/>
                      <w:lang w:val="en-US" w:eastAsia="zh-CN"/>
                    </w:rPr>
                  </w:pPr>
                  <w:r>
                    <w:rPr>
                      <w:rFonts w:hint="default"/>
                      <w:sz w:val="21"/>
                      <w:szCs w:val="21"/>
                    </w:rPr>
                    <w:t>符合</w:t>
                  </w:r>
                  <w:r>
                    <w:rPr>
                      <w:rFonts w:hint="default"/>
                      <w:sz w:val="21"/>
                      <w:szCs w:val="21"/>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06" w:hRule="atLeast"/>
                <w:jc w:val="center"/>
              </w:trPr>
              <w:tc>
                <w:tcPr>
                  <w:tcW w:w="293" w:type="pct"/>
                  <w:tcBorders>
                    <w:tl2br w:val="nil"/>
                    <w:tr2bl w:val="nil"/>
                  </w:tcBorders>
                  <w:noWrap w:val="0"/>
                  <w:vAlign w:val="center"/>
                </w:tcPr>
                <w:p>
                  <w:pPr>
                    <w:adjustRightInd w:val="0"/>
                    <w:snapToGrid w:val="0"/>
                    <w:spacing w:line="240" w:lineRule="auto"/>
                    <w:jc w:val="both"/>
                    <w:rPr>
                      <w:rFonts w:hint="default"/>
                      <w:sz w:val="21"/>
                      <w:szCs w:val="21"/>
                      <w:lang w:val="en-US" w:eastAsia="zh-CN"/>
                    </w:rPr>
                  </w:pPr>
                  <w:r>
                    <w:rPr>
                      <w:rFonts w:hint="eastAsia"/>
                      <w:sz w:val="21"/>
                      <w:szCs w:val="21"/>
                      <w:lang w:val="en-US" w:eastAsia="zh-CN"/>
                    </w:rPr>
                    <w:t>做好规划布局，建设砂石集中开采区</w:t>
                  </w:r>
                </w:p>
              </w:tc>
              <w:tc>
                <w:tcPr>
                  <w:tcW w:w="3080" w:type="pct"/>
                  <w:tcBorders>
                    <w:tl2br w:val="nil"/>
                    <w:tr2bl w:val="nil"/>
                  </w:tcBorders>
                  <w:noWrap w:val="0"/>
                  <w:vAlign w:val="center"/>
                </w:tcPr>
                <w:p>
                  <w:pPr>
                    <w:widowControl w:val="0"/>
                    <w:autoSpaceDE w:val="0"/>
                    <w:autoSpaceDN w:val="0"/>
                    <w:adjustRightInd w:val="0"/>
                    <w:spacing w:before="0" w:after="0" w:line="240" w:lineRule="auto"/>
                    <w:ind w:left="0" w:right="0" w:firstLine="0"/>
                    <w:jc w:val="left"/>
                    <w:rPr>
                      <w:rFonts w:hint="default"/>
                      <w:sz w:val="21"/>
                      <w:szCs w:val="21"/>
                      <w:lang w:val="en-US" w:eastAsia="zh-CN"/>
                    </w:rPr>
                  </w:pPr>
                  <w:r>
                    <w:rPr>
                      <w:rFonts w:hint="default"/>
                      <w:sz w:val="21"/>
                      <w:szCs w:val="21"/>
                      <w:lang w:val="en-US" w:eastAsia="zh-CN"/>
                    </w:rPr>
                    <w:t>做好规划布局，统筹建设兰州北（永登县</w:t>
                  </w:r>
                  <w:r>
                    <w:rPr>
                      <w:rFonts w:hint="default"/>
                      <w:sz w:val="21"/>
                      <w:szCs w:val="21"/>
                    </w:rPr>
                    <w:t>柳树镇、皋兰县石洞镇）、兰州南（临洮县中堡镇）、兰州东（榆中县巴石沟）、兰州西（永靖县王家圈）、甘南合作、平凉三道沟、天水秦州武山、天水麦积伯阳镇、陇南武都区等九大砂石集中开采区，按照“要素跟着项目走”的原则，相关市州自然资源主管部门要加大对九大</w:t>
                  </w:r>
                  <w:r>
                    <w:rPr>
                      <w:rFonts w:hint="default"/>
                      <w:sz w:val="21"/>
                      <w:szCs w:val="21"/>
                      <w:lang w:val="en-US" w:eastAsia="zh-CN"/>
                    </w:rPr>
                    <w:t>砂石集中开采区的政策支持力度，确保尽快建成投产，对</w:t>
                  </w:r>
                  <w:r>
                    <w:rPr>
                      <w:rFonts w:hint="default"/>
                      <w:sz w:val="21"/>
                      <w:szCs w:val="21"/>
                    </w:rPr>
                    <w:t>九大砂石集中开采区设置最低生产规模（产能），原则上最低生产规模不低于 100万吨/年，最小储量规模不小于 1500 万吨，集中开采区以外的其他地区，市县自然资源主管部门应结合当地市场需求，统筹考虑运输半径辐射、大型线性工程、阶段性大型工程等综合因素确定矿山生产规模，实行区域范围内生产规模要求适度高于市场需求总量，并定期进行调整。</w:t>
                  </w:r>
                </w:p>
              </w:tc>
              <w:tc>
                <w:tcPr>
                  <w:tcW w:w="1180" w:type="pct"/>
                  <w:tcBorders>
                    <w:tl2br w:val="nil"/>
                    <w:tr2bl w:val="nil"/>
                  </w:tcBorders>
                  <w:noWrap w:val="0"/>
                  <w:vAlign w:val="center"/>
                </w:tcPr>
                <w:p>
                  <w:pPr>
                    <w:widowControl w:val="0"/>
                    <w:autoSpaceDE w:val="0"/>
                    <w:autoSpaceDN w:val="0"/>
                    <w:adjustRightInd w:val="0"/>
                    <w:spacing w:before="0" w:after="0" w:line="240" w:lineRule="auto"/>
                    <w:ind w:left="0" w:right="0" w:firstLine="0"/>
                    <w:jc w:val="left"/>
                    <w:rPr>
                      <w:rFonts w:hint="eastAsia"/>
                      <w:sz w:val="21"/>
                      <w:szCs w:val="21"/>
                      <w:lang w:val="en-US" w:eastAsia="zh-CN"/>
                    </w:rPr>
                  </w:pPr>
                  <w:r>
                    <w:rPr>
                      <w:rFonts w:hint="default"/>
                      <w:sz w:val="21"/>
                      <w:szCs w:val="21"/>
                      <w:lang w:val="en-US" w:eastAsia="zh-CN"/>
                    </w:rPr>
                    <w:t>矿山位于</w:t>
                  </w:r>
                  <w:r>
                    <w:rPr>
                      <w:rFonts w:hint="eastAsia" w:ascii="Times New Roman" w:hAnsi="Times New Roman" w:eastAsia="宋体" w:cs="Times New Roman"/>
                      <w:sz w:val="21"/>
                      <w:szCs w:val="21"/>
                      <w:lang w:val="en-US" w:eastAsia="zh-CN"/>
                    </w:rPr>
                    <w:t>东乡县达板镇舀水村西侧布塄沟</w:t>
                  </w:r>
                  <w:r>
                    <w:rPr>
                      <w:rFonts w:hint="default"/>
                      <w:sz w:val="21"/>
                      <w:szCs w:val="21"/>
                      <w:lang w:val="en-US" w:eastAsia="zh-CN"/>
                    </w:rPr>
                    <w:t>，</w:t>
                  </w:r>
                  <w:r>
                    <w:rPr>
                      <w:rFonts w:hint="eastAsia"/>
                      <w:sz w:val="21"/>
                      <w:szCs w:val="21"/>
                      <w:lang w:val="en-US" w:eastAsia="zh-CN"/>
                    </w:rPr>
                    <w:t>不属于九大砂石集中开采区</w:t>
                  </w:r>
                  <w:r>
                    <w:rPr>
                      <w:rFonts w:hint="eastAsia"/>
                      <w:sz w:val="21"/>
                      <w:szCs w:val="21"/>
                      <w:lang w:eastAsia="zh-CN"/>
                    </w:rPr>
                    <w:t>。</w:t>
                  </w:r>
                </w:p>
              </w:tc>
              <w:tc>
                <w:tcPr>
                  <w:tcW w:w="446" w:type="pct"/>
                  <w:tcBorders>
                    <w:tl2br w:val="nil"/>
                    <w:tr2bl w:val="nil"/>
                  </w:tcBorders>
                  <w:noWrap w:val="0"/>
                  <w:vAlign w:val="center"/>
                </w:tcPr>
                <w:p>
                  <w:pPr>
                    <w:keepNext w:val="0"/>
                    <w:keepLines w:val="0"/>
                    <w:widowControl/>
                    <w:suppressLineNumbers w:val="0"/>
                    <w:spacing w:line="240" w:lineRule="auto"/>
                    <w:jc w:val="both"/>
                    <w:rPr>
                      <w:rFonts w:hint="default"/>
                      <w:sz w:val="21"/>
                      <w:szCs w:val="21"/>
                    </w:rPr>
                  </w:pPr>
                  <w:r>
                    <w:rPr>
                      <w:rFonts w:hint="default"/>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35" w:hRule="atLeast"/>
                <w:jc w:val="center"/>
              </w:trPr>
              <w:tc>
                <w:tcPr>
                  <w:tcW w:w="293" w:type="pct"/>
                  <w:tcBorders>
                    <w:tl2br w:val="nil"/>
                    <w:tr2bl w:val="nil"/>
                  </w:tcBorders>
                  <w:noWrap w:val="0"/>
                  <w:vAlign w:val="center"/>
                </w:tcPr>
                <w:p>
                  <w:pPr>
                    <w:widowControl/>
                    <w:spacing w:line="240" w:lineRule="auto"/>
                    <w:jc w:val="both"/>
                    <w:rPr>
                      <w:rFonts w:hint="default"/>
                      <w:sz w:val="21"/>
                      <w:szCs w:val="21"/>
                      <w:lang w:val="en-US" w:eastAsia="zh-CN"/>
                    </w:rPr>
                  </w:pPr>
                  <w:r>
                    <w:rPr>
                      <w:rFonts w:hint="eastAsia"/>
                      <w:sz w:val="21"/>
                      <w:szCs w:val="21"/>
                    </w:rPr>
                    <w:t>全面推动建设绿色矿山</w:t>
                  </w:r>
                </w:p>
              </w:tc>
              <w:tc>
                <w:tcPr>
                  <w:tcW w:w="3080" w:type="pct"/>
                  <w:tcBorders>
                    <w:tl2br w:val="nil"/>
                    <w:tr2bl w:val="nil"/>
                  </w:tcBorders>
                  <w:noWrap w:val="0"/>
                  <w:vAlign w:val="center"/>
                </w:tcPr>
                <w:p>
                  <w:pPr>
                    <w:widowControl w:val="0"/>
                    <w:autoSpaceDE w:val="0"/>
                    <w:autoSpaceDN w:val="0"/>
                    <w:adjustRightInd w:val="0"/>
                    <w:spacing w:before="0" w:after="0" w:line="240" w:lineRule="auto"/>
                    <w:ind w:right="0"/>
                    <w:jc w:val="left"/>
                    <w:rPr>
                      <w:rFonts w:hint="default"/>
                      <w:sz w:val="21"/>
                      <w:szCs w:val="21"/>
                    </w:rPr>
                  </w:pPr>
                  <w:r>
                    <w:rPr>
                      <w:rFonts w:hint="eastAsia"/>
                      <w:sz w:val="21"/>
                      <w:szCs w:val="21"/>
                    </w:rPr>
                    <w:t>严格按照原国土资源部等六部委《关于加快建设绿色矿山的实施意见》（国土资规〔2017〕4号）、《甘肃省绿色矿山建设工作方案》（甘国土资发〔2017〕228号）、《砂石行业绿色矿山建设规范DZ/T0316》、《甘肃省自然资源厅关于打赢蓝天保卫战全面推进露天矿山综合整治的通知》（甘资矿发〔2019〕32号）有关要求，全面推动砂石行业绿色矿山建设工作，实现矿区环境生态化、开采方式科学化、资源利用高效化、管理信息数字化、矿区社区和谐化。采用先进的工艺技术与装备，做到绿色开采、绿色生产、绿色存贮、绿色运输。贯彻“边开采、边恢复、边治理”的原则，严格执行矿山地质环境保护与土地复垦方案。各级自然资源主管部门要把好资源配置关口，提高准入门槛，针对新建砂石料企业，不符合绿色矿山标准的，坚决不予配置矿业权；对已取得矿业权的企业，要求企业按照绿色矿山标准开展建设工作，设定改造期限，用政策手段倒逼企业转型升级，对不符合绿色矿山标准的企业，依法依规有序关闭退出。</w:t>
                  </w:r>
                </w:p>
              </w:tc>
              <w:tc>
                <w:tcPr>
                  <w:tcW w:w="1180" w:type="pct"/>
                  <w:tcBorders>
                    <w:tl2br w:val="nil"/>
                    <w:tr2bl w:val="nil"/>
                  </w:tcBorders>
                  <w:noWrap w:val="0"/>
                  <w:vAlign w:val="center"/>
                </w:tcPr>
                <w:p>
                  <w:pPr>
                    <w:keepNext w:val="0"/>
                    <w:keepLines w:val="0"/>
                    <w:widowControl/>
                    <w:suppressLineNumbers w:val="0"/>
                    <w:spacing w:line="240" w:lineRule="auto"/>
                    <w:jc w:val="both"/>
                    <w:rPr>
                      <w:rFonts w:hint="default"/>
                      <w:sz w:val="21"/>
                      <w:szCs w:val="21"/>
                    </w:rPr>
                  </w:pPr>
                  <w:r>
                    <w:rPr>
                      <w:rFonts w:hint="eastAsia"/>
                      <w:sz w:val="21"/>
                      <w:szCs w:val="21"/>
                    </w:rPr>
                    <w:t>项目满足《关于加快建设绿色矿山的实施意见》（国土资规〔2017〕4号）、《甘肃省绿色矿山建设工作方案》（甘国土资发〔2017〕228号）、《砂石行业绿色矿山建设规范DZ/T0316》、《甘肃省自然资源厅关于打赢蓝天保卫战全面推进露天矿山综合整治的通知》（甘资矿发〔2019〕32号）等有关要求。坚持“边开采、边恢复、边治理”的原则，严格执行矿山地质环境保护与土地复垦方案。</w:t>
                  </w:r>
                </w:p>
              </w:tc>
              <w:tc>
                <w:tcPr>
                  <w:tcW w:w="446" w:type="pct"/>
                  <w:tcBorders>
                    <w:tl2br w:val="nil"/>
                    <w:tr2bl w:val="nil"/>
                  </w:tcBorders>
                  <w:noWrap w:val="0"/>
                  <w:vAlign w:val="center"/>
                </w:tcPr>
                <w:p>
                  <w:pPr>
                    <w:adjustRightInd w:val="0"/>
                    <w:snapToGrid w:val="0"/>
                    <w:spacing w:line="240" w:lineRule="auto"/>
                    <w:jc w:val="center"/>
                    <w:rPr>
                      <w:rFonts w:hint="default"/>
                      <w:sz w:val="21"/>
                      <w:szCs w:val="21"/>
                    </w:rPr>
                  </w:pPr>
                  <w:r>
                    <w:rPr>
                      <w:rFonts w:hint="default"/>
                      <w:sz w:val="21"/>
                      <w:szCs w:val="21"/>
                      <w:lang w:val="en-US" w:eastAsia="zh-CN"/>
                    </w:rPr>
                    <w:t>符合</w:t>
                  </w:r>
                </w:p>
              </w:tc>
            </w:tr>
          </w:tbl>
          <w:p>
            <w:pPr>
              <w:keepNext w:val="0"/>
              <w:keepLines w:val="0"/>
              <w:widowControl/>
              <w:suppressLineNumbers w:val="0"/>
              <w:spacing w:line="360" w:lineRule="auto"/>
              <w:ind w:firstLine="482" w:firstLineChars="200"/>
              <w:jc w:val="left"/>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 xml:space="preserve">9.与省级绿色矿山建设要求符合性分析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根据 2018 年 5 月甘肃省国土资源厅下发的文件《甘肃省省级绿色矿山建设要求及评定办法》，根据该办法环保相关要求对本矿山不足提出整改措施及进行符合性分析。本矿山建设与甘肃省省级绿色矿山建设要求及评定办法符合性分析见表 1-</w:t>
            </w:r>
            <w:r>
              <w:rPr>
                <w:rFonts w:hint="eastAsia" w:cs="Times New Roman"/>
                <w:sz w:val="24"/>
                <w:szCs w:val="24"/>
                <w:lang w:val="en-US" w:eastAsia="zh-CN"/>
              </w:rPr>
              <w:t>7</w:t>
            </w:r>
            <w:r>
              <w:rPr>
                <w:rFonts w:hint="default" w:ascii="Times New Roman" w:hAnsi="Times New Roman" w:eastAsia="宋体" w:cs="Times New Roman"/>
                <w:sz w:val="24"/>
                <w:szCs w:val="24"/>
                <w:lang w:val="en-US" w:eastAsia="zh-CN"/>
              </w:rPr>
              <w:t xml:space="preserve">。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根据《甘肃省省级绿色矿山建设要求及评定办法》，本报告提出的整改措施及要求应积极落实。</w:t>
            </w:r>
          </w:p>
          <w:p>
            <w:pPr>
              <w:keepNext w:val="0"/>
              <w:keepLines w:val="0"/>
              <w:widowControl/>
              <w:suppressLineNumbers w:val="0"/>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表 1-7 本项目与甘肃省省级绿色矿山建设要求对照表</w:t>
            </w:r>
          </w:p>
          <w:tbl>
            <w:tblPr>
              <w:tblStyle w:val="28"/>
              <w:tblW w:w="48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2"/>
              <w:gridCol w:w="4222"/>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1" w:hRule="atLeast"/>
                <w:jc w:val="center"/>
              </w:trPr>
              <w:tc>
                <w:tcPr>
                  <w:tcW w:w="51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序号</w:t>
                  </w:r>
                </w:p>
              </w:tc>
              <w:tc>
                <w:tcPr>
                  <w:tcW w:w="2594" w:type="pct"/>
                  <w:tcBorders>
                    <w:tl2br w:val="nil"/>
                    <w:tr2bl w:val="nil"/>
                  </w:tcBorders>
                  <w:noWrap w:val="0"/>
                  <w:vAlign w:val="center"/>
                </w:tcPr>
                <w:p>
                  <w:pPr>
                    <w:keepNext w:val="0"/>
                    <w:keepLines w:val="0"/>
                    <w:widowControl/>
                    <w:suppressLineNumbers w:val="0"/>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甘肃省省级绿色矿山建设要求</w:t>
                  </w:r>
                </w:p>
              </w:tc>
              <w:tc>
                <w:tcPr>
                  <w:tcW w:w="1894"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本项目</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10" w:hRule="atLeast"/>
                <w:jc w:val="center"/>
              </w:trPr>
              <w:tc>
                <w:tcPr>
                  <w:tcW w:w="511" w:type="pct"/>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1</w:t>
                  </w:r>
                </w:p>
              </w:tc>
              <w:tc>
                <w:tcPr>
                  <w:tcW w:w="25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矿容矿貌；砂石粘土类矿山要围挡并加盖防尘网，防止粉尘弥漫影响环境质量，对于居民集中生活区周边和交通干线、河流湖泊直观可视范围内的矿山，矿石加工区、中间料库、储存区等厂房要实现全封闭</w:t>
                  </w:r>
                </w:p>
              </w:tc>
              <w:tc>
                <w:tcPr>
                  <w:tcW w:w="18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本矿山</w:t>
                  </w:r>
                  <w:r>
                    <w:rPr>
                      <w:rFonts w:hint="eastAsia" w:cs="Times New Roman"/>
                      <w:color w:val="000000" w:themeColor="text1"/>
                      <w:sz w:val="21"/>
                      <w:szCs w:val="21"/>
                      <w:highlight w:val="none"/>
                      <w:lang w:val="en-US" w:eastAsia="zh-CN"/>
                      <w14:textFill>
                        <w14:solidFill>
                          <w14:schemeClr w14:val="tx1"/>
                        </w14:solidFill>
                      </w14:textFill>
                    </w:rPr>
                    <w:t>作业时采用湿式作业</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，防止粉尘弥漫影响环境质量</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w:t>
                  </w:r>
                </w:p>
                <w:p>
                  <w:pPr>
                    <w:keepNext w:val="0"/>
                    <w:keepLines w:val="0"/>
                    <w:widowControl/>
                    <w:suppressLineNumbers w:val="0"/>
                    <w:spacing w:line="240" w:lineRule="auto"/>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本矿山不在</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居民集中生活区周边和交通干线、河流湖泊直观可视范围内</w:t>
                  </w:r>
                  <w:r>
                    <w:rPr>
                      <w:rFonts w:hint="eastAsia" w:cs="Times New Roman"/>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highlight w:val="none"/>
                      <w:lang w:val="zh-CN"/>
                      <w14:textFill>
                        <w14:solidFill>
                          <w14:schemeClr w14:val="tx1"/>
                        </w14:solidFill>
                      </w14:textFill>
                    </w:rPr>
                    <w:t>破碎机、筛分机设置于密闭彩钢棚内，项目皮带传送采用密闭传送带。</w:t>
                  </w:r>
                  <w:r>
                    <w:rPr>
                      <w:rFonts w:ascii="Times New Roman" w:hAnsi="Times New Roman" w:eastAsia="宋体" w:cs="Times New Roman"/>
                      <w:color w:val="000000" w:themeColor="text1"/>
                      <w:highlight w:val="none"/>
                      <w:lang w:val="zh-CN"/>
                      <w14:textFill>
                        <w14:solidFill>
                          <w14:schemeClr w14:val="tx1"/>
                        </w14:solidFill>
                      </w14:textFill>
                    </w:rPr>
                    <w:t>筛分</w:t>
                  </w:r>
                  <w:r>
                    <w:rPr>
                      <w:rFonts w:hint="eastAsia" w:ascii="Times New Roman" w:hAnsi="Times New Roman" w:eastAsia="宋体" w:cs="Times New Roman"/>
                      <w:color w:val="000000" w:themeColor="text1"/>
                      <w:highlight w:val="none"/>
                      <w:lang w:val="zh-CN"/>
                      <w14:textFill>
                        <w14:solidFill>
                          <w14:schemeClr w14:val="tx1"/>
                        </w14:solidFill>
                      </w14:textFill>
                    </w:rPr>
                    <w:t>、洗砂</w:t>
                  </w:r>
                  <w:r>
                    <w:rPr>
                      <w:rFonts w:ascii="Times New Roman" w:hAnsi="Times New Roman" w:eastAsia="宋体" w:cs="Times New Roman"/>
                      <w:color w:val="000000" w:themeColor="text1"/>
                      <w:highlight w:val="none"/>
                      <w:lang w:val="zh-CN"/>
                      <w14:textFill>
                        <w14:solidFill>
                          <w14:schemeClr w14:val="tx1"/>
                        </w14:solidFill>
                      </w14:textFill>
                    </w:rPr>
                    <w:t>工序</w:t>
                  </w:r>
                  <w:r>
                    <w:rPr>
                      <w:rFonts w:hint="eastAsia" w:ascii="Times New Roman" w:hAnsi="Times New Roman" w:eastAsia="宋体" w:cs="Times New Roman"/>
                      <w:color w:val="000000" w:themeColor="text1"/>
                      <w:highlight w:val="none"/>
                      <w:lang w:val="zh-CN"/>
                      <w14:textFill>
                        <w14:solidFill>
                          <w14:schemeClr w14:val="tx1"/>
                        </w14:solidFill>
                      </w14:textFill>
                    </w:rPr>
                    <w:t>全程带水</w:t>
                  </w:r>
                  <w:r>
                    <w:rPr>
                      <w:rFonts w:hint="eastAsia" w:hAnsi="宋体"/>
                      <w:color w:val="000000" w:themeColor="text1"/>
                      <w:szCs w:val="21"/>
                      <w:highlight w:val="none"/>
                      <w14:textFill>
                        <w14:solidFill>
                          <w14:schemeClr w14:val="tx1"/>
                        </w14:solidFill>
                      </w14:textFill>
                    </w:rPr>
                    <w:t>作业，要求卸料口设喷淋洒水装置。</w:t>
                  </w:r>
                  <w:r>
                    <w:rPr>
                      <w:rFonts w:hint="eastAsia" w:hAnsi="宋体"/>
                      <w:color w:val="000000" w:themeColor="text1"/>
                      <w:szCs w:val="21"/>
                      <w:highlight w:val="none"/>
                      <w:lang w:eastAsia="zh-CN"/>
                      <w14:textFill>
                        <w14:solidFill>
                          <w14:schemeClr w14:val="tx1"/>
                        </w14:solidFill>
                      </w14:textFill>
                    </w:rPr>
                    <w:t>原料和</w:t>
                  </w:r>
                  <w:r>
                    <w:rPr>
                      <w:rFonts w:hint="eastAsia" w:hAnsi="宋体"/>
                      <w:color w:val="000000" w:themeColor="text1"/>
                      <w:szCs w:val="21"/>
                      <w:highlight w:val="none"/>
                      <w14:textFill>
                        <w14:solidFill>
                          <w14:schemeClr w14:val="tx1"/>
                        </w14:solidFill>
                      </w14:textFill>
                    </w:rPr>
                    <w:t>产品堆放</w:t>
                  </w:r>
                  <w:r>
                    <w:rPr>
                      <w:rFonts w:hint="eastAsia" w:hAnsi="宋体"/>
                      <w:color w:val="000000" w:themeColor="text1"/>
                      <w:szCs w:val="21"/>
                      <w:highlight w:val="none"/>
                      <w:lang w:eastAsia="zh-CN"/>
                      <w14:textFill>
                        <w14:solidFill>
                          <w14:schemeClr w14:val="tx1"/>
                        </w14:solidFill>
                      </w14:textFill>
                    </w:rPr>
                    <w:t>场地硬化，并</w:t>
                  </w:r>
                  <w:r>
                    <w:rPr>
                      <w:rFonts w:hAnsi="宋体"/>
                      <w:color w:val="000000" w:themeColor="text1"/>
                      <w:szCs w:val="21"/>
                      <w:highlight w:val="none"/>
                      <w14:textFill>
                        <w14:solidFill>
                          <w14:schemeClr w14:val="tx1"/>
                        </w14:solidFill>
                      </w14:textFill>
                    </w:rPr>
                    <w:t>采用</w:t>
                  </w:r>
                  <w:r>
                    <w:rPr>
                      <w:rFonts w:hint="eastAsia" w:hAnsi="宋体"/>
                      <w:color w:val="000000" w:themeColor="text1"/>
                      <w:szCs w:val="21"/>
                      <w:highlight w:val="none"/>
                      <w:lang w:eastAsia="zh-CN"/>
                      <w14:textFill>
                        <w14:solidFill>
                          <w14:schemeClr w14:val="tx1"/>
                        </w14:solidFill>
                      </w14:textFill>
                    </w:rPr>
                    <w:t>三面围挡</w:t>
                  </w:r>
                  <w:r>
                    <w:rPr>
                      <w:rFonts w:hint="eastAsia" w:hAnsi="宋体"/>
                      <w:color w:val="000000" w:themeColor="text1"/>
                      <w:szCs w:val="21"/>
                      <w:highlight w:val="none"/>
                      <w:lang w:val="en-US" w:eastAsia="zh-CN"/>
                      <w14:textFill>
                        <w14:solidFill>
                          <w14:schemeClr w14:val="tx1"/>
                        </w14:solidFill>
                      </w14:textFill>
                    </w:rPr>
                    <w:t>+</w:t>
                  </w:r>
                  <w:r>
                    <w:rPr>
                      <w:rFonts w:hint="eastAsia" w:hAnsi="宋体"/>
                      <w:color w:val="000000" w:themeColor="text1"/>
                      <w:szCs w:val="21"/>
                      <w:highlight w:val="none"/>
                      <w14:textFill>
                        <w14:solidFill>
                          <w14:schemeClr w14:val="tx1"/>
                        </w14:solidFill>
                      </w14:textFill>
                    </w:rPr>
                    <w:t>防风抑尘网+</w:t>
                  </w:r>
                  <w:r>
                    <w:rPr>
                      <w:rFonts w:hAnsi="宋体"/>
                      <w:color w:val="000000" w:themeColor="text1"/>
                      <w:szCs w:val="21"/>
                      <w:highlight w:val="none"/>
                      <w14:textFill>
                        <w14:solidFill>
                          <w14:schemeClr w14:val="tx1"/>
                        </w14:solidFill>
                      </w14:textFill>
                    </w:rPr>
                    <w:t>洒水抑尘措施。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80" w:hRule="atLeast"/>
                <w:jc w:val="center"/>
              </w:trPr>
              <w:tc>
                <w:tcPr>
                  <w:tcW w:w="511" w:type="pct"/>
                  <w:tcBorders>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25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矿容矿貌：矿山生产区、运输系统、办公区和生活区实现洁化、绿化、美化，矿区主要运输道路实现硬化，绿化覆盖率达到可绿化面积的 80%</w:t>
                  </w:r>
                </w:p>
              </w:tc>
              <w:tc>
                <w:tcPr>
                  <w:tcW w:w="18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color w:val="000000" w:themeColor="text1"/>
                      <w:sz w:val="21"/>
                      <w:szCs w:val="21"/>
                      <w:highlight w:val="none"/>
                      <w:lang w:val="en-US"/>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现有矿区主要运输道路进行了碎石铺垫</w:t>
                  </w:r>
                  <w:r>
                    <w:rPr>
                      <w:rFonts w:hint="eastAsia" w:cs="Times New Roman"/>
                      <w:color w:val="000000" w:themeColor="text1"/>
                      <w:sz w:val="21"/>
                      <w:szCs w:val="21"/>
                      <w:highlight w:val="none"/>
                      <w:lang w:val="en-US" w:eastAsia="zh-CN"/>
                      <w14:textFill>
                        <w14:solidFill>
                          <w14:schemeClr w14:val="tx1"/>
                        </w14:solidFill>
                      </w14:textFill>
                    </w:rPr>
                    <w:t>，并对可绿化区域进行绿化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80" w:hRule="atLeast"/>
                <w:jc w:val="center"/>
              </w:trPr>
              <w:tc>
                <w:tcPr>
                  <w:tcW w:w="511" w:type="pct"/>
                  <w:tcBorders>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25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采选方式：严格执行《矿产资源开发与恢复治理方案》。露天开采实现自上而下分水平台阶式开采，地下开采优先采用充填开采，保水开采等技术</w:t>
                  </w:r>
                </w:p>
              </w:tc>
              <w:tc>
                <w:tcPr>
                  <w:tcW w:w="18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已严格执行《矿产资源开发与恢复治理方案》。露天开采实现自上而下分水平台阶式开采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85" w:hRule="atLeast"/>
                <w:jc w:val="center"/>
              </w:trPr>
              <w:tc>
                <w:tcPr>
                  <w:tcW w:w="511" w:type="pct"/>
                  <w:tcBorders>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5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废石：尾矿分类处置，处置率100%、利用废石充填采空区、治理塌陷区或制作建筑材料等</w:t>
                  </w:r>
                </w:p>
                <w:p>
                  <w:pPr>
                    <w:keepNext w:val="0"/>
                    <w:keepLines w:val="0"/>
                    <w:widowControl/>
                    <w:suppressLineNumbers w:val="0"/>
                    <w:spacing w:line="240" w:lineRule="auto"/>
                    <w:jc w:val="center"/>
                    <w:rPr>
                      <w:rFonts w:hint="default" w:ascii="Times New Roman" w:hAnsi="Times New Roman" w:eastAsia="宋体" w:cs="Times New Roman"/>
                      <w:sz w:val="21"/>
                      <w:szCs w:val="21"/>
                    </w:rPr>
                  </w:pPr>
                </w:p>
                <w:p>
                  <w:pPr>
                    <w:keepNext w:val="0"/>
                    <w:keepLines w:val="0"/>
                    <w:widowControl/>
                    <w:suppressLineNumbers w:val="0"/>
                    <w:spacing w:line="240" w:lineRule="auto"/>
                    <w:jc w:val="center"/>
                    <w:rPr>
                      <w:rFonts w:hint="default" w:ascii="Times New Roman" w:hAnsi="Times New Roman" w:eastAsia="宋体" w:cs="Times New Roman"/>
                      <w:sz w:val="21"/>
                      <w:szCs w:val="21"/>
                      <w:lang w:val="en-US" w:eastAsia="en-US"/>
                    </w:rPr>
                  </w:pPr>
                </w:p>
              </w:tc>
              <w:tc>
                <w:tcPr>
                  <w:tcW w:w="18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sz w:val="21"/>
                      <w:szCs w:val="21"/>
                      <w:lang w:val="en-US" w:eastAsia="en-US"/>
                    </w:rPr>
                  </w:pPr>
                  <w:r>
                    <w:rPr>
                      <w:rFonts w:hint="default" w:ascii="Times New Roman" w:hAnsi="Times New Roman" w:eastAsia="宋体" w:cs="Times New Roman"/>
                      <w:sz w:val="21"/>
                      <w:szCs w:val="21"/>
                      <w:lang w:val="en-US" w:eastAsia="zh-CN"/>
                    </w:rPr>
                    <w:t>本项目</w:t>
                  </w:r>
                  <w:r>
                    <w:rPr>
                      <w:rFonts w:hint="eastAsia" w:cs="Times New Roman"/>
                      <w:sz w:val="21"/>
                      <w:szCs w:val="21"/>
                      <w:lang w:val="en-US" w:eastAsia="zh-CN"/>
                    </w:rPr>
                    <w:t>不涉及尾矿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4" w:hRule="atLeast"/>
                <w:jc w:val="center"/>
              </w:trPr>
              <w:tc>
                <w:tcPr>
                  <w:tcW w:w="511" w:type="pct"/>
                  <w:tcBorders>
                    <w:tl2br w:val="nil"/>
                    <w:tr2bl w:val="nil"/>
                  </w:tcBorders>
                  <w:noWrap w:val="0"/>
                  <w:vAlign w:val="center"/>
                </w:tcPr>
                <w:p>
                  <w:pPr>
                    <w:widowControl/>
                    <w:spacing w:line="24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5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执行环境影响评价和“三同时”制度，落实污染防治措施，贯彻“边开采、边治理”原则，实现矿区环境修复动态化</w:t>
                  </w:r>
                </w:p>
                <w:p>
                  <w:pPr>
                    <w:keepNext w:val="0"/>
                    <w:keepLines w:val="0"/>
                    <w:widowControl/>
                    <w:suppressLineNumbers w:val="0"/>
                    <w:spacing w:line="240" w:lineRule="auto"/>
                    <w:jc w:val="center"/>
                    <w:rPr>
                      <w:rFonts w:hint="default" w:ascii="Times New Roman" w:hAnsi="Times New Roman" w:eastAsia="宋体" w:cs="Times New Roman"/>
                      <w:sz w:val="21"/>
                      <w:szCs w:val="21"/>
                      <w:lang w:val="en-US" w:eastAsia="en-US"/>
                    </w:rPr>
                  </w:pPr>
                </w:p>
              </w:tc>
              <w:tc>
                <w:tcPr>
                  <w:tcW w:w="1894" w:type="pct"/>
                  <w:tcBorders>
                    <w:tl2br w:val="nil"/>
                    <w:tr2bl w:val="nil"/>
                  </w:tcBorders>
                  <w:noWrap w:val="0"/>
                  <w:vAlign w:val="center"/>
                </w:tcPr>
                <w:p>
                  <w:pPr>
                    <w:keepNext w:val="0"/>
                    <w:keepLines w:val="0"/>
                    <w:widowControl/>
                    <w:suppressLineNumbers w:val="0"/>
                    <w:spacing w:line="240" w:lineRule="auto"/>
                    <w:jc w:val="both"/>
                    <w:rPr>
                      <w:rFonts w:hint="default" w:ascii="Times New Roman" w:hAnsi="Times New Roman" w:eastAsia="宋体" w:cs="Times New Roman"/>
                      <w:sz w:val="21"/>
                      <w:szCs w:val="21"/>
                      <w:lang w:val="en-US" w:eastAsia="en-US"/>
                    </w:rPr>
                  </w:pPr>
                  <w:r>
                    <w:rPr>
                      <w:rFonts w:hint="default" w:ascii="Times New Roman" w:hAnsi="Times New Roman" w:eastAsia="宋体" w:cs="Times New Roman"/>
                      <w:sz w:val="21"/>
                      <w:szCs w:val="21"/>
                      <w:lang w:val="en-US" w:eastAsia="zh-CN"/>
                    </w:rPr>
                    <w:t>严格执行环境影响评价和“三同时”制度，正在落实污染防治措施，贯彻“边开采、边治理”原则，实现矿区环境修复动态化。</w:t>
                  </w:r>
                </w:p>
              </w:tc>
            </w:tr>
          </w:tbl>
          <w:p>
            <w:pPr>
              <w:keepNext w:val="0"/>
              <w:keepLines w:val="0"/>
              <w:widowControl/>
              <w:suppressLineNumbers w:val="0"/>
              <w:jc w:val="left"/>
            </w:pPr>
          </w:p>
          <w:p>
            <w:pPr>
              <w:keepNext w:val="0"/>
              <w:keepLines w:val="0"/>
              <w:pageBreakBefore w:val="0"/>
              <w:widowControl w:val="0"/>
              <w:tabs>
                <w:tab w:val="left" w:pos="1155"/>
              </w:tabs>
              <w:kinsoku/>
              <w:wordWrap/>
              <w:overflowPunct/>
              <w:topLinePunct w:val="0"/>
              <w:autoSpaceDE/>
              <w:autoSpaceDN/>
              <w:bidi w:val="0"/>
              <w:adjustRightInd w:val="0"/>
              <w:snapToGrid w:val="0"/>
              <w:spacing w:line="360" w:lineRule="auto"/>
              <w:ind w:firstLine="482" w:firstLineChars="200"/>
              <w:jc w:val="both"/>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bCs/>
                <w:sz w:val="24"/>
                <w:szCs w:val="24"/>
                <w:lang w:val="en-US" w:eastAsia="zh-CN"/>
              </w:rPr>
              <w:t>10</w:t>
            </w:r>
            <w:r>
              <w:rPr>
                <w:rFonts w:hint="default" w:ascii="Times New Roman" w:hAnsi="Times New Roman" w:eastAsia="宋体" w:cs="Times New Roman"/>
                <w:b/>
                <w:bCs/>
                <w:sz w:val="24"/>
                <w:szCs w:val="24"/>
              </w:rPr>
              <w:t>.</w:t>
            </w:r>
            <w:r>
              <w:rPr>
                <w:rFonts w:hint="default" w:ascii="Times New Roman" w:hAnsi="Times New Roman" w:eastAsia="宋体" w:cs="Times New Roman"/>
                <w:b/>
                <w:bCs/>
                <w:color w:val="auto"/>
                <w:kern w:val="2"/>
                <w:sz w:val="24"/>
                <w:szCs w:val="24"/>
                <w:highlight w:val="none"/>
                <w:lang w:val="en-US" w:eastAsia="zh-CN" w:bidi="ar-SA"/>
              </w:rPr>
              <w:t>与《甘肃省人民政府关于实施“三线一单”生态环境分区管控的意见》甘政发〔2020〕68号的符合性分析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kern w:val="21"/>
                <w:sz w:val="24"/>
                <w:szCs w:val="24"/>
                <w:lang w:val="en-US" w:eastAsia="zh-CN"/>
              </w:rPr>
              <w:t>《甘肃省人民政府关于实施“三线一单”生态环境分区管控的意见》甘政发〔2020〕68号提出划定环境管控单元：全省共划定环境管控单元842个，分为优先保护单元、重点管控单元和一般管控单元三类，实施分类管控。</w:t>
            </w:r>
          </w:p>
          <w:p>
            <w:pPr>
              <w:spacing w:line="360" w:lineRule="auto"/>
              <w:ind w:firstLine="482" w:firstLineChars="200"/>
              <w:rPr>
                <w:rFonts w:hint="default"/>
                <w:lang w:val="en-US" w:eastAsia="zh-CN"/>
              </w:rPr>
            </w:pPr>
            <w:r>
              <w:rPr>
                <w:b/>
                <w:bCs/>
                <w:color w:val="auto"/>
                <w:sz w:val="24"/>
              </w:rPr>
              <w:t>（一）划分环境管控单元。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color w:val="auto"/>
                <w:sz w:val="24"/>
              </w:rPr>
              <w:t>——优先保护单元。</w:t>
            </w:r>
            <w:r>
              <w:rPr>
                <w:rFonts w:hint="default" w:ascii="Times New Roman" w:hAnsi="Times New Roman" w:eastAsia="宋体" w:cs="Times New Roman"/>
                <w:color w:val="auto"/>
                <w:spacing w:val="0"/>
                <w:kern w:val="21"/>
                <w:sz w:val="24"/>
                <w:szCs w:val="24"/>
                <w:lang w:val="en-US" w:eastAsia="zh-CN"/>
              </w:rPr>
              <w:t>共491个，主要包括生态保护红线、自然保护地、集中式饮用水水源保护区等生态功能重要区和生态环境敏感区。该区域严格按照国家生态保护红线和省级生态空间管控区域管理规定进行管控。依法禁止或限制大规模、高强度的工业开发和城镇建设，严禁不符合国家有关规定的各类开发活动，确保生态环境功能不降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color w:val="auto"/>
                <w:sz w:val="24"/>
              </w:rPr>
              <w:t>——重点管控单元。</w:t>
            </w:r>
            <w:r>
              <w:rPr>
                <w:rFonts w:hint="default" w:ascii="Times New Roman" w:hAnsi="Times New Roman" w:eastAsia="宋体" w:cs="Times New Roman"/>
                <w:color w:val="auto"/>
                <w:spacing w:val="0"/>
                <w:kern w:val="21"/>
                <w:sz w:val="24"/>
                <w:szCs w:val="24"/>
                <w:lang w:val="en-US" w:eastAsia="zh-CN"/>
              </w:rPr>
              <w:t>共263个，主要包括中心城区和城镇规划区、各级各类工业园区及工业集聚区等开发强度高、环境问题相对集中的区域。该区域是经济社会高质量发展的主要承载区，主要推进产业结构和能源结构调整，优化交通结构和用地结构，不断提高资源能源利用效率，加强污染物排放控制和环境风险防控，解决突出生态环境问题。</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pacing w:val="0"/>
                <w:kern w:val="21"/>
                <w:sz w:val="24"/>
                <w:szCs w:val="24"/>
                <w:lang w:val="en-US" w:eastAsia="zh-CN"/>
              </w:rPr>
            </w:pPr>
            <w:r>
              <w:rPr>
                <w:color w:val="auto"/>
                <w:sz w:val="24"/>
              </w:rPr>
              <w:t>——一般管控单元。</w:t>
            </w:r>
            <w:r>
              <w:rPr>
                <w:rFonts w:hint="default" w:ascii="Times New Roman" w:hAnsi="Times New Roman" w:eastAsia="宋体" w:cs="Times New Roman"/>
                <w:color w:val="auto"/>
                <w:spacing w:val="0"/>
                <w:kern w:val="21"/>
                <w:sz w:val="24"/>
                <w:szCs w:val="24"/>
                <w:lang w:val="en-US" w:eastAsia="zh-CN"/>
              </w:rPr>
              <w:t>共88个，主要包括优先保护单元、重点管控单元以外的区域。该区域以促进生活、生态、生产功能的协调融合为主要目标，主要落实生态环境保护基本要求，加强生活污染和农业面源污染治理，推动区域生态环境质量持续改善和区域经济社会可持续发展。</w:t>
            </w:r>
          </w:p>
          <w:p>
            <w:pPr>
              <w:spacing w:line="360" w:lineRule="auto"/>
              <w:ind w:firstLine="482" w:firstLineChars="200"/>
              <w:rPr>
                <w:b/>
                <w:bCs/>
                <w:color w:val="auto"/>
                <w:sz w:val="24"/>
              </w:rPr>
            </w:pPr>
            <w:r>
              <w:rPr>
                <w:b/>
                <w:bCs/>
                <w:color w:val="auto"/>
                <w:sz w:val="24"/>
              </w:rPr>
              <w:t>（二）落实生态环境管控要求。</w:t>
            </w:r>
          </w:p>
          <w:p>
            <w:pPr>
              <w:pStyle w:val="35"/>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imes New Roman" w:hAnsi="Times New Roman" w:eastAsia="宋体" w:cs="Times New Roman"/>
                <w:color w:val="auto"/>
                <w:spacing w:val="0"/>
                <w:kern w:val="2"/>
                <w:sz w:val="24"/>
                <w:szCs w:val="24"/>
                <w:lang w:val="en-US" w:eastAsia="zh-CN" w:bidi="ar-SA"/>
              </w:rPr>
            </w:pPr>
            <w:r>
              <w:rPr>
                <w:rFonts w:hint="eastAsia" w:ascii="Times New Roman" w:hAnsi="Times New Roman" w:eastAsia="宋体" w:cs="Times New Roman"/>
                <w:color w:val="auto"/>
                <w:spacing w:val="0"/>
                <w:kern w:val="2"/>
                <w:sz w:val="24"/>
                <w:szCs w:val="24"/>
                <w:lang w:val="en-US" w:eastAsia="zh-CN" w:bidi="ar-SA"/>
              </w:rPr>
              <w:t>严格落实生态环境法律法规标准，国家、省和重点区域（流域）环境管理政策，准确把握区域发展战略和生态功能定位，建立完善并落实省级、重点区域（流域）、市级及各类环境管控单元的“1+5+15+N”四级清单管控体系。其中，“1”为省级清单，体现环境管控单元的基础性、底线性要求；“5”为祁连山内陆河、中部沿黄、甘南高原、陇东陇中、南部秦巴山等重点区域（流域）清单，体现环境管控单元所在区域（流域）的特色性、特殊性要求；“15”为市（州）级清单，体现环境管控单元所在市（州）的地域性、区位性要求；“N”（842个）为环境管控单元清单，体现管控单元的差异性、落地性要求。</w:t>
            </w:r>
          </w:p>
          <w:p>
            <w:pPr>
              <w:pStyle w:val="35"/>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spacing w:val="0"/>
                <w:sz w:val="24"/>
                <w:szCs w:val="24"/>
                <w:lang w:val="en-US" w:eastAsia="zh-CN"/>
              </w:rPr>
            </w:pPr>
            <w:r>
              <w:rPr>
                <w:rFonts w:hint="eastAsia" w:asciiTheme="minorEastAsia" w:hAnsiTheme="minorEastAsia" w:eastAsiaTheme="minorEastAsia" w:cstheme="minorEastAsia"/>
                <w:spacing w:val="0"/>
                <w:sz w:val="24"/>
                <w:szCs w:val="24"/>
                <w:lang w:val="en-US" w:eastAsia="zh-CN"/>
              </w:rPr>
              <w:t>省政府授权省生态环境厅发布省级、区域（流域）和省级及以上工业园区生态环境准入清单，市（州）人民政府根据本意见要求，制定并发布市（州）级、环境管控单元和省级以下工业集聚区生态环境准入清单。</w:t>
            </w:r>
          </w:p>
          <w:p>
            <w:pPr>
              <w:pStyle w:val="35"/>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Theme="minorEastAsia" w:hAnsiTheme="minorEastAsia" w:eastAsiaTheme="minorEastAsia" w:cstheme="minorEastAsia"/>
                <w:b/>
                <w:bCs/>
                <w:spacing w:val="0"/>
                <w:sz w:val="24"/>
                <w:szCs w:val="24"/>
                <w:lang w:val="en-US" w:eastAsia="zh-CN"/>
              </w:rPr>
            </w:pPr>
            <w:r>
              <w:rPr>
                <w:rFonts w:hint="eastAsia" w:asciiTheme="minorEastAsia" w:hAnsiTheme="minorEastAsia" w:eastAsiaTheme="minorEastAsia" w:cstheme="minorEastAsia"/>
                <w:b/>
                <w:bCs/>
                <w:spacing w:val="0"/>
                <w:sz w:val="24"/>
                <w:szCs w:val="24"/>
                <w:lang w:val="en-US" w:eastAsia="zh-CN"/>
              </w:rPr>
              <w:t>10.1符合性分析</w:t>
            </w:r>
          </w:p>
          <w:p>
            <w:pPr>
              <w:pStyle w:val="35"/>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Theme="minorEastAsia" w:hAnsiTheme="minorEastAsia" w:eastAsiaTheme="minorEastAsia" w:cstheme="minorEastAsia"/>
                <w:color w:val="auto"/>
                <w:spacing w:val="0"/>
                <w:kern w:val="21"/>
                <w:sz w:val="24"/>
                <w:szCs w:val="24"/>
                <w:lang w:val="en-US" w:eastAsia="zh-CN"/>
              </w:rPr>
            </w:pPr>
            <w:r>
              <w:rPr>
                <w:rFonts w:hint="eastAsia" w:asciiTheme="minorEastAsia" w:hAnsiTheme="minorEastAsia" w:eastAsiaTheme="minorEastAsia" w:cstheme="minorEastAsia"/>
                <w:spacing w:val="0"/>
                <w:sz w:val="24"/>
                <w:szCs w:val="24"/>
                <w:lang w:val="en-US" w:eastAsia="zh-CN"/>
              </w:rPr>
              <w:t>本项目位于东乡县</w:t>
            </w:r>
            <w:r>
              <w:rPr>
                <w:rFonts w:hint="eastAsia" w:ascii="Times New Roman" w:hAnsi="Times New Roman" w:cs="Times New Roman"/>
                <w:spacing w:val="0"/>
                <w:sz w:val="24"/>
                <w:szCs w:val="24"/>
                <w:lang w:val="en-US" w:eastAsia="zh-CN"/>
              </w:rPr>
              <w:t>达板镇舀水村西侧布塄沟沟口右岸支沟内</w:t>
            </w:r>
            <w:r>
              <w:rPr>
                <w:rFonts w:hint="eastAsia" w:asciiTheme="minorEastAsia" w:hAnsiTheme="minorEastAsia" w:eastAsiaTheme="minorEastAsia" w:cstheme="minorEastAsia"/>
                <w:spacing w:val="0"/>
                <w:sz w:val="24"/>
                <w:szCs w:val="24"/>
                <w:lang w:val="en-US" w:eastAsia="zh-CN"/>
              </w:rPr>
              <w:t>， 属于重点管控区。项目与甘肃省环境管控单元位置关</w:t>
            </w:r>
            <w:r>
              <w:rPr>
                <w:rFonts w:hint="eastAsia" w:asciiTheme="minorEastAsia" w:hAnsiTheme="minorEastAsia" w:eastAsiaTheme="minorEastAsia" w:cstheme="minorEastAsia"/>
                <w:spacing w:val="0"/>
                <w:sz w:val="24"/>
                <w:szCs w:val="24"/>
                <w:highlight w:val="none"/>
                <w:lang w:val="en-US" w:eastAsia="zh-CN"/>
              </w:rPr>
              <w:t>系见图1-1。本项目在建设期、运营期均采取合理的环境保护措施，</w:t>
            </w:r>
            <w:r>
              <w:rPr>
                <w:rFonts w:hint="eastAsia" w:asciiTheme="minorEastAsia" w:hAnsiTheme="minorEastAsia" w:eastAsiaTheme="minorEastAsia" w:cstheme="minorEastAsia"/>
                <w:spacing w:val="0"/>
                <w:sz w:val="24"/>
                <w:szCs w:val="24"/>
                <w:highlight w:val="none"/>
                <w:lang w:val="zh-CN" w:eastAsia="zh-CN"/>
              </w:rPr>
              <w:t>人为扰动对区域生态和自然环境等</w:t>
            </w:r>
            <w:r>
              <w:rPr>
                <w:rFonts w:hint="eastAsia" w:asciiTheme="minorEastAsia" w:hAnsiTheme="minorEastAsia" w:eastAsiaTheme="minorEastAsia" w:cstheme="minorEastAsia"/>
                <w:color w:val="auto"/>
                <w:spacing w:val="0"/>
                <w:sz w:val="24"/>
                <w:szCs w:val="24"/>
                <w:highlight w:val="none"/>
                <w:lang w:val="zh-CN" w:eastAsia="zh-CN"/>
              </w:rPr>
              <w:t>造成不利影响，其影响范围、影响程度有限，区域生态系统结构和功能、稳定性、保护对象等不会因为本工程的实施而发生显著变化；污染影响通过采</w:t>
            </w:r>
            <w:r>
              <w:rPr>
                <w:rFonts w:hint="eastAsia" w:asciiTheme="minorEastAsia" w:hAnsiTheme="minorEastAsia" w:eastAsiaTheme="minorEastAsia" w:cstheme="minorEastAsia"/>
                <w:color w:val="auto"/>
                <w:spacing w:val="0"/>
                <w:sz w:val="24"/>
                <w:szCs w:val="24"/>
                <w:lang w:val="zh-CN" w:eastAsia="zh-CN"/>
              </w:rPr>
              <w:t>取措施后均能达标排放，不会造成区域内环境质量下降；通过采取相应的生态恢复、补偿以及环境保护措施，将工程实施对环境的影响降至最低。本项目属于民生工程，项目的实施</w:t>
            </w:r>
            <w:r>
              <w:rPr>
                <w:rFonts w:hint="eastAsia" w:asciiTheme="minorEastAsia" w:hAnsiTheme="minorEastAsia" w:eastAsiaTheme="minorEastAsia" w:cstheme="minorEastAsia"/>
                <w:color w:val="auto"/>
                <w:spacing w:val="0"/>
                <w:kern w:val="0"/>
                <w:sz w:val="24"/>
                <w:szCs w:val="24"/>
                <w:lang w:val="en-US" w:eastAsia="zh-CN"/>
              </w:rPr>
              <w:t>有利于完善基础防洪设施，保障周边居民生命财产安全，提高项目周边居民生产生活环境质量，减少局部水士流失，具有明显的环境正效益</w:t>
            </w:r>
            <w:r>
              <w:rPr>
                <w:rFonts w:hint="eastAsia" w:asciiTheme="minorEastAsia" w:hAnsiTheme="minorEastAsia" w:eastAsiaTheme="minorEastAsia" w:cstheme="minorEastAsia"/>
                <w:color w:val="auto"/>
                <w:spacing w:val="0"/>
                <w:kern w:val="21"/>
                <w:sz w:val="24"/>
                <w:szCs w:val="24"/>
                <w:lang w:val="en-US" w:eastAsia="zh-CN"/>
              </w:rPr>
              <w:t>。</w:t>
            </w:r>
          </w:p>
          <w:p>
            <w:pPr>
              <w:pStyle w:val="35"/>
              <w:numPr>
                <w:ilvl w:val="0"/>
                <w:numId w:val="0"/>
              </w:numPr>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11、与临夏回族自治州“三线一单”生态环境分区管控实施方案符合性分析</w:t>
            </w:r>
          </w:p>
          <w:p>
            <w:pPr>
              <w:pStyle w:val="35"/>
              <w:numPr>
                <w:ilvl w:val="0"/>
                <w:numId w:val="0"/>
              </w:numPr>
              <w:ind w:firstLine="480" w:firstLineChars="200"/>
              <w:rPr>
                <w:rFonts w:hint="default" w:ascii="Times New Roman" w:hAnsi="Times New Roman" w:eastAsia="宋体" w:cs="Times New Roman"/>
                <w:color w:val="auto"/>
                <w:spacing w:val="0"/>
                <w:kern w:val="0"/>
                <w:sz w:val="24"/>
                <w:szCs w:val="24"/>
                <w:lang w:val="en-US" w:eastAsia="zh-CN"/>
              </w:rPr>
            </w:pPr>
            <w:r>
              <w:rPr>
                <w:rFonts w:hint="default" w:ascii="Times New Roman" w:hAnsi="Times New Roman" w:eastAsia="宋体" w:cs="Times New Roman"/>
                <w:color w:val="auto"/>
                <w:spacing w:val="0"/>
                <w:kern w:val="0"/>
                <w:sz w:val="24"/>
                <w:szCs w:val="24"/>
                <w:lang w:val="en-US" w:eastAsia="zh-CN"/>
              </w:rPr>
              <w:t>根据临夏回族自治州人民政府关于印发《临夏回族自治州“三线一单” 生态环境分区管控实施方案》的通知（临州府发〔2021〕33号），全州共划定环境管控单元74个，分为优先保护单元、重点管控单元和一般管控单元三类，实施分类管控。</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sz w:val="24"/>
                <w:szCs w:val="24"/>
              </w:rPr>
              <w:t>（一）划分环境管控单元。</w:t>
            </w:r>
          </w:p>
          <w:p>
            <w:pPr>
              <w:pStyle w:val="35"/>
              <w:numPr>
                <w:ilvl w:val="0"/>
                <w:numId w:val="0"/>
              </w:numPr>
              <w:ind w:firstLine="480" w:firstLineChars="200"/>
              <w:rPr>
                <w:rFonts w:hint="default" w:ascii="Times New Roman" w:hAnsi="Times New Roman" w:eastAsia="宋体" w:cs="Times New Roman"/>
                <w:color w:val="auto"/>
                <w:spacing w:val="0"/>
                <w:kern w:val="0"/>
                <w:sz w:val="24"/>
                <w:szCs w:val="24"/>
                <w:lang w:val="en-US" w:eastAsia="zh-CN"/>
              </w:rPr>
            </w:pPr>
            <w:r>
              <w:rPr>
                <w:rFonts w:hint="default" w:ascii="Times New Roman" w:hAnsi="Times New Roman" w:eastAsia="宋体" w:cs="Times New Roman"/>
                <w:color w:val="auto"/>
                <w:spacing w:val="0"/>
                <w:sz w:val="24"/>
                <w:szCs w:val="24"/>
              </w:rPr>
              <w:t>——</w:t>
            </w:r>
            <w:r>
              <w:rPr>
                <w:rFonts w:hint="default" w:ascii="Times New Roman" w:hAnsi="Times New Roman" w:eastAsia="宋体" w:cs="Times New Roman"/>
                <w:color w:val="auto"/>
                <w:spacing w:val="0"/>
                <w:kern w:val="0"/>
                <w:sz w:val="24"/>
                <w:szCs w:val="24"/>
                <w:lang w:val="en-US" w:eastAsia="zh-CN"/>
              </w:rPr>
              <w:t>优先保护单元：共49个，主要包括生态保护红线、自然保护地、集中式饮用水水源保护区等生态功能重要区和生态环境敏感区。该区域严格按照国家生态保护红线和省级生态空间管控区域管理规定进行管控。依法禁止或限制大规模、高强度的工业开发和城镇建设，严禁不符合国家有关规定的各类开发活动，确保生态环境功能不降低。</w:t>
            </w:r>
          </w:p>
          <w:p>
            <w:pPr>
              <w:pStyle w:val="35"/>
              <w:numPr>
                <w:ilvl w:val="0"/>
                <w:numId w:val="0"/>
              </w:numPr>
              <w:ind w:firstLine="480" w:firstLineChars="200"/>
              <w:rPr>
                <w:rFonts w:hint="default" w:ascii="Times New Roman" w:hAnsi="Times New Roman" w:eastAsia="宋体" w:cs="Times New Roman"/>
                <w:color w:val="auto"/>
                <w:spacing w:val="0"/>
                <w:kern w:val="0"/>
                <w:sz w:val="24"/>
                <w:szCs w:val="24"/>
                <w:lang w:val="en-US" w:eastAsia="zh-CN"/>
              </w:rPr>
            </w:pPr>
            <w:r>
              <w:rPr>
                <w:rFonts w:hint="default" w:ascii="Times New Roman" w:hAnsi="Times New Roman" w:eastAsia="宋体" w:cs="Times New Roman"/>
                <w:color w:val="auto"/>
                <w:spacing w:val="0"/>
                <w:sz w:val="24"/>
                <w:szCs w:val="24"/>
              </w:rPr>
              <w:t>——</w:t>
            </w:r>
            <w:r>
              <w:rPr>
                <w:rFonts w:hint="default" w:ascii="Times New Roman" w:hAnsi="Times New Roman" w:eastAsia="宋体" w:cs="Times New Roman"/>
                <w:color w:val="auto"/>
                <w:spacing w:val="0"/>
                <w:kern w:val="0"/>
                <w:sz w:val="24"/>
                <w:szCs w:val="24"/>
                <w:lang w:val="en-US" w:eastAsia="zh-CN"/>
              </w:rPr>
              <w:t>重点管控单元：共16个，主要包括中心城区和城镇规划区、各级各类工业园区及工业集聚区等开发强度高、环境问题相对集中的区域。该区域是经济社会高质量发展的主要承载区，主要推进产业结构和能源结构调整，优化交通结构和用地结构，不断提高资源能源利用效率，加强污染物排放控制和环境风险防控，解决突出生态环境问题。</w:t>
            </w:r>
          </w:p>
          <w:p>
            <w:pPr>
              <w:pStyle w:val="35"/>
              <w:numPr>
                <w:ilvl w:val="0"/>
                <w:numId w:val="0"/>
              </w:numPr>
              <w:ind w:firstLine="480" w:firstLineChars="200"/>
              <w:rPr>
                <w:rFonts w:hint="eastAsia" w:ascii="宋体" w:hAnsi="宋体" w:eastAsia="宋体" w:cs="宋体"/>
                <w:color w:val="auto"/>
                <w:spacing w:val="0"/>
                <w:kern w:val="0"/>
                <w:sz w:val="24"/>
                <w:szCs w:val="24"/>
                <w:lang w:val="en-US" w:eastAsia="zh-CN"/>
              </w:rPr>
            </w:pPr>
            <w:r>
              <w:rPr>
                <w:rFonts w:hint="default" w:ascii="Times New Roman" w:hAnsi="Times New Roman" w:eastAsia="宋体" w:cs="Times New Roman"/>
                <w:color w:val="auto"/>
                <w:spacing w:val="0"/>
                <w:sz w:val="24"/>
                <w:szCs w:val="24"/>
              </w:rPr>
              <w:t>——</w:t>
            </w:r>
            <w:r>
              <w:rPr>
                <w:rFonts w:hint="default" w:ascii="Times New Roman" w:hAnsi="Times New Roman" w:eastAsia="宋体" w:cs="Times New Roman"/>
                <w:color w:val="auto"/>
                <w:spacing w:val="0"/>
                <w:kern w:val="0"/>
                <w:sz w:val="24"/>
                <w:szCs w:val="24"/>
                <w:lang w:val="en-US" w:eastAsia="zh-CN"/>
              </w:rPr>
              <w:t>一般管控单元：共9个，主要包括优先保护单元、重点管控单元以外的区域。该区域以促进生活、生态、生产功能的协调融合为主要目标，主要落实生态环境保护基本要求，加强生活污染和农业面源污染治理，推动区域生态环境质量持续改善和区域经济社会可持续发展。</w:t>
            </w:r>
          </w:p>
          <w:p>
            <w:pPr>
              <w:pStyle w:val="35"/>
              <w:numPr>
                <w:ilvl w:val="0"/>
                <w:numId w:val="2"/>
              </w:numPr>
              <w:ind w:firstLine="482" w:firstLineChars="200"/>
              <w:rPr>
                <w:rFonts w:hint="eastAsia" w:ascii="宋体" w:hAnsi="宋体" w:eastAsia="宋体" w:cs="宋体"/>
                <w:b/>
                <w:bCs/>
                <w:color w:val="auto"/>
                <w:spacing w:val="0"/>
                <w:sz w:val="24"/>
                <w:szCs w:val="24"/>
              </w:rPr>
            </w:pPr>
            <w:r>
              <w:rPr>
                <w:rFonts w:hint="eastAsia" w:ascii="宋体" w:hAnsi="宋体" w:eastAsia="宋体" w:cs="宋体"/>
                <w:b/>
                <w:bCs/>
                <w:color w:val="auto"/>
                <w:spacing w:val="0"/>
                <w:sz w:val="24"/>
                <w:szCs w:val="24"/>
              </w:rPr>
              <w:t>落实生态环境管控要求。</w:t>
            </w:r>
          </w:p>
          <w:p>
            <w:pPr>
              <w:pStyle w:val="35"/>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　严格落实生态环境法律法规标准，国家、省和重点区域(流域)环境管理政策，准确把握区域发展战略和生态功能定位，建立完善并落实州级及各类环境管控单元为主体的“1+74”二级清单管控体系。其中，“1”为州级清单，体现环境管控单元在全州范围内的地域性、区位性要求；“74”为环境管控单元清单，体现管控单元的差异性、落地性要求。</w:t>
            </w:r>
          </w:p>
          <w:p>
            <w:pPr>
              <w:pStyle w:val="35"/>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州人民政府根据《甘肃省人民政府关于实施“三线一单”生态环境分区管控的意见》要求，制定并发布州级环境管控单元和省级以下工业集聚区生态环境准入清单。</w:t>
            </w:r>
          </w:p>
          <w:p>
            <w:pPr>
              <w:pStyle w:val="35"/>
              <w:keepNext w:val="0"/>
              <w:keepLines w:val="0"/>
              <w:pageBreakBefore w:val="0"/>
              <w:widowControl w:val="0"/>
              <w:numPr>
                <w:ilvl w:val="0"/>
                <w:numId w:val="0"/>
              </w:numPr>
              <w:kinsoku/>
              <w:wordWrap/>
              <w:overflowPunct/>
              <w:topLinePunct w:val="0"/>
              <w:autoSpaceDE/>
              <w:autoSpaceDN/>
              <w:bidi w:val="0"/>
              <w:adjustRightInd/>
              <w:snapToGrid/>
              <w:ind w:firstLine="482" w:firstLineChars="200"/>
              <w:jc w:val="left"/>
              <w:textAlignment w:val="auto"/>
              <w:rPr>
                <w:rFonts w:hint="eastAsia" w:ascii="宋体" w:hAnsi="宋体" w:eastAsia="宋体" w:cs="宋体"/>
                <w:b/>
                <w:bCs/>
                <w:i w:val="0"/>
                <w:iCs w:val="0"/>
                <w:caps w:val="0"/>
                <w:color w:val="333333"/>
                <w:spacing w:val="0"/>
                <w:sz w:val="24"/>
                <w:szCs w:val="24"/>
                <w:lang w:val="en-US" w:eastAsia="zh-CN"/>
              </w:rPr>
            </w:pPr>
            <w:r>
              <w:rPr>
                <w:rFonts w:hint="eastAsia" w:ascii="宋体" w:hAnsi="宋体" w:cs="宋体"/>
                <w:b/>
                <w:bCs/>
                <w:i w:val="0"/>
                <w:iCs w:val="0"/>
                <w:caps w:val="0"/>
                <w:color w:val="333333"/>
                <w:spacing w:val="0"/>
                <w:sz w:val="24"/>
                <w:szCs w:val="24"/>
                <w:lang w:val="en-US" w:eastAsia="zh-CN"/>
              </w:rPr>
              <w:t>11</w:t>
            </w:r>
            <w:r>
              <w:rPr>
                <w:rFonts w:hint="eastAsia" w:ascii="宋体" w:hAnsi="宋体" w:eastAsia="宋体" w:cs="宋体"/>
                <w:b/>
                <w:bCs/>
                <w:i w:val="0"/>
                <w:iCs w:val="0"/>
                <w:caps w:val="0"/>
                <w:color w:val="333333"/>
                <w:spacing w:val="0"/>
                <w:sz w:val="24"/>
                <w:szCs w:val="24"/>
                <w:lang w:val="en-US" w:eastAsia="zh-CN"/>
              </w:rPr>
              <w:t>.1符合性分析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auto"/>
                <w:spacing w:val="0"/>
                <w:kern w:val="21"/>
                <w:sz w:val="24"/>
                <w:szCs w:val="24"/>
                <w:lang w:val="en-US" w:eastAsia="zh-CN"/>
              </w:rPr>
              <w:t>本项目位于东乡县</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pacing w:val="0"/>
                <w:kern w:val="21"/>
                <w:sz w:val="24"/>
                <w:szCs w:val="24"/>
                <w:lang w:val="en-US" w:eastAsia="zh-CN"/>
                <w14:textFill>
                  <w14:solidFill>
                    <w14:schemeClr w14:val="tx1"/>
                  </w14:solidFill>
                </w14:textFill>
              </w:rPr>
              <w:t xml:space="preserve"> 属于重点管控区。</w:t>
            </w: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p>
          <w:p>
            <w:pPr>
              <w:snapToGrid w:val="0"/>
              <w:spacing w:line="360" w:lineRule="auto"/>
              <w:jc w:val="center"/>
              <w:rPr>
                <w:rFonts w:hint="eastAsia" w:ascii="宋体" w:hAnsi="宋体" w:eastAsia="宋体" w:cs="宋体"/>
                <w:b/>
                <w:bCs/>
                <w:snapToGrid w:val="0"/>
                <w:color w:val="000000" w:themeColor="text1"/>
                <w:kern w:val="0"/>
                <w:sz w:val="24"/>
                <w:szCs w:val="24"/>
                <w14:textFill>
                  <w14:solidFill>
                    <w14:schemeClr w14:val="tx1"/>
                  </w14:solidFill>
                </w14:textFill>
              </w:rPr>
            </w:pPr>
            <w:r>
              <w:rPr>
                <w:rFonts w:hint="eastAsia" w:ascii="宋体" w:hAnsi="宋体" w:eastAsia="宋体" w:cs="宋体"/>
                <w:b/>
                <w:bCs/>
                <w:snapToGrid w:val="0"/>
                <w:color w:val="000000" w:themeColor="text1"/>
                <w:kern w:val="0"/>
                <w:sz w:val="24"/>
                <w:szCs w:val="24"/>
                <w14:textFill>
                  <w14:solidFill>
                    <w14:schemeClr w14:val="tx1"/>
                  </w14:solidFill>
                </w14:textFill>
              </w:rPr>
              <w:t>表</w:t>
            </w:r>
            <w:r>
              <w:rPr>
                <w:rFonts w:hint="eastAsia" w:ascii="宋体" w:hAnsi="宋体" w:eastAsia="宋体" w:cs="宋体"/>
                <w:b/>
                <w:bCs/>
                <w:snapToGrid w:val="0"/>
                <w:color w:val="000000" w:themeColor="text1"/>
                <w:kern w:val="0"/>
                <w:sz w:val="24"/>
                <w:szCs w:val="24"/>
                <w:lang w:val="en-US" w:eastAsia="zh-CN"/>
                <w14:textFill>
                  <w14:solidFill>
                    <w14:schemeClr w14:val="tx1"/>
                  </w14:solidFill>
                </w14:textFill>
              </w:rPr>
              <w:t>1-</w:t>
            </w:r>
            <w:r>
              <w:rPr>
                <w:rFonts w:hint="eastAsia" w:ascii="宋体" w:hAnsi="宋体" w:cs="宋体"/>
                <w:b/>
                <w:bCs/>
                <w:snapToGrid w:val="0"/>
                <w:color w:val="000000" w:themeColor="text1"/>
                <w:kern w:val="0"/>
                <w:sz w:val="24"/>
                <w:szCs w:val="24"/>
                <w:lang w:val="en-US" w:eastAsia="zh-CN"/>
                <w14:textFill>
                  <w14:solidFill>
                    <w14:schemeClr w14:val="tx1"/>
                  </w14:solidFill>
                </w14:textFill>
              </w:rPr>
              <w:t>8</w:t>
            </w:r>
            <w:r>
              <w:rPr>
                <w:rFonts w:hint="eastAsia" w:ascii="宋体" w:hAnsi="宋体" w:eastAsia="宋体" w:cs="宋体"/>
                <w:b/>
                <w:bCs/>
                <w:snapToGrid w:val="0"/>
                <w:color w:val="000000" w:themeColor="text1"/>
                <w:kern w:val="0"/>
                <w:sz w:val="24"/>
                <w:szCs w:val="24"/>
                <w14:textFill>
                  <w14:solidFill>
                    <w14:schemeClr w14:val="tx1"/>
                  </w14:solidFill>
                </w14:textFill>
              </w:rPr>
              <w:t xml:space="preserve">  “三线一单”符合性分析</w:t>
            </w:r>
          </w:p>
          <w:tbl>
            <w:tblPr>
              <w:tblStyle w:val="28"/>
              <w:tblW w:w="789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922"/>
              <w:gridCol w:w="3118"/>
              <w:gridCol w:w="10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91" w:hRule="atLeast"/>
                <w:jc w:val="center"/>
              </w:trPr>
              <w:tc>
                <w:tcPr>
                  <w:tcW w:w="855" w:type="dxa"/>
                  <w:tcBorders>
                    <w:top w:val="single" w:color="auto" w:sz="4" w:space="0"/>
                    <w:left w:val="single" w:color="auto" w:sz="0" w:space="0"/>
                  </w:tcBorders>
                  <w:noWrap w:val="0"/>
                  <w:vAlign w:val="center"/>
                </w:tcPr>
                <w:p>
                  <w:pPr>
                    <w:adjustRightInd w:val="0"/>
                    <w:snapToGrid w:val="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内容</w:t>
                  </w:r>
                </w:p>
              </w:tc>
              <w:tc>
                <w:tcPr>
                  <w:tcW w:w="2922" w:type="dxa"/>
                  <w:tcBorders>
                    <w:top w:val="single" w:color="auto" w:sz="4" w:space="0"/>
                  </w:tcBorders>
                  <w:noWrap w:val="0"/>
                  <w:vAlign w:val="center"/>
                </w:tcPr>
                <w:p>
                  <w:pPr>
                    <w:adjustRightInd w:val="0"/>
                    <w:snapToGrid w:val="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定义</w:t>
                  </w:r>
                </w:p>
              </w:tc>
              <w:tc>
                <w:tcPr>
                  <w:tcW w:w="3118" w:type="dxa"/>
                  <w:tcBorders>
                    <w:top w:val="single" w:color="auto" w:sz="4" w:space="0"/>
                  </w:tcBorders>
                  <w:noWrap w:val="0"/>
                  <w:vAlign w:val="center"/>
                </w:tcPr>
                <w:p>
                  <w:pPr>
                    <w:adjustRightInd w:val="0"/>
                    <w:snapToGrid w:val="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符合性分析</w:t>
                  </w:r>
                </w:p>
              </w:tc>
              <w:tc>
                <w:tcPr>
                  <w:tcW w:w="1003" w:type="dxa"/>
                  <w:tcBorders>
                    <w:top w:val="single" w:color="auto" w:sz="4" w:space="0"/>
                    <w:right w:val="single" w:color="auto" w:sz="4" w:space="0"/>
                  </w:tcBorders>
                  <w:noWrap w:val="0"/>
                  <w:vAlign w:val="center"/>
                </w:tcPr>
                <w:p>
                  <w:pPr>
                    <w:adjustRightInd w:val="0"/>
                    <w:snapToGrid w:val="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5" w:hRule="atLeast"/>
                <w:jc w:val="center"/>
              </w:trPr>
              <w:tc>
                <w:tcPr>
                  <w:tcW w:w="855" w:type="dxa"/>
                  <w:tcBorders>
                    <w:left w:val="single" w:color="auto" w:sz="4" w:space="0"/>
                  </w:tcBorders>
                  <w:noWrap w:val="0"/>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生态保护红线</w:t>
                  </w:r>
                </w:p>
              </w:tc>
              <w:tc>
                <w:tcPr>
                  <w:tcW w:w="2922" w:type="dxa"/>
                  <w:noWrap w:val="0"/>
                  <w:vAlign w:val="center"/>
                </w:tcPr>
                <w:p>
                  <w:pPr>
                    <w:adjustRightInd w:val="0"/>
                    <w:snapToGrid w:val="0"/>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按照“只能增加、不能减少”的基本要求，实施严格管控。</w:t>
                  </w:r>
                </w:p>
              </w:tc>
              <w:tc>
                <w:tcPr>
                  <w:tcW w:w="3118" w:type="dxa"/>
                  <w:noWrap w:val="0"/>
                  <w:vAlign w:val="center"/>
                </w:tcPr>
                <w:p>
                  <w:pPr>
                    <w:adjustRightInd w:val="0"/>
                    <w:snapToGrid w:val="0"/>
                    <w:ind w:firstLine="420" w:firstLineChars="200"/>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甘肃省人民政府关于实施“三线一单”生态环境分区管控的意见》（甘政发〔2020〕68号）、《临夏回族自治州人民政府关于印发临夏回族自治州“三线一单”生态环境分区管控实施方案的通知》（临州府发［2021］33号）、《全国主体功能区规划》及《全国生态功能区划》等文件，</w:t>
                  </w:r>
                  <w:r>
                    <w:rPr>
                      <w:rFonts w:hint="default" w:ascii="Times New Roman" w:hAnsi="Times New Roman" w:eastAsia="宋体" w:cs="Times New Roman"/>
                      <w:color w:val="000000" w:themeColor="text1"/>
                      <w:sz w:val="21"/>
                      <w:szCs w:val="21"/>
                      <w:highlight w:val="none"/>
                      <w14:textFill>
                        <w14:solidFill>
                          <w14:schemeClr w14:val="tx1"/>
                        </w14:solidFill>
                      </w14:textFill>
                    </w:rPr>
                    <w:t>本项目位于甘肃省临夏回族自治州</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,不在生态保护红线范围内</w:t>
                  </w:r>
                </w:p>
              </w:tc>
              <w:tc>
                <w:tcPr>
                  <w:tcW w:w="1003" w:type="dxa"/>
                  <w:tcBorders>
                    <w:right w:val="single" w:color="auto" w:sz="4" w:space="0"/>
                  </w:tcBorders>
                  <w:noWrap w:val="0"/>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289" w:hRule="atLeast"/>
                <w:jc w:val="center"/>
              </w:trPr>
              <w:tc>
                <w:tcPr>
                  <w:tcW w:w="855" w:type="dxa"/>
                  <w:tcBorders>
                    <w:left w:val="single" w:color="auto" w:sz="4" w:space="0"/>
                  </w:tcBorders>
                  <w:noWrap w:val="0"/>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资源利用上线</w:t>
                  </w:r>
                </w:p>
              </w:tc>
              <w:tc>
                <w:tcPr>
                  <w:tcW w:w="2922" w:type="dxa"/>
                  <w:noWrap w:val="0"/>
                  <w:vAlign w:val="center"/>
                </w:tcPr>
                <w:p>
                  <w:pPr>
                    <w:adjustRightInd w:val="0"/>
                    <w:snapToGrid w:val="0"/>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指按照自然资源资产“只能增值、不能乏值”的原则，以保障生态安全和改善环境质量为目的，参考自然资源资产负债表，结合自然资源开发利用效率，提出的分区域分阶段的资源开发利用总量、强度、效率等上线管控要求。</w:t>
                  </w:r>
                </w:p>
              </w:tc>
              <w:tc>
                <w:tcPr>
                  <w:tcW w:w="3118" w:type="dxa"/>
                  <w:noWrap w:val="0"/>
                  <w:vAlign w:val="center"/>
                </w:tcPr>
                <w:p>
                  <w:pPr>
                    <w:adjustRightInd w:val="0"/>
                    <w:snapToGrid w:val="0"/>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本项目营运过程中有一定量电、水资源的消耗，项目资源消耗量相对区域资源利用量较少，符合资源上线利用要求。</w:t>
                  </w:r>
                </w:p>
              </w:tc>
              <w:tc>
                <w:tcPr>
                  <w:tcW w:w="1003" w:type="dxa"/>
                  <w:tcBorders>
                    <w:right w:val="single" w:color="auto" w:sz="4" w:space="0"/>
                  </w:tcBorders>
                  <w:noWrap w:val="0"/>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98" w:hRule="atLeast"/>
                <w:jc w:val="center"/>
              </w:trPr>
              <w:tc>
                <w:tcPr>
                  <w:tcW w:w="855" w:type="dxa"/>
                  <w:tcBorders>
                    <w:left w:val="single" w:color="auto" w:sz="4" w:space="0"/>
                  </w:tcBorders>
                  <w:noWrap w:val="0"/>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环境质量底线</w:t>
                  </w:r>
                </w:p>
              </w:tc>
              <w:tc>
                <w:tcPr>
                  <w:tcW w:w="2922" w:type="dxa"/>
                  <w:noWrap w:val="0"/>
                  <w:vAlign w:val="center"/>
                </w:tcPr>
                <w:p>
                  <w:pPr>
                    <w:adjustRightInd w:val="0"/>
                    <w:snapToGrid w:val="0"/>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指按照水、大气、土壤环境质量“只能更好、不能变坏”的原则，科学评估环境质量改善潜力，衔接环境质量改善要求，确定的分区域分阶段环境质量目标及相应的环境管控和污染物排放总量限值要求。</w:t>
                  </w:r>
                </w:p>
              </w:tc>
              <w:tc>
                <w:tcPr>
                  <w:tcW w:w="3118" w:type="dxa"/>
                  <w:noWrap w:val="0"/>
                  <w:vAlign w:val="center"/>
                </w:tcPr>
                <w:p>
                  <w:pPr>
                    <w:adjustRightInd w:val="0"/>
                    <w:snapToGrid w:val="0"/>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根据环境空气质量模型技术支持服务系统，项目所在区域临夏州20</w:t>
                  </w:r>
                  <w:r>
                    <w:rPr>
                      <w:rFonts w:hint="eastAsia" w:ascii="宋体" w:hAnsi="宋体" w:cs="宋体"/>
                      <w:color w:val="000000" w:themeColor="text1"/>
                      <w:sz w:val="21"/>
                      <w:szCs w:val="21"/>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年数据PM</w:t>
                  </w:r>
                  <w:r>
                    <w:rPr>
                      <w:rFonts w:hint="eastAsia" w:ascii="宋体" w:hAnsi="宋体" w:eastAsia="宋体" w:cs="宋体"/>
                      <w:color w:val="000000" w:themeColor="text1"/>
                      <w:sz w:val="21"/>
                      <w:szCs w:val="21"/>
                      <w:vertAlign w:val="subscript"/>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t>、PM</w:t>
                  </w:r>
                  <w:r>
                    <w:rPr>
                      <w:rFonts w:hint="eastAsia" w:ascii="宋体" w:hAnsi="宋体" w:eastAsia="宋体" w:cs="宋体"/>
                      <w:color w:val="000000" w:themeColor="text1"/>
                      <w:sz w:val="21"/>
                      <w:szCs w:val="21"/>
                      <w:vertAlign w:val="subscript"/>
                      <w14:textFill>
                        <w14:solidFill>
                          <w14:schemeClr w14:val="tx1"/>
                        </w14:solidFill>
                      </w14:textFill>
                    </w:rPr>
                    <w:t>10</w:t>
                  </w:r>
                  <w:r>
                    <w:rPr>
                      <w:rFonts w:hint="eastAsia" w:ascii="宋体" w:hAnsi="宋体" w:eastAsia="宋体" w:cs="宋体"/>
                      <w:color w:val="000000" w:themeColor="text1"/>
                      <w:sz w:val="21"/>
                      <w:szCs w:val="21"/>
                      <w14:textFill>
                        <w14:solidFill>
                          <w14:schemeClr w14:val="tx1"/>
                        </w14:solidFill>
                      </w14:textFill>
                    </w:rPr>
                    <w:t>、NO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、CO、O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浓度值达到《环境空气质量标准》（GB3095-2012）二级标准；地表水环境、声环境现状均满足相应环境功能区标准限值。</w:t>
                  </w:r>
                </w:p>
                <w:p>
                  <w:pPr>
                    <w:adjustRightInd w:val="0"/>
                    <w:snapToGrid w:val="0"/>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本项目的建设虽然会对项目区环境造成一定的影响，但在采取相应的治理措施后影响不大，不会改变区域环境功能类别，不会突破环境质量底线，与环境质量底线相符。</w:t>
                  </w:r>
                </w:p>
              </w:tc>
              <w:tc>
                <w:tcPr>
                  <w:tcW w:w="1003" w:type="dxa"/>
                  <w:tcBorders>
                    <w:right w:val="single" w:color="auto" w:sz="4" w:space="0"/>
                  </w:tcBorders>
                  <w:noWrap w:val="0"/>
                  <w:vAlign w:val="center"/>
                </w:tcPr>
                <w:p>
                  <w:pPr>
                    <w:adjustRightInd w:val="0"/>
                    <w:snapToGrid w:val="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jc w:val="center"/>
              </w:trPr>
              <w:tc>
                <w:tcPr>
                  <w:tcW w:w="855" w:type="dxa"/>
                  <w:tcBorders>
                    <w:left w:val="single" w:color="auto" w:sz="4" w:space="0"/>
                    <w:bottom w:val="single" w:color="auto" w:sz="4" w:space="0"/>
                  </w:tcBorders>
                  <w:noWrap w:val="0"/>
                  <w:vAlign w:val="center"/>
                </w:tcPr>
                <w:p>
                  <w:pPr>
                    <w:adjustRightInd w:val="0"/>
                    <w:snapToGrid w:val="0"/>
                    <w:jc w:val="center"/>
                    <w:rPr>
                      <w:rFonts w:hint="eastAsia" w:ascii="宋体" w:hAnsi="宋体" w:eastAsia="宋体" w:cs="宋体"/>
                      <w:color w:val="000000"/>
                      <w:kern w:val="2"/>
                      <w:sz w:val="21"/>
                      <w:szCs w:val="21"/>
                      <w:lang w:val="en-US" w:eastAsia="zh-CN" w:bidi="ar-SA"/>
                    </w:rPr>
                  </w:pPr>
                  <w:r>
                    <w:rPr>
                      <w:rFonts w:hint="eastAsia" w:ascii="宋体" w:hAnsi="宋体" w:cs="宋体"/>
                      <w:color w:val="000000"/>
                      <w:sz w:val="21"/>
                      <w:szCs w:val="21"/>
                      <w:lang w:eastAsia="zh-CN"/>
                    </w:rPr>
                    <w:t>准入</w:t>
                  </w:r>
                  <w:r>
                    <w:rPr>
                      <w:rFonts w:hint="eastAsia" w:ascii="宋体" w:hAnsi="宋体" w:eastAsia="宋体" w:cs="宋体"/>
                      <w:color w:val="000000"/>
                      <w:sz w:val="21"/>
                      <w:szCs w:val="21"/>
                    </w:rPr>
                    <w:t>清单</w:t>
                  </w:r>
                </w:p>
              </w:tc>
              <w:tc>
                <w:tcPr>
                  <w:tcW w:w="2922" w:type="dxa"/>
                  <w:tcBorders>
                    <w:bottom w:val="single" w:color="auto" w:sz="4" w:space="0"/>
                  </w:tcBorders>
                  <w:noWrap w:val="0"/>
                  <w:vAlign w:val="center"/>
                </w:tcPr>
                <w:p>
                  <w:pPr>
                    <w:adjustRightInd w:val="0"/>
                    <w:snapToGrid w:val="0"/>
                    <w:ind w:firstLine="420" w:firstLineChars="200"/>
                    <w:jc w:val="left"/>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指基于环境管控单元，统筹考虑生态保护红线、环境质量底线、资源利用上线的管控要求，提出的空间布局、污染物排放、资源开发利用等禁止和限制等环境准入情形。</w:t>
                  </w:r>
                </w:p>
              </w:tc>
              <w:tc>
                <w:tcPr>
                  <w:tcW w:w="3118" w:type="dxa"/>
                  <w:tcBorders>
                    <w:bottom w:val="single" w:color="auto" w:sz="4" w:space="0"/>
                  </w:tcBorders>
                  <w:noWrap w:val="0"/>
                  <w:vAlign w:val="center"/>
                </w:tcPr>
                <w:p>
                  <w:pPr>
                    <w:adjustRightInd w:val="0"/>
                    <w:snapToGrid w:val="0"/>
                    <w:ind w:firstLine="420" w:firstLineChars="200"/>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根据《甘肃省国家重点生态功能区产业准入负面清单（试行）》，本项目不在负面清单范围内。</w:t>
                  </w:r>
                </w:p>
              </w:tc>
              <w:tc>
                <w:tcPr>
                  <w:tcW w:w="1003" w:type="dxa"/>
                  <w:tcBorders>
                    <w:bottom w:val="single" w:color="auto" w:sz="4" w:space="0"/>
                    <w:right w:val="single" w:color="auto" w:sz="4" w:space="0"/>
                  </w:tcBorders>
                  <w:noWrap w:val="0"/>
                  <w:vAlign w:val="center"/>
                </w:tcPr>
                <w:p>
                  <w:pPr>
                    <w:adjustRightInd w:val="0"/>
                    <w:snapToGrid w:val="0"/>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符合</w:t>
                  </w:r>
                </w:p>
              </w:tc>
            </w:tr>
          </w:tbl>
          <w:p>
            <w:pPr>
              <w:pStyle w:val="35"/>
              <w:ind w:left="0" w:leftChars="0" w:firstLine="0" w:firstLineChars="0"/>
              <w:rPr>
                <w:rFonts w:hint="eastAsia" w:cs="Times New Roman"/>
                <w:color w:val="000000"/>
                <w:kern w:val="0"/>
                <w:sz w:val="24"/>
                <w:szCs w:val="24"/>
                <w:lang w:val="en-US" w:eastAsia="zh-CN" w:bidi="ar"/>
              </w:rPr>
            </w:pPr>
          </w:p>
        </w:tc>
      </w:tr>
    </w:tbl>
    <w:p>
      <w:pPr>
        <w:pStyle w:val="35"/>
        <w:numPr>
          <w:ilvl w:val="0"/>
          <w:numId w:val="3"/>
        </w:numPr>
        <w:ind w:left="0" w:leftChars="0" w:firstLine="0" w:firstLineChars="0"/>
        <w:rPr>
          <w:rFonts w:hint="default" w:eastAsia="黑体"/>
          <w:sz w:val="30"/>
          <w:highlight w:val="none"/>
          <w:lang w:val="en-US" w:eastAsia="zh-CN"/>
        </w:rPr>
        <w:sectPr>
          <w:footerReference r:id="rId7" w:type="first"/>
          <w:footerReference r:id="rId6" w:type="default"/>
          <w:pgSz w:w="11906" w:h="16838"/>
          <w:pgMar w:top="1701" w:right="1588" w:bottom="1701" w:left="1588" w:header="1134" w:footer="1134" w:gutter="0"/>
          <w:pgBorders>
            <w:top w:val="none" w:sz="0" w:space="0"/>
            <w:left w:val="none" w:sz="0" w:space="0"/>
            <w:bottom w:val="none" w:sz="0" w:space="0"/>
            <w:right w:val="none" w:sz="0" w:space="0"/>
          </w:pgBorders>
          <w:pgNumType w:fmt="numberInDash" w:start="1"/>
          <w:cols w:space="720" w:num="1"/>
          <w:titlePg/>
          <w:docGrid w:linePitch="312" w:charSpace="0"/>
        </w:sectPr>
      </w:pPr>
    </w:p>
    <w:p>
      <w:pPr>
        <w:pStyle w:val="25"/>
        <w:adjustRightInd w:val="0"/>
        <w:snapToGrid w:val="0"/>
        <w:spacing w:before="0" w:beforeAutospacing="0" w:after="0" w:afterAutospacing="0" w:line="360" w:lineRule="auto"/>
        <w:jc w:val="both"/>
        <w:outlineLvl w:val="0"/>
        <w:rPr>
          <w:rFonts w:ascii="Times New Roman" w:hAnsi="Times New Roman" w:eastAsia="黑体"/>
          <w:snapToGrid w:val="0"/>
          <w:sz w:val="30"/>
          <w:szCs w:val="30"/>
        </w:rPr>
      </w:pPr>
      <w:bookmarkStart w:id="6" w:name="_Toc7452"/>
      <w:r>
        <w:rPr>
          <w:rFonts w:hint="eastAsia" w:ascii="Times New Roman" w:hAnsi="Times New Roman" w:eastAsia="黑体"/>
          <w:snapToGrid w:val="0"/>
          <w:sz w:val="30"/>
          <w:szCs w:val="30"/>
          <w:lang w:val="en-US" w:eastAsia="zh-CN"/>
        </w:rPr>
        <w:t>二、</w:t>
      </w:r>
      <w:r>
        <w:rPr>
          <w:rFonts w:ascii="Times New Roman" w:hAnsi="Times New Roman" w:eastAsia="黑体"/>
          <w:snapToGrid w:val="0"/>
          <w:sz w:val="30"/>
          <w:szCs w:val="30"/>
        </w:rPr>
        <w:t>建设内容</w:t>
      </w:r>
      <w:bookmarkEnd w:id="6"/>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20" w:hRule="atLeast"/>
          <w:jc w:val="center"/>
        </w:trPr>
        <w:tc>
          <w:tcPr>
            <w:tcW w:w="238" w:type="pct"/>
            <w:noWrap w:val="0"/>
            <w:vAlign w:val="center"/>
          </w:tcPr>
          <w:p>
            <w:pPr>
              <w:adjustRightInd w:val="0"/>
              <w:snapToGrid w:val="0"/>
              <w:jc w:val="center"/>
              <w:rPr>
                <w:kern w:val="0"/>
                <w:szCs w:val="21"/>
                <w:highlight w:val="yellow"/>
              </w:rPr>
            </w:pPr>
            <w:r>
              <w:rPr>
                <w:kern w:val="0"/>
                <w:szCs w:val="21"/>
              </w:rPr>
              <w:t>地理位置</w:t>
            </w:r>
          </w:p>
        </w:tc>
        <w:tc>
          <w:tcPr>
            <w:tcW w:w="4761" w:type="pct"/>
            <w:noWrap w:val="0"/>
            <w:vAlign w:val="center"/>
          </w:tcPr>
          <w:p>
            <w:pPr>
              <w:spacing w:line="360" w:lineRule="auto"/>
              <w:ind w:firstLine="480"/>
              <w:rPr>
                <w:rFonts w:hint="eastAsia" w:ascii="宋体" w:hAnsi="宋体" w:eastAsia="宋体" w:cs="宋体"/>
                <w:sz w:val="24"/>
                <w:lang w:eastAsia="zh-CN"/>
              </w:rPr>
            </w:pPr>
            <w:r>
              <w:rPr>
                <w:rFonts w:hint="eastAsia" w:ascii="宋体" w:hAnsi="宋体"/>
                <w:sz w:val="24"/>
                <w:lang w:val="en-US" w:eastAsia="zh-CN"/>
              </w:rPr>
              <w:t>本项目位于</w:t>
            </w:r>
            <w:r>
              <w:rPr>
                <w:rFonts w:ascii="宋体" w:hAnsi="宋体" w:cs="宋体"/>
                <w:sz w:val="24"/>
              </w:rPr>
              <w:t>东乡县达板镇舀水村西侧布塄沟沟口右岸支沟内</w:t>
            </w:r>
            <w:r>
              <w:rPr>
                <w:rFonts w:ascii="宋体" w:hAnsi="宋体"/>
                <w:sz w:val="24"/>
              </w:rPr>
              <w:t>，</w:t>
            </w:r>
            <w:r>
              <w:rPr>
                <w:rFonts w:ascii="宋体" w:hAnsi="宋体" w:cs="宋体"/>
                <w:sz w:val="24"/>
              </w:rPr>
              <w:t>矿区地理坐标为：东经：103°</w:t>
            </w:r>
            <w:r>
              <w:rPr>
                <w:rFonts w:hint="eastAsia" w:ascii="宋体" w:hAnsi="宋体" w:cs="宋体"/>
                <w:sz w:val="24"/>
              </w:rPr>
              <w:t>36</w:t>
            </w:r>
            <w:r>
              <w:rPr>
                <w:rFonts w:ascii="宋体" w:hAnsi="宋体" w:cs="宋体"/>
                <w:sz w:val="24"/>
              </w:rPr>
              <w:t>′</w:t>
            </w:r>
            <w:r>
              <w:rPr>
                <w:rFonts w:hint="eastAsia" w:ascii="宋体" w:hAnsi="宋体" w:cs="宋体"/>
                <w:sz w:val="24"/>
              </w:rPr>
              <w:t>26</w:t>
            </w:r>
            <w:r>
              <w:rPr>
                <w:rFonts w:ascii="宋体" w:hAnsi="宋体" w:cs="宋体"/>
                <w:sz w:val="24"/>
              </w:rPr>
              <w:t>″～103°36′</w:t>
            </w:r>
            <w:r>
              <w:rPr>
                <w:rFonts w:hint="eastAsia" w:ascii="宋体" w:hAnsi="宋体" w:cs="宋体"/>
                <w:sz w:val="24"/>
              </w:rPr>
              <w:t>41</w:t>
            </w:r>
            <w:r>
              <w:rPr>
                <w:rFonts w:ascii="宋体" w:hAnsi="宋体" w:cs="宋体"/>
                <w:sz w:val="24"/>
              </w:rPr>
              <w:t>″北纬：35°44′</w:t>
            </w:r>
            <w:r>
              <w:rPr>
                <w:rFonts w:hint="eastAsia" w:ascii="宋体" w:hAnsi="宋体" w:cs="宋体"/>
                <w:sz w:val="24"/>
              </w:rPr>
              <w:t>16</w:t>
            </w:r>
            <w:r>
              <w:rPr>
                <w:rFonts w:ascii="宋体" w:hAnsi="宋体" w:cs="宋体"/>
                <w:sz w:val="24"/>
              </w:rPr>
              <w:t>″～35°44′</w:t>
            </w:r>
            <w:r>
              <w:rPr>
                <w:rFonts w:hint="eastAsia" w:ascii="宋体" w:hAnsi="宋体" w:cs="宋体"/>
                <w:sz w:val="24"/>
              </w:rPr>
              <w:t>36</w:t>
            </w:r>
            <w:r>
              <w:rPr>
                <w:rFonts w:ascii="宋体" w:hAnsi="宋体" w:cs="宋体"/>
                <w:sz w:val="24"/>
              </w:rPr>
              <w:t>″</w:t>
            </w:r>
            <w:r>
              <w:rPr>
                <w:rFonts w:hint="eastAsia" w:ascii="宋体" w:hAnsi="宋体" w:cs="宋体"/>
                <w:sz w:val="24"/>
              </w:rPr>
              <w:t>；</w:t>
            </w:r>
            <w:r>
              <w:rPr>
                <w:rFonts w:ascii="宋体" w:hAnsi="宋体" w:cs="宋体"/>
                <w:sz w:val="24"/>
              </w:rPr>
              <w:t>矿区中心地理坐标为东经：103°</w:t>
            </w:r>
            <w:r>
              <w:rPr>
                <w:rFonts w:hint="eastAsia" w:ascii="宋体" w:hAnsi="宋体" w:cs="宋体"/>
                <w:sz w:val="24"/>
              </w:rPr>
              <w:t>36</w:t>
            </w:r>
            <w:r>
              <w:rPr>
                <w:rFonts w:ascii="宋体" w:hAnsi="宋体" w:cs="宋体"/>
                <w:sz w:val="24"/>
              </w:rPr>
              <w:t>′</w:t>
            </w:r>
            <w:r>
              <w:rPr>
                <w:rFonts w:hint="eastAsia" w:ascii="宋体" w:hAnsi="宋体" w:cs="宋体"/>
                <w:sz w:val="24"/>
              </w:rPr>
              <w:t>34</w:t>
            </w:r>
            <w:r>
              <w:rPr>
                <w:rFonts w:ascii="宋体" w:hAnsi="宋体" w:cs="宋体"/>
                <w:sz w:val="24"/>
              </w:rPr>
              <w:t>″北纬：35°44′</w:t>
            </w:r>
            <w:r>
              <w:rPr>
                <w:rFonts w:hint="eastAsia" w:ascii="宋体" w:hAnsi="宋体" w:cs="宋体"/>
                <w:sz w:val="24"/>
              </w:rPr>
              <w:t>28</w:t>
            </w:r>
            <w:r>
              <w:rPr>
                <w:rFonts w:ascii="宋体" w:hAnsi="宋体" w:cs="宋体"/>
                <w:sz w:val="24"/>
              </w:rPr>
              <w:t>″</w:t>
            </w:r>
            <w:r>
              <w:rPr>
                <w:rFonts w:hint="eastAsia" w:ascii="宋体" w:hAnsi="宋体" w:cs="宋体"/>
                <w:sz w:val="24"/>
                <w:lang w:eastAsia="zh-CN"/>
              </w:rPr>
              <w:t>；</w:t>
            </w:r>
            <w:r>
              <w:rPr>
                <w:rFonts w:hint="eastAsia" w:ascii="宋体" w:hAnsi="宋体" w:cs="宋体"/>
                <w:sz w:val="24"/>
                <w:highlight w:val="none"/>
                <w:lang w:eastAsia="zh-CN"/>
              </w:rPr>
              <w:t>加工区</w:t>
            </w:r>
            <w:r>
              <w:rPr>
                <w:rFonts w:ascii="宋体" w:hAnsi="宋体" w:cs="宋体"/>
                <w:sz w:val="24"/>
                <w:highlight w:val="none"/>
              </w:rPr>
              <w:t>中心地理坐标为东经：103°</w:t>
            </w:r>
            <w:r>
              <w:rPr>
                <w:rFonts w:hint="eastAsia" w:ascii="宋体" w:hAnsi="宋体" w:cs="宋体"/>
                <w:sz w:val="24"/>
                <w:highlight w:val="none"/>
              </w:rPr>
              <w:t>36</w:t>
            </w:r>
            <w:r>
              <w:rPr>
                <w:rFonts w:ascii="宋体" w:hAnsi="宋体" w:cs="宋体"/>
                <w:sz w:val="24"/>
                <w:highlight w:val="none"/>
              </w:rPr>
              <w:t>′</w:t>
            </w:r>
            <w:r>
              <w:rPr>
                <w:rFonts w:hint="eastAsia" w:ascii="宋体" w:hAnsi="宋体" w:cs="宋体"/>
                <w:sz w:val="24"/>
                <w:highlight w:val="none"/>
                <w:lang w:val="en-US" w:eastAsia="zh-CN"/>
              </w:rPr>
              <w:t>11.997</w:t>
            </w:r>
            <w:r>
              <w:rPr>
                <w:rFonts w:ascii="宋体" w:hAnsi="宋体" w:cs="宋体"/>
                <w:sz w:val="24"/>
                <w:highlight w:val="none"/>
              </w:rPr>
              <w:t>″北纬：35°44′</w:t>
            </w:r>
            <w:r>
              <w:rPr>
                <w:rFonts w:hint="eastAsia" w:ascii="宋体" w:hAnsi="宋体" w:cs="宋体"/>
                <w:sz w:val="24"/>
                <w:highlight w:val="none"/>
              </w:rPr>
              <w:t>2</w:t>
            </w:r>
            <w:r>
              <w:rPr>
                <w:rFonts w:hint="eastAsia" w:ascii="宋体" w:hAnsi="宋体" w:cs="宋体"/>
                <w:sz w:val="24"/>
                <w:highlight w:val="none"/>
                <w:lang w:val="en-US" w:eastAsia="zh-CN"/>
              </w:rPr>
              <w:t>6.738</w:t>
            </w:r>
            <w:r>
              <w:rPr>
                <w:rFonts w:ascii="宋体" w:hAnsi="宋体" w:cs="宋体"/>
                <w:sz w:val="24"/>
                <w:highlight w:val="none"/>
              </w:rPr>
              <w:t>″</w:t>
            </w:r>
            <w:r>
              <w:rPr>
                <w:rFonts w:hint="eastAsia" w:ascii="宋体" w:hAnsi="宋体" w:cs="宋体"/>
                <w:sz w:val="24"/>
                <w:highlight w:val="none"/>
              </w:rPr>
              <w:t>。</w:t>
            </w:r>
          </w:p>
          <w:p>
            <w:pPr>
              <w:adjustRightInd w:val="0"/>
              <w:snapToGrid w:val="0"/>
              <w:spacing w:line="360" w:lineRule="auto"/>
              <w:ind w:firstLine="480" w:firstLineChars="200"/>
              <w:rPr>
                <w:rFonts w:hint="default" w:eastAsia="宋体"/>
                <w:sz w:val="24"/>
                <w:highlight w:val="yellow"/>
                <w:lang w:val="en-US" w:eastAsia="zh-CN"/>
              </w:rPr>
            </w:pPr>
            <w:r>
              <w:rPr>
                <w:rFonts w:ascii="宋体" w:hAnsi="宋体"/>
                <w:sz w:val="24"/>
              </w:rPr>
              <w:t>项目</w:t>
            </w:r>
            <w:r>
              <w:rPr>
                <w:rFonts w:hint="eastAsia" w:ascii="宋体" w:hAnsi="宋体"/>
                <w:sz w:val="24"/>
                <w:lang w:val="en-US" w:eastAsia="zh-CN"/>
              </w:rPr>
              <w:t>地理位置</w:t>
            </w:r>
            <w:r>
              <w:rPr>
                <w:rFonts w:ascii="宋体" w:hAnsi="宋体"/>
                <w:sz w:val="24"/>
              </w:rPr>
              <w:t>图见图</w:t>
            </w:r>
            <w:r>
              <w:rPr>
                <w:rFonts w:hint="eastAsia"/>
                <w:sz w:val="24"/>
                <w:lang w:val="en-US" w:eastAsia="zh-CN"/>
              </w:rPr>
              <w:t>2</w:t>
            </w:r>
            <w:r>
              <w:rPr>
                <w:sz w:val="24"/>
              </w:rPr>
              <w:t>-</w:t>
            </w:r>
            <w:r>
              <w:rPr>
                <w:rFonts w:hint="eastAsia"/>
                <w:sz w:val="24"/>
              </w:rPr>
              <w:t>1</w:t>
            </w:r>
            <w:r>
              <w:rPr>
                <w:rFonts w:ascii="宋体" w:hAnsi="宋体"/>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238" w:type="pct"/>
            <w:noWrap w:val="0"/>
            <w:vAlign w:val="center"/>
          </w:tcPr>
          <w:p>
            <w:pPr>
              <w:adjustRightInd w:val="0"/>
              <w:snapToGrid w:val="0"/>
              <w:jc w:val="center"/>
              <w:rPr>
                <w:kern w:val="0"/>
                <w:szCs w:val="21"/>
              </w:rPr>
            </w:pPr>
            <w:r>
              <w:rPr>
                <w:kern w:val="0"/>
                <w:szCs w:val="21"/>
              </w:rPr>
              <w:t>项目组成及规模</w:t>
            </w:r>
          </w:p>
        </w:tc>
        <w:tc>
          <w:tcPr>
            <w:tcW w:w="4761" w:type="pct"/>
            <w:noWrap w:val="0"/>
            <w:vAlign w:val="center"/>
          </w:tcPr>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200"/>
              <w:textAlignment w:val="auto"/>
              <w:rPr>
                <w:rFonts w:hint="eastAsia" w:cs="Times New Roman"/>
                <w:b/>
                <w:snapToGrid w:val="0"/>
                <w:color w:val="000000"/>
                <w:kern w:val="0"/>
                <w:sz w:val="24"/>
                <w:szCs w:val="24"/>
                <w:lang w:val="en-US" w:eastAsia="zh-CN"/>
              </w:rPr>
            </w:pPr>
            <w:r>
              <w:rPr>
                <w:rFonts w:hint="eastAsia" w:cs="Times New Roman"/>
                <w:b/>
                <w:snapToGrid w:val="0"/>
                <w:color w:val="000000"/>
                <w:kern w:val="0"/>
                <w:sz w:val="24"/>
                <w:szCs w:val="24"/>
                <w:lang w:val="en-US" w:eastAsia="zh-CN"/>
              </w:rPr>
              <w:t>1</w:t>
            </w:r>
            <w:r>
              <w:rPr>
                <w:rFonts w:hint="eastAsia" w:ascii="Times New Roman" w:hAnsi="Times New Roman" w:eastAsia="宋体" w:cs="Times New Roman"/>
                <w:b/>
                <w:snapToGrid w:val="0"/>
                <w:color w:val="000000"/>
                <w:kern w:val="0"/>
                <w:sz w:val="24"/>
                <w:szCs w:val="24"/>
                <w:lang w:val="en-US" w:eastAsia="zh-CN"/>
              </w:rPr>
              <w:t>.</w:t>
            </w:r>
            <w:r>
              <w:rPr>
                <w:rFonts w:hint="eastAsia" w:cs="Times New Roman"/>
                <w:b/>
                <w:snapToGrid w:val="0"/>
                <w:color w:val="000000"/>
                <w:kern w:val="0"/>
                <w:sz w:val="24"/>
                <w:szCs w:val="24"/>
                <w:lang w:val="en-US" w:eastAsia="zh-CN"/>
              </w:rPr>
              <w:t>项目背景</w:t>
            </w:r>
          </w:p>
          <w:p>
            <w:pPr>
              <w:pStyle w:val="2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84" w:lineRule="auto"/>
              <w:ind w:right="0" w:firstLine="480" w:firstLineChars="200"/>
              <w:jc w:val="left"/>
              <w:textAlignment w:val="auto"/>
              <w:rPr>
                <w:rFonts w:hint="eastAsia" w:ascii="宋体" w:hAnsi="宋体"/>
                <w:b/>
                <w:sz w:val="24"/>
                <w:lang w:val="en-US" w:eastAsia="zh-CN"/>
              </w:rPr>
            </w:pPr>
            <w:r>
              <w:rPr>
                <w:rFonts w:hint="eastAsia" w:ascii="Times New Roman" w:hAnsi="Times New Roman" w:eastAsia="宋体" w:cs="Times New Roman"/>
                <w:b w:val="0"/>
                <w:bCs w:val="0"/>
                <w:sz w:val="24"/>
                <w:lang w:val="en-US" w:eastAsia="zh-CN"/>
              </w:rPr>
              <w:t>根据建设项目分类管理名录（2021年版）属于</w:t>
            </w:r>
            <w:r>
              <w:rPr>
                <w:rFonts w:hint="eastAsia" w:ascii="Times New Roman" w:hAnsi="Times New Roman" w:eastAsia="宋体" w:cs="Times New Roman"/>
                <w:b w:val="0"/>
                <w:bCs w:val="0"/>
                <w:sz w:val="24"/>
                <w:lang w:eastAsia="zh-CN"/>
              </w:rPr>
              <w:t>“</w:t>
            </w:r>
            <w:r>
              <w:rPr>
                <w:rFonts w:hint="eastAsia" w:ascii="Times New Roman" w:hAnsi="Times New Roman" w:cs="Times New Roman"/>
                <w:b w:val="0"/>
                <w:bCs w:val="0"/>
                <w:sz w:val="24"/>
                <w:lang w:eastAsia="zh-CN"/>
              </w:rPr>
              <w:t>八</w:t>
            </w:r>
            <w:r>
              <w:rPr>
                <w:rFonts w:hint="eastAsia" w:ascii="Times New Roman" w:hAnsi="Times New Roman" w:eastAsia="宋体" w:cs="Times New Roman"/>
                <w:b w:val="0"/>
                <w:bCs w:val="0"/>
                <w:sz w:val="24"/>
                <w:lang w:eastAsia="zh-CN"/>
              </w:rPr>
              <w:t>、</w:t>
            </w:r>
            <w:r>
              <w:rPr>
                <w:rFonts w:hint="eastAsia" w:ascii="Times New Roman" w:hAnsi="Times New Roman" w:cs="Times New Roman"/>
                <w:b w:val="0"/>
                <w:bCs w:val="0"/>
                <w:sz w:val="24"/>
                <w:lang w:val="en-US" w:eastAsia="zh-CN"/>
              </w:rPr>
              <w:t>非金属矿采选业</w:t>
            </w:r>
            <w:r>
              <w:rPr>
                <w:rFonts w:hint="eastAsia" w:ascii="Times New Roman" w:hAnsi="Times New Roman" w:eastAsia="宋体" w:cs="Times New Roman"/>
                <w:b w:val="0"/>
                <w:bCs w:val="0"/>
                <w:sz w:val="24"/>
                <w:lang w:eastAsia="zh-CN"/>
              </w:rPr>
              <w:t>：</w:t>
            </w:r>
            <w:r>
              <w:rPr>
                <w:rFonts w:hint="eastAsia" w:ascii="Times New Roman" w:hAnsi="Times New Roman" w:cs="Times New Roman"/>
                <w:b w:val="0"/>
                <w:bCs w:val="0"/>
                <w:sz w:val="24"/>
                <w:lang w:val="en-US" w:eastAsia="zh-CN"/>
              </w:rPr>
              <w:t>11</w:t>
            </w:r>
            <w:r>
              <w:rPr>
                <w:rFonts w:hint="default" w:ascii="Times New Roman" w:hAnsi="Times New Roman" w:eastAsia="宋体" w:cs="Times New Roman"/>
                <w:b w:val="0"/>
                <w:bCs w:val="0"/>
                <w:sz w:val="24"/>
                <w:lang w:eastAsia="zh-CN"/>
              </w:rPr>
              <w:t>、</w:t>
            </w:r>
            <w:r>
              <w:rPr>
                <w:rFonts w:hint="eastAsia" w:ascii="Times New Roman" w:hAnsi="Times New Roman" w:cs="Times New Roman"/>
                <w:b w:val="0"/>
                <w:bCs w:val="0"/>
                <w:sz w:val="24"/>
                <w:lang w:eastAsia="zh-CN"/>
              </w:rPr>
              <w:t>土砂石开采</w:t>
            </w:r>
            <w:r>
              <w:rPr>
                <w:rFonts w:hint="eastAsia" w:ascii="Times New Roman" w:hAnsi="Times New Roman" w:cs="Times New Roman"/>
                <w:b w:val="0"/>
                <w:bCs w:val="0"/>
                <w:sz w:val="24"/>
                <w:lang w:val="en-US" w:eastAsia="zh-CN"/>
              </w:rPr>
              <w:t>101（不含河道采砂项目）</w:t>
            </w:r>
            <w:r>
              <w:rPr>
                <w:rFonts w:hint="default" w:ascii="Times New Roman" w:hAnsi="Times New Roman" w:eastAsia="宋体" w:cs="Times New Roman"/>
                <w:b w:val="0"/>
                <w:bCs w:val="0"/>
                <w:sz w:val="24"/>
                <w:lang w:eastAsia="zh-CN"/>
              </w:rPr>
              <w:t>”</w:t>
            </w:r>
            <w:r>
              <w:rPr>
                <w:rFonts w:hint="eastAsia" w:ascii="Times New Roman" w:hAnsi="Times New Roman" w:eastAsia="宋体" w:cs="Times New Roman"/>
                <w:b w:val="0"/>
                <w:bCs w:val="0"/>
                <w:sz w:val="24"/>
                <w:lang w:eastAsia="zh-CN"/>
              </w:rPr>
              <w:t>涉及环境敏感区的</w:t>
            </w:r>
            <w:r>
              <w:rPr>
                <w:rFonts w:hint="eastAsia" w:ascii="Times New Roman" w:hAnsi="Times New Roman" w:cs="Times New Roman"/>
                <w:b w:val="0"/>
                <w:bCs w:val="0"/>
                <w:sz w:val="24"/>
                <w:lang w:eastAsia="zh-CN"/>
              </w:rPr>
              <w:t>编制</w:t>
            </w:r>
            <w:r>
              <w:rPr>
                <w:rFonts w:hint="eastAsia" w:ascii="Times New Roman" w:hAnsi="Times New Roman" w:eastAsia="宋体" w:cs="Times New Roman"/>
                <w:b w:val="0"/>
                <w:bCs w:val="0"/>
                <w:sz w:val="24"/>
                <w:lang w:eastAsia="zh-CN"/>
              </w:rPr>
              <w:t>报告</w:t>
            </w:r>
            <w:r>
              <w:rPr>
                <w:rFonts w:hint="eastAsia" w:ascii="Times New Roman" w:hAnsi="Times New Roman" w:cs="Times New Roman"/>
                <w:b w:val="0"/>
                <w:bCs w:val="0"/>
                <w:sz w:val="24"/>
                <w:lang w:eastAsia="zh-CN"/>
              </w:rPr>
              <w:t>书，其他编制报告表</w:t>
            </w:r>
            <w:r>
              <w:rPr>
                <w:rFonts w:hint="eastAsia" w:asciiTheme="minorEastAsia" w:hAnsiTheme="minorEastAsia" w:eastAsiaTheme="minorEastAsia" w:cstheme="minorEastAsia"/>
                <w:b w:val="0"/>
                <w:bCs w:val="0"/>
                <w:i w:val="0"/>
                <w:iCs w:val="0"/>
                <w:color w:val="FF0000"/>
                <w:kern w:val="0"/>
                <w:sz w:val="24"/>
                <w:szCs w:val="24"/>
                <w:highlight w:val="none"/>
                <w:u w:val="none"/>
                <w:lang w:val="en-US" w:eastAsia="zh-CN" w:bidi="ar"/>
              </w:rPr>
              <w:t>，本项目不涉及国家公园、自然保护区、风景名胜区、世界文化和自然遗产地、海洋特别保护区、饮用水水源保护区；不在除(一)外的生态保护红线管控范围之内；也不涉及基本草原、重要水生生物的自然产卵场、索饵场、越冬场和洄游通道，沙化土地封禁保护区；所以本项目编制报告表。</w:t>
            </w:r>
          </w:p>
          <w:p>
            <w:pPr>
              <w:adjustRightInd w:val="0"/>
              <w:snapToGrid w:val="0"/>
              <w:spacing w:line="360" w:lineRule="auto"/>
              <w:ind w:firstLine="482" w:firstLineChars="200"/>
              <w:rPr>
                <w:b/>
                <w:sz w:val="24"/>
              </w:rPr>
            </w:pPr>
            <w:r>
              <w:rPr>
                <w:rFonts w:hint="eastAsia" w:ascii="宋体" w:hAnsi="宋体"/>
                <w:b/>
                <w:sz w:val="24"/>
                <w:lang w:val="en-US" w:eastAsia="zh-CN"/>
              </w:rPr>
              <w:t>2.</w:t>
            </w:r>
            <w:r>
              <w:rPr>
                <w:rFonts w:ascii="宋体" w:hAnsi="宋体"/>
                <w:b/>
                <w:sz w:val="24"/>
              </w:rPr>
              <w:t>建设内容</w:t>
            </w:r>
          </w:p>
          <w:p>
            <w:pPr>
              <w:adjustRightInd w:val="0"/>
              <w:snapToGrid w:val="0"/>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根据甘肃省东乡族自治县建筑用砂石料采矿权成交确认书，矿区面积：0.0877平方千米，开采标高：2025m-1850m，出让资源量400万立方米，生产规模：80万立方米/年，组成内容见表2-1。</w:t>
            </w:r>
          </w:p>
          <w:p>
            <w:pPr>
              <w:adjustRightInd w:val="0"/>
              <w:snapToGrid w:val="0"/>
              <w:spacing w:line="360" w:lineRule="auto"/>
              <w:ind w:firstLine="482" w:firstLineChars="200"/>
              <w:rPr>
                <w:rFonts w:hint="eastAsia" w:ascii="宋体" w:hAnsi="宋体"/>
                <w:b/>
                <w:sz w:val="24"/>
              </w:rPr>
            </w:pPr>
            <w:r>
              <w:rPr>
                <w:rFonts w:ascii="宋体" w:hAnsi="宋体"/>
                <w:b/>
                <w:sz w:val="24"/>
              </w:rPr>
              <w:t>表</w:t>
            </w:r>
            <w:r>
              <w:rPr>
                <w:rFonts w:hint="eastAsia"/>
                <w:b/>
                <w:sz w:val="24"/>
                <w:lang w:val="en-US" w:eastAsia="zh-CN"/>
              </w:rPr>
              <w:t>2-1</w:t>
            </w:r>
            <w:r>
              <w:rPr>
                <w:b/>
                <w:sz w:val="24"/>
              </w:rPr>
              <w:t xml:space="preserve">  </w:t>
            </w:r>
            <w:r>
              <w:rPr>
                <w:rFonts w:hint="eastAsia"/>
                <w:b/>
                <w:sz w:val="24"/>
              </w:rPr>
              <w:t xml:space="preserve">                </w:t>
            </w:r>
            <w:r>
              <w:rPr>
                <w:rFonts w:ascii="宋体" w:hAnsi="宋体"/>
                <w:b/>
                <w:sz w:val="24"/>
              </w:rPr>
              <w:t>项目组成一览表</w:t>
            </w:r>
          </w:p>
          <w:tbl>
            <w:tblPr>
              <w:tblStyle w:val="28"/>
              <w:tblW w:w="498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3"/>
              <w:gridCol w:w="1234"/>
              <w:gridCol w:w="5860"/>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noWrap w:val="0"/>
                  <w:vAlign w:val="center"/>
                </w:tcPr>
                <w:p>
                  <w:pPr>
                    <w:jc w:val="center"/>
                  </w:pPr>
                  <w:r>
                    <w:t>工程</w:t>
                  </w:r>
                </w:p>
                <w:p>
                  <w:pPr>
                    <w:jc w:val="center"/>
                  </w:pPr>
                  <w:r>
                    <w:t>类别</w:t>
                  </w:r>
                </w:p>
              </w:tc>
              <w:tc>
                <w:tcPr>
                  <w:tcW w:w="745" w:type="pct"/>
                  <w:noWrap w:val="0"/>
                  <w:vAlign w:val="center"/>
                </w:tcPr>
                <w:p>
                  <w:pPr>
                    <w:jc w:val="center"/>
                  </w:pPr>
                  <w:r>
                    <w:t>单项工程名称</w:t>
                  </w:r>
                </w:p>
              </w:tc>
              <w:tc>
                <w:tcPr>
                  <w:tcW w:w="3539" w:type="pct"/>
                  <w:noWrap w:val="0"/>
                  <w:vAlign w:val="center"/>
                </w:tcPr>
                <w:p>
                  <w:pPr>
                    <w:jc w:val="center"/>
                  </w:pPr>
                  <w:r>
                    <w:t>工程内容</w:t>
                  </w:r>
                </w:p>
              </w:tc>
              <w:tc>
                <w:tcPr>
                  <w:tcW w:w="356" w:type="pct"/>
                  <w:noWrap w:val="0"/>
                  <w:vAlign w:val="center"/>
                </w:tcPr>
                <w:p>
                  <w:pPr>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58" w:type="pct"/>
                  <w:vMerge w:val="restart"/>
                  <w:noWrap w:val="0"/>
                  <w:vAlign w:val="center"/>
                </w:tcPr>
                <w:p>
                  <w:pPr>
                    <w:jc w:val="center"/>
                  </w:pPr>
                </w:p>
                <w:p>
                  <w:pPr>
                    <w:jc w:val="center"/>
                  </w:pPr>
                  <w:r>
                    <w:t>主体工程</w:t>
                  </w:r>
                </w:p>
              </w:tc>
              <w:tc>
                <w:tcPr>
                  <w:tcW w:w="745" w:type="pct"/>
                  <w:noWrap w:val="0"/>
                  <w:vAlign w:val="center"/>
                </w:tcPr>
                <w:p>
                  <w:pPr>
                    <w:jc w:val="center"/>
                  </w:pPr>
                </w:p>
                <w:p>
                  <w:pPr>
                    <w:jc w:val="center"/>
                  </w:pPr>
                  <w:r>
                    <w:t>开采工程</w:t>
                  </w:r>
                </w:p>
              </w:tc>
              <w:tc>
                <w:tcPr>
                  <w:tcW w:w="3539" w:type="pct"/>
                  <w:noWrap w:val="0"/>
                  <w:vAlign w:val="center"/>
                </w:tcPr>
                <w:p>
                  <w:pPr>
                    <w:jc w:val="left"/>
                    <w:rPr>
                      <w:rFonts w:hint="eastAsia" w:eastAsia="宋体"/>
                      <w:color w:val="000000"/>
                      <w:lang w:val="en-US" w:eastAsia="zh-CN"/>
                    </w:rPr>
                  </w:pPr>
                  <w:r>
                    <w:rPr>
                      <w:color w:val="000000"/>
                      <w:sz w:val="21"/>
                      <w:szCs w:val="21"/>
                    </w:rPr>
                    <w:t>采矿区总面积为</w:t>
                  </w:r>
                  <w:r>
                    <w:rPr>
                      <w:rFonts w:hint="default" w:ascii="Times New Roman" w:hAnsi="Times New Roman" w:cs="Times New Roman"/>
                      <w:sz w:val="21"/>
                      <w:szCs w:val="21"/>
                      <w:lang w:val="en-US" w:eastAsia="zh-CN"/>
                    </w:rPr>
                    <w:t>0.0877</w:t>
                  </w:r>
                  <w:r>
                    <w:rPr>
                      <w:color w:val="000000"/>
                      <w:sz w:val="21"/>
                      <w:szCs w:val="21"/>
                    </w:rPr>
                    <w:t>km</w:t>
                  </w:r>
                  <w:r>
                    <w:rPr>
                      <w:color w:val="000000"/>
                      <w:sz w:val="21"/>
                      <w:szCs w:val="21"/>
                      <w:vertAlign w:val="superscript"/>
                    </w:rPr>
                    <w:t>2</w:t>
                  </w:r>
                  <w:r>
                    <w:rPr>
                      <w:color w:val="000000"/>
                      <w:sz w:val="21"/>
                      <w:szCs w:val="21"/>
                    </w:rPr>
                    <w:t>，设计开采量</w:t>
                  </w:r>
                  <w:r>
                    <w:rPr>
                      <w:rFonts w:hint="eastAsia"/>
                      <w:color w:val="000000"/>
                      <w:sz w:val="21"/>
                      <w:szCs w:val="21"/>
                      <w:lang w:val="en-US" w:eastAsia="zh-CN"/>
                    </w:rPr>
                    <w:t>80</w:t>
                  </w:r>
                  <w:r>
                    <w:rPr>
                      <w:color w:val="000000"/>
                      <w:sz w:val="21"/>
                      <w:szCs w:val="21"/>
                    </w:rPr>
                    <w:t>万m</w:t>
                  </w:r>
                  <w:r>
                    <w:rPr>
                      <w:color w:val="000000"/>
                      <w:sz w:val="21"/>
                      <w:szCs w:val="21"/>
                      <w:vertAlign w:val="superscript"/>
                    </w:rPr>
                    <w:t>3</w:t>
                  </w:r>
                  <w:r>
                    <w:rPr>
                      <w:color w:val="000000"/>
                      <w:sz w:val="21"/>
                      <w:szCs w:val="21"/>
                    </w:rPr>
                    <w:t>/a，利用露天开采方式，采用公路开拓汽车运输方案，开采标高</w:t>
                  </w:r>
                  <w:r>
                    <w:rPr>
                      <w:rFonts w:hint="default" w:ascii="Times New Roman" w:hAnsi="Times New Roman" w:cs="Times New Roman"/>
                      <w:sz w:val="21"/>
                      <w:szCs w:val="21"/>
                      <w:lang w:val="en-US" w:eastAsia="zh-CN"/>
                    </w:rPr>
                    <w:t>2025m-1850m</w:t>
                  </w:r>
                  <w:r>
                    <w:rPr>
                      <w:color w:val="000000"/>
                      <w:sz w:val="21"/>
                      <w:szCs w:val="21"/>
                    </w:rPr>
                    <w:t>，自上而下分台阶采挖，</w:t>
                  </w:r>
                  <w:r>
                    <w:rPr>
                      <w:rFonts w:hint="eastAsia"/>
                      <w:color w:val="000000"/>
                      <w:sz w:val="21"/>
                      <w:szCs w:val="21"/>
                      <w:lang w:eastAsia="zh-CN"/>
                    </w:rPr>
                    <w:t>出让</w:t>
                  </w:r>
                  <w:r>
                    <w:rPr>
                      <w:color w:val="000000"/>
                      <w:sz w:val="21"/>
                      <w:szCs w:val="21"/>
                    </w:rPr>
                    <w:t>年限为</w:t>
                  </w:r>
                  <w:r>
                    <w:rPr>
                      <w:rFonts w:hint="eastAsia"/>
                      <w:color w:val="000000"/>
                      <w:sz w:val="21"/>
                      <w:szCs w:val="21"/>
                      <w:lang w:val="en-US" w:eastAsia="zh-CN"/>
                    </w:rPr>
                    <w:t>5</w:t>
                  </w:r>
                  <w:r>
                    <w:rPr>
                      <w:color w:val="000000"/>
                      <w:sz w:val="21"/>
                      <w:szCs w:val="21"/>
                    </w:rPr>
                    <w:t>年</w:t>
                  </w:r>
                </w:p>
              </w:tc>
              <w:tc>
                <w:tcPr>
                  <w:tcW w:w="356" w:type="pct"/>
                  <w:noWrap w:val="0"/>
                  <w:vAlign w:val="center"/>
                </w:tcPr>
                <w:p>
                  <w:pPr>
                    <w:jc w:val="center"/>
                    <w:rPr>
                      <w:rFonts w:hint="default" w:eastAsia="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pPr>
                </w:p>
              </w:tc>
              <w:tc>
                <w:tcPr>
                  <w:tcW w:w="745" w:type="pct"/>
                  <w:noWrap w:val="0"/>
                  <w:vAlign w:val="center"/>
                </w:tcPr>
                <w:p>
                  <w:pPr>
                    <w:jc w:val="center"/>
                  </w:pPr>
                  <w:r>
                    <w:t>生产加工区</w:t>
                  </w:r>
                </w:p>
              </w:tc>
              <w:tc>
                <w:tcPr>
                  <w:tcW w:w="3539" w:type="pct"/>
                  <w:noWrap w:val="0"/>
                  <w:vAlign w:val="center"/>
                </w:tcPr>
                <w:p>
                  <w:pPr>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矿区</w:t>
                  </w:r>
                  <w:r>
                    <w:rPr>
                      <w:rFonts w:hint="eastAsia"/>
                      <w:color w:val="000000" w:themeColor="text1"/>
                      <w:highlight w:val="none"/>
                      <w:lang w:eastAsia="zh-CN"/>
                      <w14:textFill>
                        <w14:solidFill>
                          <w14:schemeClr w14:val="tx1"/>
                        </w14:solidFill>
                      </w14:textFill>
                    </w:rPr>
                    <w:t>外</w:t>
                  </w:r>
                  <w:r>
                    <w:rPr>
                      <w:color w:val="000000" w:themeColor="text1"/>
                      <w:highlight w:val="none"/>
                      <w14:textFill>
                        <w14:solidFill>
                          <w14:schemeClr w14:val="tx1"/>
                        </w14:solidFill>
                      </w14:textFill>
                    </w:rPr>
                    <w:t>设有 1 处砂石加工场地，位于</w:t>
                  </w:r>
                  <w:r>
                    <w:rPr>
                      <w:rFonts w:hint="eastAsia"/>
                      <w:color w:val="000000" w:themeColor="text1"/>
                      <w:highlight w:val="none"/>
                      <w14:textFill>
                        <w14:solidFill>
                          <w14:schemeClr w14:val="tx1"/>
                        </w14:solidFill>
                      </w14:textFill>
                    </w:rPr>
                    <w:t>矿区内</w:t>
                  </w:r>
                  <w:r>
                    <w:rPr>
                      <w:rFonts w:hint="eastAsia"/>
                      <w:color w:val="000000" w:themeColor="text1"/>
                      <w:highlight w:val="none"/>
                      <w:lang w:val="en-US" w:eastAsia="zh-CN"/>
                      <w14:textFill>
                        <w14:solidFill>
                          <w14:schemeClr w14:val="tx1"/>
                        </w14:solidFill>
                      </w14:textFill>
                    </w:rPr>
                    <w:t>西</w:t>
                  </w:r>
                  <w:r>
                    <w:rPr>
                      <w:rFonts w:hint="eastAsia"/>
                      <w:color w:val="000000" w:themeColor="text1"/>
                      <w:highlight w:val="none"/>
                      <w14:textFill>
                        <w14:solidFill>
                          <w14:schemeClr w14:val="tx1"/>
                        </w14:solidFill>
                      </w14:textFill>
                    </w:rPr>
                    <w:t>侧地势平缓处</w:t>
                  </w:r>
                  <w:r>
                    <w:rPr>
                      <w:color w:val="000000" w:themeColor="text1"/>
                      <w:highlight w:val="none"/>
                      <w14:textFill>
                        <w14:solidFill>
                          <w14:schemeClr w14:val="tx1"/>
                        </w14:solidFill>
                      </w14:textFill>
                    </w:rPr>
                    <w:t>，开采后的砂石运输至加工场地，</w:t>
                  </w:r>
                  <w:r>
                    <w:rPr>
                      <w:rFonts w:hAnsi="宋体"/>
                      <w:snapToGrid w:val="0"/>
                      <w:color w:val="000000" w:themeColor="text1"/>
                      <w:szCs w:val="21"/>
                      <w:highlight w:val="none"/>
                      <w14:textFill>
                        <w14:solidFill>
                          <w14:schemeClr w14:val="tx1"/>
                        </w14:solidFill>
                      </w14:textFill>
                    </w:rPr>
                    <w:t>对砂石料进行</w:t>
                  </w:r>
                  <w:r>
                    <w:rPr>
                      <w:rFonts w:hint="eastAsia" w:hAnsi="宋体"/>
                      <w:snapToGrid w:val="0"/>
                      <w:color w:val="000000" w:themeColor="text1"/>
                      <w:szCs w:val="21"/>
                      <w:highlight w:val="none"/>
                      <w14:textFill>
                        <w14:solidFill>
                          <w14:schemeClr w14:val="tx1"/>
                        </w14:solidFill>
                      </w14:textFill>
                    </w:rPr>
                    <w:t>破碎、</w:t>
                  </w:r>
                  <w:r>
                    <w:rPr>
                      <w:rFonts w:hAnsi="宋体"/>
                      <w:snapToGrid w:val="0"/>
                      <w:color w:val="000000" w:themeColor="text1"/>
                      <w:szCs w:val="21"/>
                      <w:highlight w:val="none"/>
                      <w14:textFill>
                        <w14:solidFill>
                          <w14:schemeClr w14:val="tx1"/>
                        </w14:solidFill>
                      </w14:textFill>
                    </w:rPr>
                    <w:t>筛分</w:t>
                  </w:r>
                  <w:r>
                    <w:rPr>
                      <w:rFonts w:hint="eastAsia" w:hAnsi="宋体"/>
                      <w:snapToGrid w:val="0"/>
                      <w:color w:val="000000" w:themeColor="text1"/>
                      <w:szCs w:val="21"/>
                      <w:highlight w:val="none"/>
                      <w14:textFill>
                        <w14:solidFill>
                          <w14:schemeClr w14:val="tx1"/>
                        </w14:solidFill>
                      </w14:textFill>
                    </w:rPr>
                    <w:t>、洗砂、堆放</w:t>
                  </w:r>
                  <w:r>
                    <w:rPr>
                      <w:color w:val="000000" w:themeColor="text1"/>
                      <w:highlight w:val="none"/>
                      <w14:textFill>
                        <w14:solidFill>
                          <w14:schemeClr w14:val="tx1"/>
                        </w14:solidFill>
                      </w14:textFill>
                    </w:rPr>
                    <w:t>，</w:t>
                  </w:r>
                  <w:r>
                    <w:rPr>
                      <w:rFonts w:hint="default" w:ascii="Times New Roman" w:hAnsi="Times New Roman" w:cs="Times New Roman"/>
                      <w:color w:val="000000" w:themeColor="text1"/>
                      <w:spacing w:val="-3"/>
                      <w:w w:val="100"/>
                      <w:sz w:val="21"/>
                      <w:szCs w:val="21"/>
                      <w:highlight w:val="none"/>
                      <w14:textFill>
                        <w14:solidFill>
                          <w14:schemeClr w14:val="tx1"/>
                        </w14:solidFill>
                      </w14:textFill>
                    </w:rPr>
                    <w:t>加工生产线占地面积为</w:t>
                  </w:r>
                  <w:r>
                    <w:rPr>
                      <w:rFonts w:hint="eastAsia" w:cs="Times New Roman"/>
                      <w:color w:val="000000" w:themeColor="text1"/>
                      <w:spacing w:val="-3"/>
                      <w:w w:val="100"/>
                      <w:sz w:val="21"/>
                      <w:szCs w:val="21"/>
                      <w:highlight w:val="none"/>
                      <w:lang w:val="en-US" w:eastAsia="zh-CN"/>
                      <w14:textFill>
                        <w14:solidFill>
                          <w14:schemeClr w14:val="tx1"/>
                        </w14:solidFill>
                      </w14:textFill>
                    </w:rPr>
                    <w:t>10000</w:t>
                  </w:r>
                  <w:r>
                    <w:rPr>
                      <w:rFonts w:hint="default" w:ascii="Times New Roman" w:hAnsi="Times New Roman" w:eastAsia="Times New Roman" w:cs="Times New Roman"/>
                      <w:color w:val="000000" w:themeColor="text1"/>
                      <w:spacing w:val="-3"/>
                      <w:w w:val="100"/>
                      <w:sz w:val="21"/>
                      <w:szCs w:val="21"/>
                      <w:highlight w:val="none"/>
                      <w14:textFill>
                        <w14:solidFill>
                          <w14:schemeClr w14:val="tx1"/>
                        </w14:solidFill>
                      </w14:textFill>
                    </w:rPr>
                    <w:t>m</w:t>
                  </w:r>
                  <w:r>
                    <w:rPr>
                      <w:rFonts w:hint="default" w:ascii="Times New Roman" w:hAnsi="Times New Roman" w:eastAsia="宋体" w:cs="Times New Roman"/>
                      <w:color w:val="000000" w:themeColor="text1"/>
                      <w:spacing w:val="-3"/>
                      <w:w w:val="100"/>
                      <w:sz w:val="21"/>
                      <w:szCs w:val="21"/>
                      <w:highlight w:val="none"/>
                      <w:vertAlign w:val="superscript"/>
                      <w:lang w:val="en-US" w:eastAsia="zh-CN"/>
                      <w14:textFill>
                        <w14:solidFill>
                          <w14:schemeClr w14:val="tx1"/>
                        </w14:solidFill>
                      </w14:textFill>
                    </w:rPr>
                    <w:t>2</w:t>
                  </w:r>
                </w:p>
              </w:tc>
              <w:tc>
                <w:tcPr>
                  <w:tcW w:w="356" w:type="pct"/>
                  <w:noWrap w:val="0"/>
                  <w:vAlign w:val="center"/>
                </w:tcPr>
                <w:p>
                  <w:pPr>
                    <w:jc w:val="center"/>
                  </w:pPr>
                </w:p>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58" w:type="pct"/>
                  <w:vMerge w:val="restart"/>
                  <w:noWrap w:val="0"/>
                  <w:vAlign w:val="center"/>
                </w:tcPr>
                <w:p>
                  <w:pPr>
                    <w:jc w:val="center"/>
                  </w:pPr>
                  <w:r>
                    <w:t>辅助工程</w:t>
                  </w:r>
                </w:p>
              </w:tc>
              <w:tc>
                <w:tcPr>
                  <w:tcW w:w="745"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71" w:leftChars="0" w:right="59" w:rightChars="0" w:firstLine="0" w:firstLineChars="0"/>
                    <w:jc w:val="center"/>
                    <w:textAlignment w:val="auto"/>
                  </w:pPr>
                  <w:r>
                    <w:rPr>
                      <w:rFonts w:hint="default" w:ascii="Times New Roman" w:hAnsi="Times New Roman" w:cs="Times New Roman"/>
                      <w:sz w:val="21"/>
                      <w:szCs w:val="21"/>
                    </w:rPr>
                    <w:t>原料临时堆场</w:t>
                  </w:r>
                </w:p>
              </w:tc>
              <w:tc>
                <w:tcPr>
                  <w:tcW w:w="3539"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56" w:leftChars="0" w:right="42" w:rightChars="0" w:firstLine="0" w:firstLineChars="0"/>
                    <w:jc w:val="both"/>
                    <w:textAlignment w:val="auto"/>
                    <w:rPr>
                      <w:color w:val="000000" w:themeColor="text1"/>
                      <w14:textFill>
                        <w14:solidFill>
                          <w14:schemeClr w14:val="tx1"/>
                        </w14:solidFill>
                      </w14:textFill>
                    </w:rPr>
                  </w:pP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主要用于项目加工砂石原料的临时堆放，</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位于加工区北侧</w:t>
                  </w:r>
                </w:p>
              </w:tc>
              <w:tc>
                <w:tcPr>
                  <w:tcW w:w="356" w:type="pct"/>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71" w:leftChars="0" w:right="59"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lang w:eastAsia="zh-CN"/>
                    </w:rPr>
                    <w:t>成品堆场</w:t>
                  </w:r>
                </w:p>
              </w:tc>
              <w:tc>
                <w:tcPr>
                  <w:tcW w:w="3539"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56" w:leftChars="0" w:right="42" w:rightChars="0" w:firstLine="0" w:firstLineChars="0"/>
                    <w:jc w:val="both"/>
                    <w:textAlignment w:val="auto"/>
                    <w:rPr>
                      <w:rFonts w:hint="default" w:ascii="Times New Roman" w:hAnsi="Times New Roman" w:eastAsia="宋体" w:cs="Times New Roman"/>
                      <w:color w:val="000000" w:themeColor="text1"/>
                      <w:spacing w:val="-9"/>
                      <w:kern w:val="2"/>
                      <w:sz w:val="21"/>
                      <w:szCs w:val="21"/>
                      <w:vertAlign w:val="baseline"/>
                      <w:lang w:val="en-US" w:eastAsia="zh-CN" w:bidi="ar-SA"/>
                      <w14:textFill>
                        <w14:solidFill>
                          <w14:schemeClr w14:val="tx1"/>
                        </w14:solidFill>
                      </w14:textFill>
                    </w:rPr>
                  </w:pPr>
                  <w:r>
                    <w:rPr>
                      <w:rFonts w:hint="default" w:ascii="Times New Roman" w:hAnsi="Times New Roman" w:cs="Times New Roman"/>
                      <w:color w:val="000000" w:themeColor="text1"/>
                      <w:spacing w:val="-9"/>
                      <w:sz w:val="21"/>
                      <w:szCs w:val="21"/>
                      <w:lang w:eastAsia="zh-CN"/>
                      <w14:textFill>
                        <w14:solidFill>
                          <w14:schemeClr w14:val="tx1"/>
                        </w14:solidFill>
                      </w14:textFill>
                    </w:rPr>
                    <w:t>项</w:t>
                  </w:r>
                  <w:r>
                    <w:rPr>
                      <w:rFonts w:hint="default" w:ascii="Times New Roman" w:hAnsi="Times New Roman" w:cs="Times New Roman"/>
                      <w:color w:val="000000" w:themeColor="text1"/>
                      <w:sz w:val="21"/>
                      <w:szCs w:val="21"/>
                      <w:lang w:eastAsia="zh-CN"/>
                      <w14:textFill>
                        <w14:solidFill>
                          <w14:schemeClr w14:val="tx1"/>
                        </w14:solidFill>
                      </w14:textFill>
                    </w:rPr>
                    <w:t>目加工的成品暂时堆放在加工区设置的成品堆场内，</w:t>
                  </w:r>
                  <w:r>
                    <w:rPr>
                      <w:rFonts w:hint="eastAsia" w:ascii="Times New Roman" w:hAnsi="Times New Roman" w:cs="Times New Roman"/>
                      <w:color w:val="000000" w:themeColor="text1"/>
                      <w:sz w:val="21"/>
                      <w:szCs w:val="21"/>
                      <w:lang w:eastAsia="zh-CN"/>
                      <w14:textFill>
                        <w14:solidFill>
                          <w14:schemeClr w14:val="tx1"/>
                        </w14:solidFill>
                      </w14:textFill>
                    </w:rPr>
                    <w:t>位于加工区南侧</w:t>
                  </w:r>
                </w:p>
              </w:tc>
              <w:tc>
                <w:tcPr>
                  <w:tcW w:w="356" w:type="pct"/>
                  <w:noWrap w:val="0"/>
                  <w:vAlign w:val="center"/>
                </w:tcPr>
                <w:p>
                  <w:pPr>
                    <w:jc w:val="both"/>
                    <w:rPr>
                      <w:rFonts w:hint="default"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noWrap w:val="0"/>
                  <w:vAlign w:val="center"/>
                </w:tcPr>
                <w:p>
                  <w:pPr>
                    <w:jc w:val="center"/>
                    <w:rPr>
                      <w:rFonts w:hint="default" w:eastAsia="宋体"/>
                      <w:kern w:val="2"/>
                      <w:sz w:val="21"/>
                      <w:szCs w:val="24"/>
                      <w:lang w:val="en-US" w:eastAsia="zh-CN" w:bidi="ar-SA"/>
                    </w:rPr>
                  </w:pPr>
                  <w:r>
                    <w:rPr>
                      <w:rFonts w:hint="eastAsia"/>
                      <w:lang w:val="en-US" w:eastAsia="zh-CN"/>
                    </w:rPr>
                    <w:t>进场道路</w:t>
                  </w:r>
                </w:p>
              </w:tc>
              <w:tc>
                <w:tcPr>
                  <w:tcW w:w="3539" w:type="pct"/>
                  <w:noWrap w:val="0"/>
                  <w:vAlign w:val="center"/>
                </w:tcPr>
                <w:p>
                  <w:pPr>
                    <w:jc w:val="left"/>
                    <w:rPr>
                      <w:rFonts w:hint="default"/>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公路运输，依托加工点至外界现有的简易道路。在原有土路上</w:t>
                  </w:r>
                  <w:r>
                    <w:rPr>
                      <w:rFonts w:hint="default" w:ascii="Times New Roman" w:hAnsi="Times New Roman" w:cs="Times New Roman"/>
                      <w:color w:val="000000" w:themeColor="text1"/>
                      <w:sz w:val="21"/>
                      <w:szCs w:val="21"/>
                      <w:lang w:eastAsia="zh-CN"/>
                      <w14:textFill>
                        <w14:solidFill>
                          <w14:schemeClr w14:val="tx1"/>
                        </w14:solidFill>
                      </w14:textFill>
                    </w:rPr>
                    <w:t>铺设</w:t>
                  </w:r>
                  <w:r>
                    <w:rPr>
                      <w:rFonts w:hint="default" w:ascii="Times New Roman" w:hAnsi="Times New Roman" w:cs="Times New Roman"/>
                      <w:color w:val="000000" w:themeColor="text1"/>
                      <w:sz w:val="21"/>
                      <w:szCs w:val="21"/>
                      <w14:textFill>
                        <w14:solidFill>
                          <w14:schemeClr w14:val="tx1"/>
                        </w14:solidFill>
                      </w14:textFill>
                    </w:rPr>
                    <w:t>一层碎石，作为进厂道路</w:t>
                  </w:r>
                </w:p>
              </w:tc>
              <w:tc>
                <w:tcPr>
                  <w:tcW w:w="356" w:type="pct"/>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noWrap w:val="0"/>
                  <w:vAlign w:val="center"/>
                </w:tcPr>
                <w:p>
                  <w:pPr>
                    <w:jc w:val="center"/>
                    <w:rPr>
                      <w:rFonts w:hint="default" w:eastAsia="宋体"/>
                      <w:lang w:val="en-US" w:eastAsia="zh-CN"/>
                    </w:rPr>
                  </w:pPr>
                  <w:r>
                    <w:t>办公</w:t>
                  </w:r>
                  <w:r>
                    <w:rPr>
                      <w:rFonts w:hint="eastAsia"/>
                      <w:lang w:val="en-US" w:eastAsia="zh-CN"/>
                    </w:rPr>
                    <w:t>生活区</w:t>
                  </w:r>
                </w:p>
              </w:tc>
              <w:tc>
                <w:tcPr>
                  <w:tcW w:w="3539" w:type="pct"/>
                  <w:noWrap w:val="0"/>
                  <w:vAlign w:val="center"/>
                </w:tcPr>
                <w:p>
                  <w:pPr>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办公区设于砂石生产加工场地，</w:t>
                  </w:r>
                  <w:r>
                    <w:rPr>
                      <w:rFonts w:hint="eastAsia" w:ascii="Times New Roman" w:hAnsi="Times New Roman" w:cs="Times New Roman"/>
                      <w:color w:val="000000" w:themeColor="text1"/>
                      <w:sz w:val="21"/>
                      <w:szCs w:val="21"/>
                      <w:highlight w:val="none"/>
                      <w:lang w:eastAsia="zh-CN"/>
                      <w14:textFill>
                        <w14:solidFill>
                          <w14:schemeClr w14:val="tx1"/>
                        </w14:solidFill>
                      </w14:textFill>
                    </w:rPr>
                    <w:t>位于加工区北侧，</w:t>
                  </w:r>
                  <w:r>
                    <w:rPr>
                      <w:rFonts w:hint="default" w:ascii="Times New Roman" w:hAnsi="Times New Roman" w:cs="Times New Roman"/>
                      <w:color w:val="000000" w:themeColor="text1"/>
                      <w:sz w:val="21"/>
                      <w:szCs w:val="21"/>
                      <w:highlight w:val="none"/>
                      <w:lang w:eastAsia="zh-CN"/>
                      <w14:textFill>
                        <w14:solidFill>
                          <w14:schemeClr w14:val="tx1"/>
                        </w14:solidFill>
                      </w14:textFill>
                    </w:rPr>
                    <w:t>包括办公区、生活区</w:t>
                  </w:r>
                  <w:r>
                    <w:rPr>
                      <w:rFonts w:hint="default" w:ascii="Times New Roman" w:hAnsi="Times New Roman" w:cs="Times New Roman"/>
                      <w:color w:val="000000" w:themeColor="text1"/>
                      <w:sz w:val="21"/>
                      <w:szCs w:val="21"/>
                      <w:highlight w:val="none"/>
                      <w14:textFill>
                        <w14:solidFill>
                          <w14:schemeClr w14:val="tx1"/>
                        </w14:solidFill>
                      </w14:textFill>
                    </w:rPr>
                    <w:t>等。占地面积为</w:t>
                  </w:r>
                  <w:r>
                    <w:rPr>
                      <w:rFonts w:hint="eastAsia" w:cs="Times New Roman"/>
                      <w:color w:val="000000" w:themeColor="text1"/>
                      <w:sz w:val="21"/>
                      <w:szCs w:val="21"/>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0</w:t>
                  </w:r>
                  <w:r>
                    <w:rPr>
                      <w:rFonts w:hint="default" w:ascii="Times New Roman" w:hAnsi="Times New Roman" w:eastAsia="Times New Roman" w:cs="Times New Roman"/>
                      <w:color w:val="000000" w:themeColor="text1"/>
                      <w:sz w:val="21"/>
                      <w:szCs w:val="21"/>
                      <w:highlight w:val="none"/>
                      <w14:textFill>
                        <w14:solidFill>
                          <w14:schemeClr w14:val="tx1"/>
                        </w14:solidFill>
                      </w14:textFill>
                    </w:rPr>
                    <w:t>0m</w:t>
                  </w:r>
                  <w:r>
                    <w:rPr>
                      <w:rFonts w:hint="default" w:ascii="Times New Roman" w:hAnsi="Times New Roman" w:eastAsia="宋体" w:cs="Times New Roman"/>
                      <w:color w:val="000000" w:themeColor="text1"/>
                      <w:sz w:val="21"/>
                      <w:szCs w:val="21"/>
                      <w:highlight w:val="none"/>
                      <w:vertAlign w:val="superscript"/>
                      <w:lang w:val="en-US" w:eastAsia="zh-CN"/>
                      <w14:textFill>
                        <w14:solidFill>
                          <w14:schemeClr w14:val="tx1"/>
                        </w14:solidFill>
                      </w14:textFill>
                    </w:rPr>
                    <w:t>2</w:t>
                  </w:r>
                </w:p>
              </w:tc>
              <w:tc>
                <w:tcPr>
                  <w:tcW w:w="356" w:type="pct"/>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58" w:type="pct"/>
                  <w:vMerge w:val="continue"/>
                  <w:noWrap w:val="0"/>
                  <w:vAlign w:val="center"/>
                </w:tcPr>
                <w:p>
                  <w:pPr>
                    <w:jc w:val="center"/>
                    <w:rPr>
                      <w:highlight w:val="yellow"/>
                    </w:rPr>
                  </w:pPr>
                </w:p>
              </w:tc>
              <w:tc>
                <w:tcPr>
                  <w:tcW w:w="745" w:type="pct"/>
                  <w:noWrap w:val="0"/>
                  <w:vAlign w:val="center"/>
                </w:tcPr>
                <w:p>
                  <w:pPr>
                    <w:jc w:val="center"/>
                    <w:rPr>
                      <w:rFonts w:hint="eastAsia" w:eastAsia="宋体"/>
                      <w:lang w:eastAsia="zh-CN"/>
                    </w:rPr>
                  </w:pPr>
                  <w:r>
                    <w:t>排土</w:t>
                  </w:r>
                  <w:r>
                    <w:rPr>
                      <w:rFonts w:hint="eastAsia"/>
                      <w:lang w:eastAsia="zh-CN"/>
                    </w:rPr>
                    <w:t>场</w:t>
                  </w:r>
                </w:p>
              </w:tc>
              <w:tc>
                <w:tcPr>
                  <w:tcW w:w="3539" w:type="pct"/>
                  <w:noWrap w:val="0"/>
                  <w:vAlign w:val="center"/>
                </w:tcPr>
                <w:p>
                  <w:pPr>
                    <w:jc w:val="both"/>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本项目不设排土场</w:t>
                  </w:r>
                </w:p>
              </w:tc>
              <w:tc>
                <w:tcPr>
                  <w:tcW w:w="356" w:type="pct"/>
                  <w:noWrap w:val="0"/>
                  <w:vAlign w:val="center"/>
                </w:tcPr>
                <w:p>
                  <w:pPr>
                    <w:jc w:val="cente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restart"/>
                  <w:noWrap w:val="0"/>
                  <w:vAlign w:val="center"/>
                </w:tcPr>
                <w:p>
                  <w:pPr>
                    <w:jc w:val="center"/>
                  </w:pPr>
                  <w:r>
                    <w:t>公用工程</w:t>
                  </w:r>
                </w:p>
              </w:tc>
              <w:tc>
                <w:tcPr>
                  <w:tcW w:w="745" w:type="pct"/>
                  <w:noWrap w:val="0"/>
                  <w:vAlign w:val="center"/>
                </w:tcPr>
                <w:p>
                  <w:pPr>
                    <w:jc w:val="center"/>
                  </w:pPr>
                  <w:r>
                    <w:t>供电</w:t>
                  </w:r>
                </w:p>
              </w:tc>
              <w:tc>
                <w:tcPr>
                  <w:tcW w:w="3539" w:type="pct"/>
                  <w:noWrap w:val="0"/>
                  <w:vAlign w:val="center"/>
                </w:tcPr>
                <w:p>
                  <w:pPr>
                    <w:jc w:val="left"/>
                    <w:rPr>
                      <w:color w:val="000000" w:themeColor="text1"/>
                      <w14:textFill>
                        <w14:solidFill>
                          <w14:schemeClr w14:val="tx1"/>
                        </w14:solidFill>
                      </w14:textFill>
                    </w:rPr>
                  </w:pPr>
                  <w:r>
                    <w:rPr>
                      <w:color w:val="000000" w:themeColor="text1"/>
                      <w14:textFill>
                        <w14:solidFill>
                          <w14:schemeClr w14:val="tx1"/>
                        </w14:solidFill>
                      </w14:textFill>
                    </w:rPr>
                    <w:t>供电电源由当地电力部门提供，可以满足生产生活用电，建设单位工业场地自建配电室</w:t>
                  </w:r>
                </w:p>
              </w:tc>
              <w:tc>
                <w:tcPr>
                  <w:tcW w:w="356" w:type="pct"/>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noWrap w:val="0"/>
                  <w:vAlign w:val="center"/>
                </w:tcPr>
                <w:p>
                  <w:pPr>
                    <w:jc w:val="center"/>
                    <w:rPr>
                      <w:szCs w:val="21"/>
                      <w:highlight w:val="yellow"/>
                    </w:rPr>
                  </w:pPr>
                  <w:r>
                    <w:rPr>
                      <w:szCs w:val="21"/>
                    </w:rPr>
                    <w:t>供水</w:t>
                  </w:r>
                </w:p>
              </w:tc>
              <w:tc>
                <w:tcPr>
                  <w:tcW w:w="3539" w:type="pct"/>
                  <w:noWrap w:val="0"/>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color w:val="000000" w:themeColor="text1"/>
                      <w:lang w:eastAsia="zh-CN"/>
                      <w14:textFill>
                        <w14:solidFill>
                          <w14:schemeClr w14:val="tx1"/>
                        </w14:solidFill>
                      </w14:textFill>
                    </w:rPr>
                    <w:t>项目</w:t>
                  </w:r>
                  <w:r>
                    <w:rPr>
                      <w:rFonts w:hint="eastAsia"/>
                      <w:color w:val="000000" w:themeColor="text1"/>
                      <w14:textFill>
                        <w14:solidFill>
                          <w14:schemeClr w14:val="tx1"/>
                        </w14:solidFill>
                      </w14:textFill>
                    </w:rPr>
                    <w:t>生产生活用水</w:t>
                  </w:r>
                  <w:r>
                    <w:rPr>
                      <w:color w:val="000000" w:themeColor="text1"/>
                      <w14:textFill>
                        <w14:solidFill>
                          <w14:schemeClr w14:val="tx1"/>
                        </w14:solidFill>
                      </w14:textFill>
                    </w:rPr>
                    <w:t>水源可与达板镇自来水厂协商</w:t>
                  </w:r>
                  <w:r>
                    <w:rPr>
                      <w:rFonts w:hint="eastAsia"/>
                      <w:color w:val="000000" w:themeColor="text1"/>
                      <w14:textFill>
                        <w14:solidFill>
                          <w14:schemeClr w14:val="tx1"/>
                        </w14:solidFill>
                      </w14:textFill>
                    </w:rPr>
                    <w:t>，从</w:t>
                  </w:r>
                  <w:r>
                    <w:rPr>
                      <w:color w:val="000000" w:themeColor="text1"/>
                      <w14:textFill>
                        <w14:solidFill>
                          <w14:schemeClr w14:val="tx1"/>
                        </w14:solidFill>
                      </w14:textFill>
                    </w:rPr>
                    <w:t>舀水村自来水供水管网</w:t>
                  </w:r>
                  <w:r>
                    <w:rPr>
                      <w:rFonts w:hint="eastAsia"/>
                      <w:color w:val="000000" w:themeColor="text1"/>
                      <w14:textFill>
                        <w14:solidFill>
                          <w14:schemeClr w14:val="tx1"/>
                        </w14:solidFill>
                      </w14:textFill>
                    </w:rPr>
                    <w:t>引入办公生活区及加工工业场地</w:t>
                  </w:r>
                </w:p>
              </w:tc>
              <w:tc>
                <w:tcPr>
                  <w:tcW w:w="356" w:type="pct"/>
                  <w:noWrap w:val="0"/>
                  <w:vAlign w:val="center"/>
                </w:tcPr>
                <w:p>
                  <w:pPr>
                    <w:jc w:val="both"/>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noWrap w:val="0"/>
                  <w:vAlign w:val="center"/>
                </w:tcPr>
                <w:p>
                  <w:pPr>
                    <w:jc w:val="center"/>
                  </w:pPr>
                  <w:r>
                    <w:t>供暖</w:t>
                  </w:r>
                </w:p>
              </w:tc>
              <w:tc>
                <w:tcPr>
                  <w:tcW w:w="3539" w:type="pct"/>
                  <w:noWrap w:val="0"/>
                  <w:vAlign w:val="center"/>
                </w:tcPr>
                <w:p>
                  <w:pPr>
                    <w:jc w:val="left"/>
                    <w:rPr>
                      <w:color w:val="000000" w:themeColor="text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冬季</w:t>
                  </w:r>
                  <w:r>
                    <w:rPr>
                      <w:rFonts w:hint="eastAsia" w:ascii="Times New Roman" w:hAnsi="Times New Roman" w:cs="Times New Roman"/>
                      <w:color w:val="000000" w:themeColor="text1"/>
                      <w:sz w:val="21"/>
                      <w:szCs w:val="21"/>
                      <w:lang w:val="en-US" w:eastAsia="zh-CN"/>
                      <w14:textFill>
                        <w14:solidFill>
                          <w14:schemeClr w14:val="tx1"/>
                        </w14:solidFill>
                      </w14:textFill>
                    </w:rPr>
                    <w:t>不生产，办公区</w:t>
                  </w:r>
                  <w:r>
                    <w:rPr>
                      <w:rFonts w:hint="default" w:ascii="Times New Roman" w:hAnsi="Times New Roman" w:cs="Times New Roman"/>
                      <w:color w:val="000000" w:themeColor="text1"/>
                      <w:sz w:val="21"/>
                      <w:szCs w:val="21"/>
                      <w14:textFill>
                        <w14:solidFill>
                          <w14:schemeClr w14:val="tx1"/>
                        </w14:solidFill>
                      </w14:textFill>
                    </w:rPr>
                    <w:t>采用电暖</w:t>
                  </w:r>
                </w:p>
              </w:tc>
              <w:tc>
                <w:tcPr>
                  <w:tcW w:w="356" w:type="pct"/>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restart"/>
                  <w:noWrap w:val="0"/>
                  <w:vAlign w:val="center"/>
                </w:tcPr>
                <w:p>
                  <w:pPr>
                    <w:jc w:val="center"/>
                  </w:pPr>
                  <w:r>
                    <w:t>环保工程</w:t>
                  </w:r>
                </w:p>
              </w:tc>
              <w:tc>
                <w:tcPr>
                  <w:tcW w:w="745" w:type="pct"/>
                  <w:noWrap w:val="0"/>
                  <w:vAlign w:val="center"/>
                </w:tcPr>
                <w:p>
                  <w:pPr>
                    <w:jc w:val="center"/>
                    <w:rPr>
                      <w:color w:val="000000"/>
                    </w:rPr>
                  </w:pPr>
                  <w:r>
                    <w:rPr>
                      <w:color w:val="000000"/>
                    </w:rPr>
                    <w:t>废气防治</w:t>
                  </w:r>
                </w:p>
              </w:tc>
              <w:tc>
                <w:tcPr>
                  <w:tcW w:w="3539" w:type="pct"/>
                  <w:noWrap w:val="0"/>
                  <w:vAlign w:val="center"/>
                </w:tcPr>
                <w:p>
                  <w:pPr>
                    <w:jc w:val="left"/>
                    <w:rPr>
                      <w:rFonts w:hint="eastAsia" w:eastAsia="宋体"/>
                      <w:color w:val="000000" w:themeColor="text1"/>
                      <w:lang w:eastAsia="zh-CN"/>
                      <w14:textFill>
                        <w14:solidFill>
                          <w14:schemeClr w14:val="tx1"/>
                        </w14:solidFill>
                      </w14:textFill>
                    </w:rPr>
                  </w:pPr>
                  <w:r>
                    <w:rPr>
                      <w:rFonts w:hAnsi="宋体"/>
                      <w:color w:val="000000" w:themeColor="text1"/>
                      <w:szCs w:val="21"/>
                      <w14:textFill>
                        <w14:solidFill>
                          <w14:schemeClr w14:val="tx1"/>
                        </w14:solidFill>
                      </w14:textFill>
                    </w:rPr>
                    <w:t>废气主要包括采装</w:t>
                  </w:r>
                  <w:r>
                    <w:rPr>
                      <w:rFonts w:hint="eastAsia" w:hAnsi="宋体"/>
                      <w:color w:val="000000" w:themeColor="text1"/>
                      <w:szCs w:val="21"/>
                      <w14:textFill>
                        <w14:solidFill>
                          <w14:schemeClr w14:val="tx1"/>
                        </w14:solidFill>
                      </w14:textFill>
                    </w:rPr>
                    <w:t>、加工</w:t>
                  </w:r>
                  <w:r>
                    <w:rPr>
                      <w:rFonts w:hAnsi="宋体"/>
                      <w:color w:val="000000" w:themeColor="text1"/>
                      <w:szCs w:val="21"/>
                      <w14:textFill>
                        <w14:solidFill>
                          <w14:schemeClr w14:val="tx1"/>
                        </w14:solidFill>
                      </w14:textFill>
                    </w:rPr>
                    <w:t>和道路</w:t>
                  </w:r>
                  <w:r>
                    <w:rPr>
                      <w:rFonts w:hint="eastAsia" w:hAnsi="宋体"/>
                      <w:color w:val="000000" w:themeColor="text1"/>
                      <w:szCs w:val="21"/>
                      <w14:textFill>
                        <w14:solidFill>
                          <w14:schemeClr w14:val="tx1"/>
                        </w14:solidFill>
                      </w14:textFill>
                    </w:rPr>
                    <w:t>粉尘</w:t>
                  </w:r>
                  <w:r>
                    <w:rPr>
                      <w:rFonts w:hAnsi="宋体"/>
                      <w:color w:val="000000" w:themeColor="text1"/>
                      <w:szCs w:val="21"/>
                      <w14:textFill>
                        <w14:solidFill>
                          <w14:schemeClr w14:val="tx1"/>
                        </w14:solidFill>
                      </w14:textFill>
                    </w:rPr>
                    <w:t>，</w:t>
                  </w:r>
                  <w:r>
                    <w:rPr>
                      <w:color w:val="000000" w:themeColor="text1"/>
                      <w:lang w:val="zh-CN"/>
                      <w14:textFill>
                        <w14:solidFill>
                          <w14:schemeClr w14:val="tx1"/>
                        </w14:solidFill>
                      </w14:textFill>
                    </w:rPr>
                    <w:t>矿区运输道路扬尘，采取定期洒水抑尘。</w:t>
                  </w:r>
                  <w:r>
                    <w:rPr>
                      <w:rFonts w:hint="eastAsia"/>
                      <w:color w:val="000000" w:themeColor="text1"/>
                      <w:lang w:val="zh-CN"/>
                      <w14:textFill>
                        <w14:solidFill>
                          <w14:schemeClr w14:val="tx1"/>
                        </w14:solidFill>
                      </w14:textFill>
                    </w:rPr>
                    <w:t>本项目设置全封闭厂房，加工设备粉尘（破碎、筛</w:t>
                  </w:r>
                  <w:r>
                    <w:rPr>
                      <w:rFonts w:hint="eastAsia" w:ascii="Times New Roman" w:hAnsi="Times New Roman" w:eastAsia="宋体" w:cs="Times New Roman"/>
                      <w:color w:val="000000" w:themeColor="text1"/>
                      <w:lang w:val="zh-CN"/>
                      <w14:textFill>
                        <w14:solidFill>
                          <w14:schemeClr w14:val="tx1"/>
                        </w14:solidFill>
                      </w14:textFill>
                    </w:rPr>
                    <w:t>分等）</w:t>
                  </w:r>
                  <w:r>
                    <w:rPr>
                      <w:rFonts w:hint="eastAsia" w:ascii="Times New Roman" w:hAnsi="Times New Roman" w:eastAsia="宋体" w:cs="Times New Roman"/>
                      <w:color w:val="000000" w:themeColor="text1"/>
                      <w:lang w:val="zh-CN" w:eastAsia="zh-CN"/>
                      <w14:textFill>
                        <w14:solidFill>
                          <w14:schemeClr w14:val="tx1"/>
                        </w14:solidFill>
                      </w14:textFill>
                    </w:rPr>
                    <w:t>设置冲水水管</w:t>
                  </w:r>
                  <w:r>
                    <w:rPr>
                      <w:rFonts w:hint="eastAsia" w:ascii="Times New Roman" w:hAnsi="Times New Roman" w:eastAsia="宋体" w:cs="Times New Roman"/>
                      <w:color w:val="000000" w:themeColor="text1"/>
                      <w:lang w:val="zh-CN"/>
                      <w14:textFill>
                        <w14:solidFill>
                          <w14:schemeClr w14:val="tx1"/>
                        </w14:solidFill>
                      </w14:textFill>
                    </w:rPr>
                    <w:t>，项目皮带传送采用密闭传送带。</w:t>
                  </w:r>
                  <w:r>
                    <w:rPr>
                      <w:rFonts w:ascii="Times New Roman" w:hAnsi="Times New Roman" w:eastAsia="宋体" w:cs="Times New Roman"/>
                      <w:color w:val="000000" w:themeColor="text1"/>
                      <w:lang w:val="zh-CN"/>
                      <w14:textFill>
                        <w14:solidFill>
                          <w14:schemeClr w14:val="tx1"/>
                        </w14:solidFill>
                      </w14:textFill>
                    </w:rPr>
                    <w:t>筛分</w:t>
                  </w:r>
                  <w:r>
                    <w:rPr>
                      <w:rFonts w:hint="eastAsia" w:ascii="Times New Roman" w:hAnsi="Times New Roman" w:eastAsia="宋体" w:cs="Times New Roman"/>
                      <w:color w:val="000000" w:themeColor="text1"/>
                      <w:lang w:val="zh-CN"/>
                      <w14:textFill>
                        <w14:solidFill>
                          <w14:schemeClr w14:val="tx1"/>
                        </w14:solidFill>
                      </w14:textFill>
                    </w:rPr>
                    <w:t>、洗砂</w:t>
                  </w:r>
                  <w:r>
                    <w:rPr>
                      <w:rFonts w:ascii="Times New Roman" w:hAnsi="Times New Roman" w:eastAsia="宋体" w:cs="Times New Roman"/>
                      <w:color w:val="000000" w:themeColor="text1"/>
                      <w:lang w:val="zh-CN"/>
                      <w14:textFill>
                        <w14:solidFill>
                          <w14:schemeClr w14:val="tx1"/>
                        </w14:solidFill>
                      </w14:textFill>
                    </w:rPr>
                    <w:t>工序</w:t>
                  </w:r>
                  <w:r>
                    <w:rPr>
                      <w:rFonts w:hint="eastAsia" w:ascii="Times New Roman" w:hAnsi="Times New Roman" w:eastAsia="宋体" w:cs="Times New Roman"/>
                      <w:color w:val="000000" w:themeColor="text1"/>
                      <w:lang w:val="zh-CN"/>
                      <w14:textFill>
                        <w14:solidFill>
                          <w14:schemeClr w14:val="tx1"/>
                        </w14:solidFill>
                      </w14:textFill>
                    </w:rPr>
                    <w:t>全程带水</w:t>
                  </w:r>
                  <w:r>
                    <w:rPr>
                      <w:rFonts w:hint="eastAsia" w:hAnsi="宋体"/>
                      <w:color w:val="000000" w:themeColor="text1"/>
                      <w:szCs w:val="21"/>
                      <w14:textFill>
                        <w14:solidFill>
                          <w14:schemeClr w14:val="tx1"/>
                        </w14:solidFill>
                      </w14:textFill>
                    </w:rPr>
                    <w:t>作业。</w:t>
                  </w:r>
                  <w:r>
                    <w:rPr>
                      <w:rFonts w:hint="eastAsia" w:hAnsi="宋体"/>
                      <w:color w:val="000000" w:themeColor="text1"/>
                      <w:szCs w:val="21"/>
                      <w:lang w:eastAsia="zh-CN"/>
                      <w14:textFill>
                        <w14:solidFill>
                          <w14:schemeClr w14:val="tx1"/>
                        </w14:solidFill>
                      </w14:textFill>
                    </w:rPr>
                    <w:t>原料和</w:t>
                  </w:r>
                  <w:r>
                    <w:rPr>
                      <w:rFonts w:hint="eastAsia" w:hAnsi="宋体"/>
                      <w:color w:val="000000" w:themeColor="text1"/>
                      <w:szCs w:val="21"/>
                      <w14:textFill>
                        <w14:solidFill>
                          <w14:schemeClr w14:val="tx1"/>
                        </w14:solidFill>
                      </w14:textFill>
                    </w:rPr>
                    <w:t>产品堆</w:t>
                  </w:r>
                  <w:r>
                    <w:rPr>
                      <w:rFonts w:hint="eastAsia" w:hAnsi="宋体"/>
                      <w:color w:val="000000" w:themeColor="text1"/>
                      <w:szCs w:val="21"/>
                      <w:lang w:eastAsia="zh-CN"/>
                      <w14:textFill>
                        <w14:solidFill>
                          <w14:schemeClr w14:val="tx1"/>
                        </w14:solidFill>
                      </w14:textFill>
                    </w:rPr>
                    <w:t>场地面硬化，设置三面围挡</w:t>
                  </w:r>
                  <w:r>
                    <w:rPr>
                      <w:rFonts w:hint="eastAsia" w:hAnsi="宋体"/>
                      <w:color w:val="000000" w:themeColor="text1"/>
                      <w:szCs w:val="21"/>
                      <w:lang w:val="en-US" w:eastAsia="zh-CN"/>
                      <w14:textFill>
                        <w14:solidFill>
                          <w14:schemeClr w14:val="tx1"/>
                        </w14:solidFill>
                      </w14:textFill>
                    </w:rPr>
                    <w:t>+</w:t>
                  </w:r>
                  <w:r>
                    <w:rPr>
                      <w:rFonts w:hint="eastAsia" w:hAnsi="宋体"/>
                      <w:color w:val="000000" w:themeColor="text1"/>
                      <w:szCs w:val="21"/>
                      <w14:textFill>
                        <w14:solidFill>
                          <w14:schemeClr w14:val="tx1"/>
                        </w14:solidFill>
                      </w14:textFill>
                    </w:rPr>
                    <w:t>防风抑尘网+</w:t>
                  </w:r>
                  <w:r>
                    <w:rPr>
                      <w:rFonts w:hAnsi="宋体"/>
                      <w:color w:val="000000" w:themeColor="text1"/>
                      <w:szCs w:val="21"/>
                      <w14:textFill>
                        <w14:solidFill>
                          <w14:schemeClr w14:val="tx1"/>
                        </w14:solidFill>
                      </w14:textFill>
                    </w:rPr>
                    <w:t>洒水抑尘措施。</w:t>
                  </w:r>
                  <w:r>
                    <w:rPr>
                      <w:rFonts w:hint="eastAsia" w:hAnsi="宋体"/>
                      <w:color w:val="000000" w:themeColor="text1"/>
                      <w:szCs w:val="21"/>
                      <w:lang w:eastAsia="zh-CN"/>
                      <w14:textFill>
                        <w14:solidFill>
                          <w14:schemeClr w14:val="tx1"/>
                        </w14:solidFill>
                      </w14:textFill>
                    </w:rPr>
                    <w:t>食堂油烟经抽油烟机处理后排放。</w:t>
                  </w:r>
                </w:p>
              </w:tc>
              <w:tc>
                <w:tcPr>
                  <w:tcW w:w="356" w:type="pct"/>
                  <w:noWrap w:val="0"/>
                  <w:vAlign w:val="center"/>
                </w:tcPr>
                <w:p>
                  <w:pPr>
                    <w:jc w:val="center"/>
                    <w:rPr>
                      <w:rFonts w:hint="default" w:eastAsia="宋体"/>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noWrap w:val="0"/>
                  <w:vAlign w:val="center"/>
                </w:tcPr>
                <w:p>
                  <w:pPr>
                    <w:jc w:val="center"/>
                  </w:pPr>
                  <w:r>
                    <w:t>废水治理</w:t>
                  </w:r>
                </w:p>
              </w:tc>
              <w:tc>
                <w:tcPr>
                  <w:tcW w:w="3539" w:type="pct"/>
                  <w:noWrap w:val="0"/>
                  <w:vAlign w:val="center"/>
                </w:tcPr>
                <w:p>
                  <w:pPr>
                    <w:jc w:val="left"/>
                    <w:rPr>
                      <w:rFonts w:hint="eastAsia" w:eastAsia="宋体"/>
                      <w:lang w:eastAsia="zh-CN"/>
                    </w:rPr>
                  </w:pPr>
                  <w:r>
                    <w:rPr>
                      <w:szCs w:val="21"/>
                      <w:highlight w:val="none"/>
                    </w:rPr>
                    <w:t>场内设</w:t>
                  </w:r>
                  <w:r>
                    <w:rPr>
                      <w:rFonts w:hint="eastAsia"/>
                      <w:szCs w:val="21"/>
                      <w:highlight w:val="none"/>
                      <w:lang w:val="en-US" w:eastAsia="zh-CN"/>
                    </w:rPr>
                    <w:t>环保厕所</w:t>
                  </w:r>
                  <w:r>
                    <w:rPr>
                      <w:szCs w:val="21"/>
                      <w:highlight w:val="none"/>
                    </w:rPr>
                    <w:t>，生活污水</w:t>
                  </w:r>
                  <w:r>
                    <w:rPr>
                      <w:rFonts w:hint="eastAsia"/>
                      <w:szCs w:val="21"/>
                      <w:highlight w:val="none"/>
                    </w:rPr>
                    <w:t>主要为</w:t>
                  </w:r>
                  <w:r>
                    <w:rPr>
                      <w:szCs w:val="21"/>
                      <w:highlight w:val="none"/>
                    </w:rPr>
                    <w:t>洗漱废水</w:t>
                  </w:r>
                  <w:r>
                    <w:rPr>
                      <w:rFonts w:hint="eastAsia"/>
                      <w:szCs w:val="21"/>
                      <w:highlight w:val="none"/>
                      <w:lang w:eastAsia="zh-CN"/>
                    </w:rPr>
                    <w:t>排入化粪池，食堂废水经隔油池处理后排入化粪池，化粪池定期拉运至生活污水处理厂；</w:t>
                  </w:r>
                  <w:r>
                    <w:rPr>
                      <w:rFonts w:hint="default" w:ascii="Times New Roman" w:hAnsi="Times New Roman" w:cs="Times New Roman"/>
                      <w:sz w:val="21"/>
                      <w:szCs w:val="21"/>
                      <w:highlight w:val="none"/>
                      <w:lang w:eastAsia="zh-CN"/>
                    </w:rPr>
                    <w:t>洗砂废水</w:t>
                  </w:r>
                  <w:r>
                    <w:rPr>
                      <w:rFonts w:hint="eastAsia" w:ascii="Times New Roman" w:hAnsi="Times New Roman" w:cs="Times New Roman"/>
                      <w:sz w:val="21"/>
                      <w:szCs w:val="21"/>
                      <w:highlight w:val="none"/>
                      <w:lang w:eastAsia="zh-CN"/>
                    </w:rPr>
                    <w:t>经</w:t>
                  </w:r>
                  <w:r>
                    <w:rPr>
                      <w:rFonts w:hint="eastAsia" w:cs="Times New Roman"/>
                      <w:sz w:val="21"/>
                      <w:szCs w:val="21"/>
                      <w:highlight w:val="none"/>
                      <w:lang w:eastAsia="zh-CN"/>
                    </w:rPr>
                    <w:t>沉淀池</w:t>
                  </w:r>
                  <w:r>
                    <w:rPr>
                      <w:rFonts w:hint="eastAsia" w:cs="Times New Roman"/>
                      <w:sz w:val="21"/>
                      <w:szCs w:val="21"/>
                      <w:highlight w:val="none"/>
                      <w:lang w:val="en-US" w:eastAsia="zh-CN"/>
                    </w:rPr>
                    <w:t>+压滤机</w:t>
                  </w:r>
                  <w:r>
                    <w:rPr>
                      <w:rFonts w:hint="eastAsia" w:ascii="Times New Roman" w:hAnsi="Times New Roman" w:cs="Times New Roman"/>
                      <w:sz w:val="21"/>
                      <w:szCs w:val="21"/>
                      <w:highlight w:val="none"/>
                      <w:lang w:eastAsia="zh-CN"/>
                    </w:rPr>
                    <w:t>处理</w:t>
                  </w:r>
                  <w:r>
                    <w:rPr>
                      <w:rFonts w:hint="default" w:ascii="Times New Roman" w:hAnsi="Times New Roman" w:cs="Times New Roman"/>
                      <w:sz w:val="21"/>
                      <w:szCs w:val="21"/>
                      <w:highlight w:val="none"/>
                      <w:lang w:eastAsia="zh-CN"/>
                    </w:rPr>
                    <w:t>后循环利用</w:t>
                  </w:r>
                </w:p>
              </w:tc>
              <w:tc>
                <w:tcPr>
                  <w:tcW w:w="356" w:type="pct"/>
                  <w:noWrap w:val="0"/>
                  <w:vAlign w:val="center"/>
                </w:tcPr>
                <w:p>
                  <w:pPr>
                    <w:jc w:val="both"/>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noWrap w:val="0"/>
                  <w:vAlign w:val="center"/>
                </w:tcPr>
                <w:p>
                  <w:pPr>
                    <w:jc w:val="center"/>
                  </w:pPr>
                  <w:r>
                    <w:t>噪声防治</w:t>
                  </w:r>
                </w:p>
              </w:tc>
              <w:tc>
                <w:tcPr>
                  <w:tcW w:w="3539" w:type="pct"/>
                  <w:noWrap w:val="0"/>
                  <w:vAlign w:val="center"/>
                </w:tcPr>
                <w:p>
                  <w:pPr>
                    <w:jc w:val="left"/>
                  </w:pPr>
                  <w:r>
                    <w:t>低噪声设备、基础减震、距离衰减，定期维修保养</w:t>
                  </w:r>
                </w:p>
              </w:tc>
              <w:tc>
                <w:tcPr>
                  <w:tcW w:w="356" w:type="pct"/>
                  <w:noWrap w:val="0"/>
                  <w:vAlign w:val="center"/>
                </w:tcPr>
                <w:p>
                  <w:pPr>
                    <w:jc w:val="both"/>
                    <w:rPr>
                      <w:rFonts w:hint="eastAsia" w:ascii="Times New Roman" w:hAnsi="Times New Roman"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vMerge w:val="restart"/>
                  <w:noWrap w:val="0"/>
                  <w:vAlign w:val="center"/>
                </w:tcPr>
                <w:p>
                  <w:pPr>
                    <w:jc w:val="center"/>
                  </w:pPr>
                  <w:r>
                    <w:t>固体废物</w:t>
                  </w:r>
                </w:p>
              </w:tc>
              <w:tc>
                <w:tcPr>
                  <w:tcW w:w="3539" w:type="pct"/>
                  <w:noWrap w:val="0"/>
                  <w:vAlign w:val="center"/>
                </w:tcPr>
                <w:p>
                  <w:pPr>
                    <w:pStyle w:val="86"/>
                    <w:snapToGrid w:val="0"/>
                    <w:spacing w:line="276" w:lineRule="auto"/>
                    <w:jc w:val="left"/>
                    <w:rPr>
                      <w:sz w:val="21"/>
                      <w:szCs w:val="21"/>
                      <w:lang w:val="en-US" w:eastAsia="zh-CN"/>
                    </w:rPr>
                  </w:pPr>
                  <w:r>
                    <w:rPr>
                      <w:sz w:val="21"/>
                      <w:szCs w:val="21"/>
                      <w:lang w:val="en-US" w:eastAsia="zh-CN"/>
                    </w:rPr>
                    <w:t>剥离</w:t>
                  </w:r>
                  <w:r>
                    <w:rPr>
                      <w:rFonts w:hint="eastAsia" w:ascii="Times New Roman" w:hAnsi="Times New Roman" w:eastAsia="宋体" w:cs="Times New Roman"/>
                      <w:kern w:val="2"/>
                      <w:sz w:val="21"/>
                      <w:szCs w:val="21"/>
                      <w:lang w:val="en-US" w:eastAsia="zh-CN" w:bidi="ar-SA"/>
                    </w:rPr>
                    <w:t>表土</w:t>
                  </w:r>
                  <w:r>
                    <w:rPr>
                      <w:rFonts w:hint="eastAsia" w:cs="Times New Roman"/>
                      <w:kern w:val="2"/>
                      <w:sz w:val="21"/>
                      <w:szCs w:val="21"/>
                      <w:lang w:val="en-US" w:eastAsia="zh-CN" w:bidi="ar-SA"/>
                    </w:rPr>
                    <w:t>用于厂区绿化及场地平整，</w:t>
                  </w:r>
                  <w:r>
                    <w:rPr>
                      <w:rFonts w:hint="eastAsia" w:ascii="Times New Roman" w:hAnsi="Times New Roman" w:eastAsia="宋体" w:cs="Times New Roman"/>
                      <w:kern w:val="2"/>
                      <w:sz w:val="21"/>
                      <w:szCs w:val="21"/>
                      <w:lang w:val="en-US" w:eastAsia="zh-CN" w:bidi="ar-SA"/>
                    </w:rPr>
                    <w:t>生活垃圾经垃圾桶收集后</w:t>
                  </w:r>
                  <w:r>
                    <w:rPr>
                      <w:rFonts w:hint="default" w:ascii="Times New Roman" w:hAnsi="Times New Roman" w:eastAsia="宋体" w:cs="Times New Roman"/>
                      <w:kern w:val="2"/>
                      <w:sz w:val="21"/>
                      <w:szCs w:val="21"/>
                      <w:lang w:val="en-US" w:eastAsia="zh-CN" w:bidi="ar-SA"/>
                    </w:rPr>
                    <w:t>定期运往政府指定的生活垃圾收集点</w:t>
                  </w:r>
                </w:p>
              </w:tc>
              <w:tc>
                <w:tcPr>
                  <w:tcW w:w="356" w:type="pct"/>
                  <w:vMerge w:val="restart"/>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vMerge w:val="continue"/>
                  <w:noWrap w:val="0"/>
                  <w:vAlign w:val="center"/>
                </w:tcPr>
                <w:p>
                  <w:pPr>
                    <w:jc w:val="center"/>
                  </w:pPr>
                </w:p>
              </w:tc>
              <w:tc>
                <w:tcPr>
                  <w:tcW w:w="3539" w:type="pct"/>
                  <w:noWrap w:val="0"/>
                  <w:vAlign w:val="center"/>
                </w:tcPr>
                <w:p>
                  <w:pPr>
                    <w:pStyle w:val="86"/>
                    <w:snapToGrid w:val="0"/>
                    <w:spacing w:line="276" w:lineRule="auto"/>
                    <w:jc w:val="left"/>
                    <w:rPr>
                      <w:sz w:val="21"/>
                      <w:szCs w:val="21"/>
                      <w:lang w:val="en-US" w:eastAsia="zh-CN"/>
                    </w:rPr>
                  </w:pPr>
                  <w:r>
                    <w:rPr>
                      <w:sz w:val="21"/>
                      <w:szCs w:val="21"/>
                      <w:lang w:val="en-US" w:eastAsia="zh-CN"/>
                    </w:rPr>
                    <w:t>危险废物：废机油暂时收集于危废储存间</w:t>
                  </w:r>
                  <w:r>
                    <w:rPr>
                      <w:rFonts w:hint="eastAsia"/>
                      <w:sz w:val="21"/>
                      <w:szCs w:val="21"/>
                      <w:lang w:val="en-US" w:eastAsia="zh-CN"/>
                    </w:rPr>
                    <w:t>（10m</w:t>
                  </w:r>
                  <w:r>
                    <w:rPr>
                      <w:rFonts w:hint="eastAsia"/>
                      <w:sz w:val="21"/>
                      <w:szCs w:val="21"/>
                      <w:vertAlign w:val="superscript"/>
                      <w:lang w:val="en-US" w:eastAsia="zh-CN"/>
                    </w:rPr>
                    <w:t>2</w:t>
                  </w:r>
                  <w:r>
                    <w:rPr>
                      <w:rFonts w:hint="eastAsia"/>
                      <w:sz w:val="21"/>
                      <w:szCs w:val="21"/>
                      <w:lang w:val="en-US" w:eastAsia="zh-CN"/>
                    </w:rPr>
                    <w:t>）</w:t>
                  </w:r>
                  <w:r>
                    <w:rPr>
                      <w:sz w:val="21"/>
                      <w:szCs w:val="21"/>
                      <w:lang w:val="en-US" w:eastAsia="zh-CN"/>
                    </w:rPr>
                    <w:t>，</w:t>
                  </w:r>
                  <w:r>
                    <w:rPr>
                      <w:rFonts w:hint="eastAsia"/>
                      <w:sz w:val="21"/>
                      <w:szCs w:val="21"/>
                      <w:lang w:val="en-US" w:eastAsia="zh-CN"/>
                    </w:rPr>
                    <w:t>地面进行重点防渗处理，机械废油采用专用危废容器收集，在危废容器下方布置收集盘，粘贴危险废物标签等，</w:t>
                  </w:r>
                  <w:r>
                    <w:rPr>
                      <w:sz w:val="21"/>
                      <w:szCs w:val="21"/>
                      <w:lang w:val="en-US" w:eastAsia="zh-CN"/>
                    </w:rPr>
                    <w:t>并交由有资质单位处理</w:t>
                  </w:r>
                </w:p>
              </w:tc>
              <w:tc>
                <w:tcPr>
                  <w:tcW w:w="356" w:type="pct"/>
                  <w:vMerge w:val="continue"/>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58" w:type="pct"/>
                  <w:vMerge w:val="continue"/>
                  <w:noWrap w:val="0"/>
                  <w:vAlign w:val="center"/>
                </w:tcPr>
                <w:p>
                  <w:pPr>
                    <w:jc w:val="center"/>
                    <w:rPr>
                      <w:highlight w:val="yellow"/>
                    </w:rPr>
                  </w:pPr>
                </w:p>
              </w:tc>
              <w:tc>
                <w:tcPr>
                  <w:tcW w:w="745" w:type="pct"/>
                  <w:noWrap w:val="0"/>
                  <w:vAlign w:val="center"/>
                </w:tcPr>
                <w:p>
                  <w:pPr>
                    <w:jc w:val="center"/>
                  </w:pPr>
                  <w:r>
                    <w:t>生态恢复</w:t>
                  </w:r>
                </w:p>
              </w:tc>
              <w:tc>
                <w:tcPr>
                  <w:tcW w:w="3539" w:type="pct"/>
                  <w:noWrap w:val="0"/>
                  <w:vAlign w:val="center"/>
                </w:tcPr>
                <w:p>
                  <w:pPr>
                    <w:jc w:val="left"/>
                  </w:pPr>
                  <w:r>
                    <w:rPr>
                      <w:rFonts w:hint="eastAsia"/>
                      <w:szCs w:val="21"/>
                    </w:rPr>
                    <w:t>取料场</w:t>
                  </w:r>
                  <w:r>
                    <w:rPr>
                      <w:szCs w:val="21"/>
                    </w:rPr>
                    <w:t>开采后，采场表面的岩石裸露，水土的流失量将高于开采前的状况。为防止水土流失，需加强</w:t>
                  </w:r>
                  <w:r>
                    <w:rPr>
                      <w:rFonts w:hint="eastAsia"/>
                      <w:szCs w:val="21"/>
                    </w:rPr>
                    <w:t>生态</w:t>
                  </w:r>
                  <w:r>
                    <w:rPr>
                      <w:szCs w:val="21"/>
                    </w:rPr>
                    <w:t>恢复，恢复植被。在服务期满后，项目露天采场应按规划进行</w:t>
                  </w:r>
                  <w:r>
                    <w:rPr>
                      <w:rFonts w:hint="eastAsia"/>
                      <w:szCs w:val="21"/>
                    </w:rPr>
                    <w:t>植被</w:t>
                  </w:r>
                  <w:r>
                    <w:rPr>
                      <w:szCs w:val="21"/>
                    </w:rPr>
                    <w:t>恢复，</w:t>
                  </w:r>
                  <w:r>
                    <w:rPr>
                      <w:rFonts w:hint="eastAsia"/>
                      <w:szCs w:val="21"/>
                    </w:rPr>
                    <w:t>恢复</w:t>
                  </w:r>
                  <w:r>
                    <w:rPr>
                      <w:szCs w:val="21"/>
                    </w:rPr>
                    <w:t>为</w:t>
                  </w:r>
                  <w:r>
                    <w:rPr>
                      <w:rFonts w:hint="eastAsia"/>
                      <w:szCs w:val="21"/>
                    </w:rPr>
                    <w:t>草</w:t>
                  </w:r>
                  <w:r>
                    <w:rPr>
                      <w:szCs w:val="21"/>
                    </w:rPr>
                    <w:t>地</w:t>
                  </w:r>
                </w:p>
              </w:tc>
              <w:tc>
                <w:tcPr>
                  <w:tcW w:w="356" w:type="pct"/>
                  <w:noWrap w:val="0"/>
                  <w:vAlign w:val="center"/>
                </w:tcPr>
                <w:p>
                  <w:pPr>
                    <w:jc w:val="both"/>
                    <w:rPr>
                      <w:rFonts w:hint="eastAsia" w:eastAsia="宋体"/>
                      <w:lang w:eastAsia="zh-CN"/>
                    </w:rPr>
                  </w:pPr>
                </w:p>
              </w:tc>
            </w:tr>
          </w:tbl>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b/>
                <w:sz w:val="24"/>
              </w:rPr>
            </w:pPr>
            <w:r>
              <w:rPr>
                <w:rFonts w:hint="eastAsia"/>
                <w:b/>
                <w:sz w:val="24"/>
                <w:lang w:val="en-US" w:eastAsia="zh-CN"/>
              </w:rPr>
              <w:t>3.</w:t>
            </w:r>
            <w:r>
              <w:rPr>
                <w:b/>
                <w:sz w:val="24"/>
              </w:rPr>
              <w:t>矿区概况</w:t>
            </w:r>
          </w:p>
          <w:p>
            <w:pPr>
              <w:adjustRightInd w:val="0"/>
              <w:snapToGrid w:val="0"/>
              <w:spacing w:line="360" w:lineRule="auto"/>
              <w:ind w:firstLine="482" w:firstLineChars="200"/>
              <w:rPr>
                <w:rFonts w:hint="eastAsia" w:ascii="Times New Roman" w:hAnsi="Times New Roman" w:cs="Times New Roman"/>
                <w:b/>
                <w:sz w:val="24"/>
                <w:lang w:val="en-US" w:eastAsia="zh-CN"/>
              </w:rPr>
            </w:pPr>
            <w:r>
              <w:rPr>
                <w:rFonts w:hint="eastAsia" w:cs="Times New Roman"/>
                <w:b/>
                <w:sz w:val="24"/>
                <w:lang w:val="en-US" w:eastAsia="zh-CN"/>
              </w:rPr>
              <w:t>3</w:t>
            </w:r>
            <w:r>
              <w:rPr>
                <w:rFonts w:hint="eastAsia" w:ascii="Times New Roman" w:hAnsi="Times New Roman" w:cs="Times New Roman"/>
                <w:b/>
                <w:sz w:val="24"/>
                <w:lang w:val="en-US" w:eastAsia="zh-CN"/>
              </w:rPr>
              <w:t>.1矿权范围</w:t>
            </w:r>
          </w:p>
          <w:p>
            <w:pPr>
              <w:spacing w:before="120" w:beforeLines="50"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根据采矿权成交确认书和采矿权出让合同，确定本次新设采矿权面积0.0877km</w:t>
            </w:r>
            <w:r>
              <w:rPr>
                <w:rFonts w:hint="default" w:ascii="Times New Roman" w:hAnsi="Times New Roman" w:cs="Times New Roman"/>
                <w:sz w:val="24"/>
                <w:vertAlign w:val="superscript"/>
              </w:rPr>
              <w:t>2</w:t>
            </w:r>
            <w:r>
              <w:rPr>
                <w:rFonts w:hint="default" w:ascii="Times New Roman" w:hAnsi="Times New Roman" w:cs="Times New Roman"/>
                <w:sz w:val="24"/>
              </w:rPr>
              <w:t>，开采标高2025m～1850m，矿区范围拐点坐标见表</w:t>
            </w:r>
            <w:r>
              <w:rPr>
                <w:rFonts w:hint="default" w:ascii="Times New Roman" w:hAnsi="Times New Roman" w:cs="Times New Roman"/>
                <w:sz w:val="24"/>
                <w:lang w:val="en-US" w:eastAsia="zh-CN"/>
              </w:rPr>
              <w:t>2-</w:t>
            </w:r>
            <w:r>
              <w:rPr>
                <w:rFonts w:hint="eastAsia" w:cs="Times New Roman"/>
                <w:sz w:val="24"/>
                <w:lang w:val="en-US" w:eastAsia="zh-CN"/>
              </w:rPr>
              <w:t>2</w:t>
            </w:r>
            <w:r>
              <w:rPr>
                <w:rFonts w:hint="default" w:ascii="Times New Roman" w:hAnsi="Times New Roman" w:cs="Times New Roman"/>
                <w:sz w:val="24"/>
              </w:rPr>
              <w:t>。</w:t>
            </w:r>
          </w:p>
          <w:p>
            <w:pPr>
              <w:autoSpaceDE w:val="0"/>
              <w:autoSpaceDN w:val="0"/>
              <w:adjustRightInd w:val="0"/>
              <w:ind w:firstLine="482" w:firstLineChars="200"/>
              <w:rPr>
                <w:rFonts w:hint="default" w:ascii="Times New Roman" w:hAnsi="Times New Roman" w:cs="Times New Roman"/>
                <w:b/>
                <w:sz w:val="24"/>
              </w:rPr>
            </w:pPr>
            <w:r>
              <w:rPr>
                <w:rFonts w:hint="default" w:ascii="Times New Roman" w:hAnsi="Times New Roman" w:cs="Times New Roman"/>
                <w:b/>
                <w:sz w:val="24"/>
              </w:rPr>
              <w:t>表</w:t>
            </w:r>
            <w:r>
              <w:rPr>
                <w:rFonts w:hint="default" w:ascii="Times New Roman" w:hAnsi="Times New Roman" w:cs="Times New Roman"/>
                <w:b/>
                <w:sz w:val="24"/>
                <w:lang w:val="en-US" w:eastAsia="zh-CN"/>
              </w:rPr>
              <w:t>2-</w:t>
            </w:r>
            <w:r>
              <w:rPr>
                <w:rFonts w:hint="eastAsia" w:cs="Times New Roman"/>
                <w:b/>
                <w:sz w:val="24"/>
                <w:lang w:val="en-US" w:eastAsia="zh-CN"/>
              </w:rPr>
              <w:t>2</w:t>
            </w:r>
            <w:r>
              <w:rPr>
                <w:rFonts w:hint="default" w:ascii="Times New Roman" w:hAnsi="Times New Roman" w:cs="Times New Roman"/>
                <w:b/>
                <w:sz w:val="24"/>
              </w:rPr>
              <w:t xml:space="preserve">                 矿区范围拐点坐标</w:t>
            </w:r>
          </w:p>
          <w:tbl>
            <w:tblPr>
              <w:tblStyle w:val="28"/>
              <w:tblW w:w="49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20"/>
              <w:gridCol w:w="1685"/>
              <w:gridCol w:w="1670"/>
              <w:gridCol w:w="167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470" w:type="pct"/>
                  <w:vMerge w:val="restar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范围</w:t>
                  </w:r>
                </w:p>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名称</w:t>
                  </w:r>
                </w:p>
              </w:tc>
              <w:tc>
                <w:tcPr>
                  <w:tcW w:w="439" w:type="pct"/>
                  <w:vMerge w:val="restar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拐点号</w:t>
                  </w:r>
                </w:p>
              </w:tc>
              <w:tc>
                <w:tcPr>
                  <w:tcW w:w="2047" w:type="pct"/>
                  <w:gridSpan w:val="2"/>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rPr>
                    <w:t>1980西安坐标系（3度带）</w:t>
                  </w:r>
                </w:p>
              </w:tc>
              <w:tc>
                <w:tcPr>
                  <w:tcW w:w="2044" w:type="pct"/>
                  <w:gridSpan w:val="2"/>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2000国家大地坐标系（3度带）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70" w:type="pct"/>
                  <w:vMerge w:val="continue"/>
                  <w:noWrap w:val="0"/>
                  <w:vAlign w:val="center"/>
                </w:tcPr>
                <w:p>
                  <w:pPr>
                    <w:spacing w:line="240" w:lineRule="atLeast"/>
                    <w:jc w:val="center"/>
                    <w:rPr>
                      <w:rFonts w:hint="default" w:ascii="Times New Roman" w:hAnsi="Times New Roman" w:cs="Times New Roman"/>
                      <w:szCs w:val="21"/>
                    </w:rPr>
                  </w:pPr>
                </w:p>
              </w:tc>
              <w:tc>
                <w:tcPr>
                  <w:tcW w:w="439" w:type="pct"/>
                  <w:vMerge w:val="continue"/>
                  <w:noWrap w:val="0"/>
                  <w:vAlign w:val="center"/>
                </w:tcPr>
                <w:p>
                  <w:pPr>
                    <w:spacing w:line="240" w:lineRule="atLeast"/>
                    <w:jc w:val="center"/>
                    <w:rPr>
                      <w:rFonts w:hint="default" w:ascii="Times New Roman" w:hAnsi="Times New Roman" w:cs="Times New Roman"/>
                      <w:szCs w:val="21"/>
                    </w:rPr>
                  </w:pPr>
                </w:p>
              </w:tc>
              <w:tc>
                <w:tcPr>
                  <w:tcW w:w="1028" w:type="pc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X</w:t>
                  </w:r>
                </w:p>
              </w:tc>
              <w:tc>
                <w:tcPr>
                  <w:tcW w:w="1019" w:type="pc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Y</w:t>
                  </w:r>
                </w:p>
              </w:tc>
              <w:tc>
                <w:tcPr>
                  <w:tcW w:w="1022" w:type="pc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X</w:t>
                  </w:r>
                </w:p>
              </w:tc>
              <w:tc>
                <w:tcPr>
                  <w:tcW w:w="1022" w:type="pc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470" w:type="pct"/>
                  <w:vMerge w:val="restart"/>
                  <w:noWrap w:val="0"/>
                  <w:vAlign w:val="center"/>
                </w:tcPr>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矿</w:t>
                  </w:r>
                </w:p>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区</w:t>
                  </w:r>
                </w:p>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范</w:t>
                  </w:r>
                </w:p>
                <w:p>
                  <w:pPr>
                    <w:spacing w:line="276" w:lineRule="auto"/>
                    <w:jc w:val="center"/>
                    <w:rPr>
                      <w:rFonts w:hint="default" w:ascii="Times New Roman" w:hAnsi="Times New Roman" w:cs="Times New Roman"/>
                      <w:szCs w:val="21"/>
                    </w:rPr>
                  </w:pPr>
                  <w:r>
                    <w:rPr>
                      <w:rFonts w:hint="default" w:ascii="Times New Roman" w:hAnsi="Times New Roman" w:cs="Times New Roman"/>
                      <w:szCs w:val="21"/>
                    </w:rPr>
                    <w:t>围</w:t>
                  </w:r>
                </w:p>
              </w:tc>
              <w:tc>
                <w:tcPr>
                  <w:tcW w:w="439" w:type="pc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1</w:t>
                  </w:r>
                </w:p>
              </w:tc>
              <w:tc>
                <w:tcPr>
                  <w:tcW w:w="1028"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3957893.081 </w:t>
                  </w:r>
                </w:p>
              </w:tc>
              <w:tc>
                <w:tcPr>
                  <w:tcW w:w="1019"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35374082.046 </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3957904.431</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35374192.046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470" w:type="pct"/>
                  <w:vMerge w:val="continue"/>
                  <w:noWrap w:val="0"/>
                  <w:vAlign w:val="center"/>
                </w:tcPr>
                <w:p>
                  <w:pPr>
                    <w:spacing w:line="240" w:lineRule="atLeast"/>
                    <w:jc w:val="center"/>
                    <w:rPr>
                      <w:rFonts w:hint="default" w:ascii="Times New Roman" w:hAnsi="Times New Roman" w:cs="Times New Roman"/>
                      <w:szCs w:val="21"/>
                    </w:rPr>
                  </w:pPr>
                </w:p>
              </w:tc>
              <w:tc>
                <w:tcPr>
                  <w:tcW w:w="439" w:type="pc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2</w:t>
                  </w:r>
                </w:p>
              </w:tc>
              <w:tc>
                <w:tcPr>
                  <w:tcW w:w="1028"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3957731.707 </w:t>
                  </w:r>
                </w:p>
              </w:tc>
              <w:tc>
                <w:tcPr>
                  <w:tcW w:w="1019"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35373996.072 </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3957743.057</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35374106.072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470" w:type="pct"/>
                  <w:vMerge w:val="continue"/>
                  <w:noWrap w:val="0"/>
                  <w:vAlign w:val="center"/>
                </w:tcPr>
                <w:p>
                  <w:pPr>
                    <w:spacing w:line="240" w:lineRule="atLeast"/>
                    <w:jc w:val="center"/>
                    <w:rPr>
                      <w:rFonts w:hint="default" w:ascii="Times New Roman" w:hAnsi="Times New Roman" w:cs="Times New Roman"/>
                      <w:szCs w:val="21"/>
                    </w:rPr>
                  </w:pPr>
                </w:p>
              </w:tc>
              <w:tc>
                <w:tcPr>
                  <w:tcW w:w="439" w:type="pc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3</w:t>
                  </w:r>
                </w:p>
              </w:tc>
              <w:tc>
                <w:tcPr>
                  <w:tcW w:w="1028"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3957530.492 </w:t>
                  </w:r>
                </w:p>
              </w:tc>
              <w:tc>
                <w:tcPr>
                  <w:tcW w:w="1019"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35373945.922 </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3957541.842</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35374055.922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470" w:type="pct"/>
                  <w:vMerge w:val="continue"/>
                  <w:noWrap w:val="0"/>
                  <w:vAlign w:val="center"/>
                </w:tcPr>
                <w:p>
                  <w:pPr>
                    <w:spacing w:line="240" w:lineRule="atLeast"/>
                    <w:jc w:val="center"/>
                    <w:rPr>
                      <w:rFonts w:hint="default" w:ascii="Times New Roman" w:hAnsi="Times New Roman" w:cs="Times New Roman"/>
                      <w:szCs w:val="21"/>
                    </w:rPr>
                  </w:pPr>
                </w:p>
              </w:tc>
              <w:tc>
                <w:tcPr>
                  <w:tcW w:w="439" w:type="pc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4</w:t>
                  </w:r>
                </w:p>
              </w:tc>
              <w:tc>
                <w:tcPr>
                  <w:tcW w:w="1028"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3957429.196 </w:t>
                  </w:r>
                </w:p>
              </w:tc>
              <w:tc>
                <w:tcPr>
                  <w:tcW w:w="1019"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35374111.767 </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3957440.546</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35374221.676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470" w:type="pct"/>
                  <w:vMerge w:val="continue"/>
                  <w:noWrap w:val="0"/>
                  <w:vAlign w:val="center"/>
                </w:tcPr>
                <w:p>
                  <w:pPr>
                    <w:spacing w:line="240" w:lineRule="atLeast"/>
                    <w:jc w:val="center"/>
                    <w:rPr>
                      <w:rFonts w:hint="default" w:ascii="Times New Roman" w:hAnsi="Times New Roman" w:cs="Times New Roman"/>
                      <w:szCs w:val="21"/>
                    </w:rPr>
                  </w:pPr>
                </w:p>
              </w:tc>
              <w:tc>
                <w:tcPr>
                  <w:tcW w:w="439" w:type="pct"/>
                  <w:noWrap w:val="0"/>
                  <w:vAlign w:val="center"/>
                </w:tcPr>
                <w:p>
                  <w:pPr>
                    <w:spacing w:line="240" w:lineRule="atLeast"/>
                    <w:jc w:val="center"/>
                    <w:rPr>
                      <w:rFonts w:hint="default" w:ascii="Times New Roman" w:hAnsi="Times New Roman" w:cs="Times New Roman"/>
                      <w:szCs w:val="21"/>
                    </w:rPr>
                  </w:pPr>
                  <w:r>
                    <w:rPr>
                      <w:rFonts w:hint="default" w:ascii="Times New Roman" w:hAnsi="Times New Roman" w:cs="Times New Roman"/>
                      <w:szCs w:val="21"/>
                    </w:rPr>
                    <w:t>5</w:t>
                  </w:r>
                </w:p>
              </w:tc>
              <w:tc>
                <w:tcPr>
                  <w:tcW w:w="1028"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3957829.055 </w:t>
                  </w:r>
                </w:p>
              </w:tc>
              <w:tc>
                <w:tcPr>
                  <w:tcW w:w="1019"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35374285.148 </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3957840.405</w:t>
                  </w:r>
                </w:p>
              </w:tc>
              <w:tc>
                <w:tcPr>
                  <w:tcW w:w="1022" w:type="pct"/>
                  <w:noWrap w:val="0"/>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35374395.148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470" w:type="pct"/>
                  <w:vMerge w:val="continue"/>
                  <w:noWrap w:val="0"/>
                  <w:vAlign w:val="center"/>
                </w:tcPr>
                <w:p>
                  <w:pPr>
                    <w:spacing w:line="240" w:lineRule="atLeast"/>
                    <w:jc w:val="center"/>
                    <w:rPr>
                      <w:rFonts w:hint="default" w:ascii="Times New Roman" w:hAnsi="Times New Roman" w:cs="Times New Roman"/>
                      <w:szCs w:val="21"/>
                    </w:rPr>
                  </w:pPr>
                </w:p>
              </w:tc>
              <w:tc>
                <w:tcPr>
                  <w:tcW w:w="4530" w:type="pct"/>
                  <w:gridSpan w:val="5"/>
                  <w:noWrap w:val="0"/>
                  <w:vAlign w:val="center"/>
                </w:tcPr>
                <w:p>
                  <w:pPr>
                    <w:spacing w:line="240" w:lineRule="atLeast"/>
                    <w:jc w:val="center"/>
                    <w:rPr>
                      <w:rFonts w:hint="default" w:ascii="Times New Roman" w:hAnsi="Times New Roman" w:cs="Times New Roman"/>
                    </w:rPr>
                  </w:pPr>
                  <w:r>
                    <w:rPr>
                      <w:rFonts w:hint="default" w:ascii="Times New Roman" w:hAnsi="Times New Roman" w:cs="Times New Roman"/>
                      <w:szCs w:val="21"/>
                    </w:rPr>
                    <w:t>矿区面积：0.0877km</w:t>
                  </w:r>
                  <w:r>
                    <w:rPr>
                      <w:rFonts w:hint="default" w:ascii="Times New Roman" w:hAnsi="Times New Roman" w:cs="Times New Roman"/>
                      <w:szCs w:val="21"/>
                      <w:vertAlign w:val="superscript"/>
                    </w:rPr>
                    <w:t xml:space="preserve">2            </w:t>
                  </w:r>
                  <w:r>
                    <w:rPr>
                      <w:rFonts w:hint="default" w:ascii="Times New Roman" w:hAnsi="Times New Roman" w:cs="Times New Roman"/>
                      <w:szCs w:val="21"/>
                    </w:rPr>
                    <w:t>开采标高：2025m-1850m</w:t>
                  </w:r>
                </w:p>
              </w:tc>
            </w:tr>
          </w:tbl>
          <w:p>
            <w:pPr>
              <w:adjustRightInd w:val="0"/>
              <w:snapToGrid w:val="0"/>
              <w:spacing w:line="360" w:lineRule="auto"/>
              <w:ind w:firstLine="482" w:firstLineChars="200"/>
              <w:rPr>
                <w:rFonts w:hint="default" w:ascii="Times New Roman" w:hAnsi="Times New Roman" w:cs="Times New Roman"/>
                <w:b/>
                <w:sz w:val="24"/>
              </w:rPr>
            </w:pPr>
            <w:r>
              <w:rPr>
                <w:rFonts w:hint="eastAsia" w:cs="Times New Roman"/>
                <w:b/>
                <w:sz w:val="24"/>
                <w:lang w:val="en-US" w:eastAsia="zh-CN"/>
              </w:rPr>
              <w:t>3</w:t>
            </w:r>
            <w:r>
              <w:rPr>
                <w:rFonts w:hint="default" w:ascii="Times New Roman" w:hAnsi="Times New Roman" w:cs="Times New Roman"/>
                <w:b/>
                <w:sz w:val="24"/>
                <w:lang w:val="en-US" w:eastAsia="zh-CN"/>
              </w:rPr>
              <w:t>.2</w:t>
            </w:r>
            <w:r>
              <w:rPr>
                <w:rFonts w:hint="default" w:ascii="Times New Roman" w:hAnsi="Times New Roman" w:cs="Times New Roman"/>
                <w:b/>
                <w:sz w:val="24"/>
              </w:rPr>
              <w:t>资源储量</w:t>
            </w:r>
          </w:p>
          <w:p>
            <w:pPr>
              <w:autoSpaceDE w:val="0"/>
              <w:autoSpaceDN w:val="0"/>
              <w:adjustRightInd w:val="0"/>
              <w:spacing w:line="360" w:lineRule="auto"/>
              <w:ind w:firstLine="480" w:firstLineChars="200"/>
              <w:rPr>
                <w:rFonts w:hint="default" w:ascii="Times New Roman" w:hAnsi="Times New Roman" w:cs="Times New Roman"/>
                <w:kern w:val="0"/>
                <w:sz w:val="24"/>
                <w:szCs w:val="24"/>
                <w:lang w:val="zh-CN"/>
              </w:rPr>
            </w:pPr>
            <w:r>
              <w:rPr>
                <w:rFonts w:hint="default" w:ascii="Times New Roman" w:hAnsi="Times New Roman" w:cs="Times New Roman"/>
                <w:kern w:val="0"/>
                <w:sz w:val="24"/>
                <w:szCs w:val="24"/>
                <w:lang w:val="zh-CN"/>
              </w:rPr>
              <w:t>该矿山建筑用石料矿资源量估算的工业指标按照《建筑用卵石、碎石》GB/T14685-2011、</w:t>
            </w:r>
            <w:r>
              <w:rPr>
                <w:rFonts w:hint="default" w:ascii="Times New Roman" w:hAnsi="Times New Roman" w:cs="Times New Roman"/>
                <w:spacing w:val="8"/>
                <w:sz w:val="24"/>
                <w:szCs w:val="24"/>
              </w:rPr>
              <w:t>《矿产地质勘查规范-建筑用石料》DZ/T0341-2020</w:t>
            </w:r>
            <w:r>
              <w:rPr>
                <w:rFonts w:hint="default" w:ascii="Times New Roman" w:hAnsi="Times New Roman" w:cs="Times New Roman"/>
                <w:kern w:val="0"/>
                <w:sz w:val="24"/>
                <w:szCs w:val="24"/>
                <w:lang w:val="zh-CN"/>
              </w:rPr>
              <w:t>规范要求进行。</w:t>
            </w:r>
          </w:p>
          <w:p>
            <w:pPr>
              <w:autoSpaceDE w:val="0"/>
              <w:autoSpaceDN w:val="0"/>
              <w:adjustRightInd w:val="0"/>
              <w:spacing w:line="360" w:lineRule="auto"/>
              <w:ind w:firstLine="480" w:firstLineChars="200"/>
              <w:rPr>
                <w:rFonts w:hint="default" w:ascii="Times New Roman" w:hAnsi="Times New Roman" w:cs="Times New Roman"/>
                <w:kern w:val="0"/>
                <w:sz w:val="24"/>
                <w:szCs w:val="24"/>
                <w:lang w:val="zh-CN"/>
              </w:rPr>
            </w:pPr>
            <w:r>
              <w:rPr>
                <w:rFonts w:hint="eastAsia" w:cs="Times New Roman"/>
                <w:kern w:val="0"/>
                <w:sz w:val="24"/>
                <w:szCs w:val="24"/>
                <w:lang w:val="zh-CN"/>
              </w:rPr>
              <w:t>（</w:t>
            </w:r>
            <w:r>
              <w:rPr>
                <w:rFonts w:hint="eastAsia" w:cs="Times New Roman"/>
                <w:kern w:val="0"/>
                <w:sz w:val="24"/>
                <w:szCs w:val="24"/>
                <w:lang w:val="en-US" w:eastAsia="zh-CN"/>
              </w:rPr>
              <w:t>1</w:t>
            </w:r>
            <w:r>
              <w:rPr>
                <w:rFonts w:hint="eastAsia" w:cs="Times New Roman"/>
                <w:kern w:val="0"/>
                <w:sz w:val="24"/>
                <w:szCs w:val="24"/>
                <w:lang w:val="zh-CN"/>
              </w:rPr>
              <w:t>）</w:t>
            </w:r>
            <w:r>
              <w:rPr>
                <w:rFonts w:hint="default" w:ascii="Times New Roman" w:hAnsi="Times New Roman" w:cs="Times New Roman"/>
                <w:kern w:val="0"/>
                <w:sz w:val="24"/>
                <w:szCs w:val="24"/>
                <w:lang w:val="zh-CN"/>
              </w:rPr>
              <w:t>矿石质量指标</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技术要求（建筑用卵石、碎石；）：</w:t>
            </w:r>
          </w:p>
          <w:p>
            <w:pPr>
              <w:spacing w:line="276" w:lineRule="auto"/>
              <w:ind w:firstLine="472" w:firstLineChars="196"/>
              <w:rPr>
                <w:rFonts w:hint="default" w:ascii="Times New Roman" w:hAnsi="Times New Roman" w:cs="Times New Roman"/>
                <w:b/>
                <w:sz w:val="24"/>
              </w:rPr>
            </w:pPr>
            <w:r>
              <w:rPr>
                <w:rFonts w:hint="default" w:ascii="Times New Roman" w:hAnsi="Times New Roman" w:cs="Times New Roman"/>
                <w:b/>
                <w:sz w:val="24"/>
              </w:rPr>
              <w:t>表</w:t>
            </w:r>
            <w:r>
              <w:rPr>
                <w:rFonts w:hint="eastAsia" w:cs="Times New Roman"/>
                <w:b/>
                <w:sz w:val="24"/>
                <w:lang w:val="en-US" w:eastAsia="zh-CN"/>
              </w:rPr>
              <w:t>2-3</w:t>
            </w:r>
            <w:r>
              <w:rPr>
                <w:rFonts w:hint="default" w:ascii="Times New Roman" w:hAnsi="Times New Roman" w:cs="Times New Roman"/>
                <w:b/>
                <w:sz w:val="24"/>
              </w:rPr>
              <w:t xml:space="preserve">                建筑用石料物理性能及化学成分一般要求</w:t>
            </w:r>
          </w:p>
          <w:tbl>
            <w:tblPr>
              <w:tblStyle w:val="28"/>
              <w:tblW w:w="8230" w:type="dxa"/>
              <w:tblInd w:w="93" w:type="dxa"/>
              <w:tblLayout w:type="fixed"/>
              <w:tblCellMar>
                <w:top w:w="0" w:type="dxa"/>
                <w:left w:w="108" w:type="dxa"/>
                <w:bottom w:w="0" w:type="dxa"/>
                <w:right w:w="108" w:type="dxa"/>
              </w:tblCellMar>
            </w:tblPr>
            <w:tblGrid>
              <w:gridCol w:w="965"/>
              <w:gridCol w:w="809"/>
              <w:gridCol w:w="2248"/>
              <w:gridCol w:w="2092"/>
              <w:gridCol w:w="2092"/>
            </w:tblGrid>
            <w:tr>
              <w:trPr>
                <w:trHeight w:val="23" w:hRule="atLeast"/>
              </w:trPr>
              <w:tc>
                <w:tcPr>
                  <w:tcW w:w="1779" w:type="dxa"/>
                  <w:gridSpan w:val="2"/>
                  <w:vMerge w:val="restart"/>
                  <w:tcBorders>
                    <w:top w:val="single" w:color="auto" w:sz="4" w:space="0"/>
                    <w:left w:val="single" w:color="auto" w:sz="4" w:space="0"/>
                    <w:bottom w:val="single" w:color="000000"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项目</w:t>
                  </w:r>
                </w:p>
              </w:tc>
              <w:tc>
                <w:tcPr>
                  <w:tcW w:w="6451" w:type="dxa"/>
                  <w:gridSpan w:val="3"/>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等级指示</w:t>
                  </w:r>
                </w:p>
              </w:tc>
            </w:tr>
            <w:tr>
              <w:tblPrEx>
                <w:tblCellMar>
                  <w:top w:w="0" w:type="dxa"/>
                  <w:left w:w="108" w:type="dxa"/>
                  <w:bottom w:w="0" w:type="dxa"/>
                  <w:right w:w="108" w:type="dxa"/>
                </w:tblCellMar>
              </w:tblPrEx>
              <w:trPr>
                <w:trHeight w:val="23" w:hRule="atLeast"/>
              </w:trPr>
              <w:tc>
                <w:tcPr>
                  <w:tcW w:w="1779"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hint="default" w:ascii="Times New Roman" w:hAnsi="Times New Roman" w:cs="Times New Roman"/>
                      <w:color w:val="000000"/>
                      <w:kern w:val="0"/>
                      <w:sz w:val="21"/>
                      <w:szCs w:val="21"/>
                    </w:rPr>
                  </w:pPr>
                </w:p>
              </w:tc>
              <w:tc>
                <w:tcPr>
                  <w:tcW w:w="225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Ⅰ类</w:t>
                  </w:r>
                </w:p>
              </w:tc>
              <w:tc>
                <w:tcPr>
                  <w:tcW w:w="2098"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Ⅱ类</w:t>
                  </w:r>
                </w:p>
              </w:tc>
              <w:tc>
                <w:tcPr>
                  <w:tcW w:w="2098"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Ⅲ类</w:t>
                  </w:r>
                </w:p>
              </w:tc>
            </w:tr>
            <w:tr>
              <w:trPr>
                <w:trHeight w:val="23" w:hRule="atLeast"/>
              </w:trPr>
              <w:tc>
                <w:tcPr>
                  <w:tcW w:w="9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抗压强度(水饱和)MPa</w:t>
                  </w:r>
                </w:p>
              </w:tc>
              <w:tc>
                <w:tcPr>
                  <w:tcW w:w="8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沉积岩</w:t>
                  </w:r>
                </w:p>
              </w:tc>
              <w:tc>
                <w:tcPr>
                  <w:tcW w:w="6451" w:type="dxa"/>
                  <w:gridSpan w:val="3"/>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≥30</w:t>
                  </w:r>
                </w:p>
              </w:tc>
            </w:tr>
            <w:tr>
              <w:trPr>
                <w:trHeight w:val="23" w:hRule="atLeast"/>
              </w:trPr>
              <w:tc>
                <w:tcPr>
                  <w:tcW w:w="9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1"/>
                      <w:szCs w:val="21"/>
                    </w:rPr>
                  </w:pPr>
                </w:p>
              </w:tc>
              <w:tc>
                <w:tcPr>
                  <w:tcW w:w="8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变质岩</w:t>
                  </w:r>
                </w:p>
              </w:tc>
              <w:tc>
                <w:tcPr>
                  <w:tcW w:w="6451" w:type="dxa"/>
                  <w:gridSpan w:val="3"/>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≥60</w:t>
                  </w:r>
                </w:p>
              </w:tc>
            </w:tr>
            <w:tr>
              <w:trPr>
                <w:trHeight w:val="23" w:hRule="atLeast"/>
              </w:trPr>
              <w:tc>
                <w:tcPr>
                  <w:tcW w:w="9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1"/>
                      <w:szCs w:val="21"/>
                    </w:rPr>
                  </w:pPr>
                </w:p>
              </w:tc>
              <w:tc>
                <w:tcPr>
                  <w:tcW w:w="8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火成岩</w:t>
                  </w:r>
                </w:p>
              </w:tc>
              <w:tc>
                <w:tcPr>
                  <w:tcW w:w="6451" w:type="dxa"/>
                  <w:gridSpan w:val="3"/>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≥80</w:t>
                  </w:r>
                </w:p>
              </w:tc>
            </w:tr>
            <w:tr>
              <w:trPr>
                <w:trHeight w:val="23" w:hRule="atLeast"/>
              </w:trPr>
              <w:tc>
                <w:tcPr>
                  <w:tcW w:w="1779"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碱活性</w:t>
                  </w:r>
                </w:p>
              </w:tc>
              <w:tc>
                <w:tcPr>
                  <w:tcW w:w="645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集料岩相法碱活性检验被评定为非碱活性时，作为最终结论；若评 定为碱活性或可疑时，应作测长法检验，检验后试件应无裂缝、酥裂、胶体外溢等现象，在规定试验龄期膨胀率应小于 0.10%。</w:t>
                  </w:r>
                </w:p>
              </w:tc>
            </w:tr>
            <w:tr>
              <w:trPr>
                <w:trHeight w:val="23" w:hRule="atLeast"/>
              </w:trPr>
              <w:tc>
                <w:tcPr>
                  <w:tcW w:w="1779"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坚固性（%）</w:t>
                  </w:r>
                </w:p>
              </w:tc>
              <w:tc>
                <w:tcPr>
                  <w:tcW w:w="2255" w:type="dxa"/>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≤5</w:t>
                  </w:r>
                </w:p>
              </w:tc>
              <w:tc>
                <w:tcPr>
                  <w:tcW w:w="2098" w:type="dxa"/>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≤8</w:t>
                  </w:r>
                </w:p>
              </w:tc>
              <w:tc>
                <w:tcPr>
                  <w:tcW w:w="2098" w:type="dxa"/>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≤12</w:t>
                  </w:r>
                </w:p>
              </w:tc>
            </w:tr>
            <w:tr>
              <w:trPr>
                <w:trHeight w:val="23" w:hRule="atLeast"/>
              </w:trPr>
              <w:tc>
                <w:tcPr>
                  <w:tcW w:w="968" w:type="dxa"/>
                  <w:vMerge w:val="restart"/>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压碎指标</w:t>
                  </w:r>
                </w:p>
              </w:tc>
              <w:tc>
                <w:tcPr>
                  <w:tcW w:w="8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碎石</w:t>
                  </w:r>
                </w:p>
              </w:tc>
              <w:tc>
                <w:tcPr>
                  <w:tcW w:w="2255" w:type="dxa"/>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≤10</w:t>
                  </w:r>
                </w:p>
              </w:tc>
              <w:tc>
                <w:tcPr>
                  <w:tcW w:w="2098" w:type="dxa"/>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≤20</w:t>
                  </w:r>
                </w:p>
              </w:tc>
              <w:tc>
                <w:tcPr>
                  <w:tcW w:w="2098" w:type="dxa"/>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≤30</w:t>
                  </w:r>
                </w:p>
              </w:tc>
            </w:tr>
            <w:tr>
              <w:trPr>
                <w:trHeight w:val="23" w:hRule="atLeast"/>
              </w:trPr>
              <w:tc>
                <w:tcPr>
                  <w:tcW w:w="9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color w:val="000000"/>
                      <w:kern w:val="0"/>
                      <w:sz w:val="21"/>
                      <w:szCs w:val="21"/>
                    </w:rPr>
                  </w:pPr>
                </w:p>
              </w:tc>
              <w:tc>
                <w:tcPr>
                  <w:tcW w:w="811"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卵石</w:t>
                  </w:r>
                </w:p>
              </w:tc>
              <w:tc>
                <w:tcPr>
                  <w:tcW w:w="2255" w:type="dxa"/>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≤12</w:t>
                  </w:r>
                </w:p>
              </w:tc>
              <w:tc>
                <w:tcPr>
                  <w:tcW w:w="2098" w:type="dxa"/>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≤14</w:t>
                  </w:r>
                </w:p>
              </w:tc>
              <w:tc>
                <w:tcPr>
                  <w:tcW w:w="2098" w:type="dxa"/>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≤16</w:t>
                  </w:r>
                </w:p>
              </w:tc>
            </w:tr>
            <w:tr>
              <w:trPr>
                <w:trHeight w:val="23" w:hRule="atLeast"/>
              </w:trPr>
              <w:tc>
                <w:tcPr>
                  <w:tcW w:w="177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碳酸盐及硫化物含量（换算成SO</w:t>
                  </w:r>
                  <w:r>
                    <w:rPr>
                      <w:rFonts w:hint="default" w:ascii="Times New Roman" w:hAnsi="Times New Roman" w:cs="Times New Roman"/>
                      <w:color w:val="000000"/>
                      <w:kern w:val="0"/>
                      <w:sz w:val="21"/>
                      <w:szCs w:val="21"/>
                      <w:vertAlign w:val="subscript"/>
                    </w:rPr>
                    <w:t>3</w:t>
                  </w:r>
                  <w:r>
                    <w:rPr>
                      <w:rFonts w:hint="default" w:ascii="Times New Roman" w:hAnsi="Times New Roman" w:cs="Times New Roman"/>
                      <w:color w:val="000000"/>
                      <w:kern w:val="0"/>
                      <w:sz w:val="21"/>
                      <w:szCs w:val="21"/>
                    </w:rPr>
                    <w:t>）（%）</w:t>
                  </w:r>
                </w:p>
              </w:tc>
              <w:tc>
                <w:tcPr>
                  <w:tcW w:w="225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≤0.5</w:t>
                  </w:r>
                </w:p>
              </w:tc>
              <w:tc>
                <w:tcPr>
                  <w:tcW w:w="2098"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≤1.0</w:t>
                  </w:r>
                </w:p>
              </w:tc>
              <w:tc>
                <w:tcPr>
                  <w:tcW w:w="2098"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≤1.0</w:t>
                  </w:r>
                </w:p>
              </w:tc>
            </w:tr>
            <w:tr>
              <w:trPr>
                <w:trHeight w:val="23" w:hRule="atLeast"/>
              </w:trPr>
              <w:tc>
                <w:tcPr>
                  <w:tcW w:w="8230" w:type="dxa"/>
                  <w:gridSpan w:val="5"/>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注：加工产品质量需符合国标GB/T 14685、GB/T 14684要求</w:t>
                  </w:r>
                </w:p>
              </w:tc>
            </w:tr>
          </w:tbl>
          <w:p>
            <w:pPr>
              <w:autoSpaceDE w:val="0"/>
              <w:autoSpaceDN w:val="0"/>
              <w:adjustRightInd w:val="0"/>
              <w:snapToGrid w:val="0"/>
              <w:spacing w:before="120" w:beforeLines="50" w:line="360" w:lineRule="auto"/>
              <w:ind w:firstLine="480" w:firstLineChars="200"/>
              <w:rPr>
                <w:rFonts w:hint="default" w:ascii="Times New Roman" w:hAnsi="Times New Roman" w:cs="Times New Roman"/>
                <w:sz w:val="24"/>
              </w:rPr>
            </w:pPr>
            <w:r>
              <w:rPr>
                <w:rFonts w:hint="eastAsia" w:cs="Times New Roman"/>
                <w:kern w:val="0"/>
                <w:sz w:val="24"/>
                <w:szCs w:val="24"/>
                <w:lang w:val="zh-CN"/>
              </w:rPr>
              <w:t>（</w:t>
            </w:r>
            <w:r>
              <w:rPr>
                <w:rFonts w:hint="eastAsia" w:cs="Times New Roman"/>
                <w:kern w:val="0"/>
                <w:sz w:val="24"/>
                <w:szCs w:val="24"/>
                <w:lang w:val="en-US" w:eastAsia="zh-CN"/>
              </w:rPr>
              <w:t>2</w:t>
            </w:r>
            <w:r>
              <w:rPr>
                <w:rFonts w:hint="eastAsia" w:cs="Times New Roman"/>
                <w:kern w:val="0"/>
                <w:sz w:val="24"/>
                <w:szCs w:val="24"/>
                <w:lang w:val="zh-CN"/>
              </w:rPr>
              <w:t>）</w:t>
            </w:r>
            <w:r>
              <w:rPr>
                <w:rFonts w:hint="default" w:ascii="Times New Roman" w:hAnsi="Times New Roman" w:cs="Times New Roman"/>
                <w:sz w:val="24"/>
              </w:rPr>
              <w:t>矿山开采技术条件</w:t>
            </w:r>
          </w:p>
          <w:p>
            <w:pPr>
              <w:autoSpaceDE w:val="0"/>
              <w:autoSpaceDN w:val="0"/>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①最低可采标高：遵循不低于矿区最低侵蚀基准面的原则，结合本区实际情况。确定最低可采标高为1850m。</w:t>
            </w:r>
          </w:p>
          <w:p>
            <w:pPr>
              <w:autoSpaceDE w:val="0"/>
              <w:autoSpaceDN w:val="0"/>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②剥采比：≤0.5:1（m</w:t>
            </w:r>
            <w:r>
              <w:rPr>
                <w:rFonts w:hint="default" w:ascii="Times New Roman" w:hAnsi="Times New Roman" w:cs="Times New Roman"/>
                <w:sz w:val="24"/>
                <w:vertAlign w:val="superscript"/>
              </w:rPr>
              <w:t>3</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w:t>
            </w:r>
          </w:p>
          <w:p>
            <w:pPr>
              <w:autoSpaceDE w:val="0"/>
              <w:autoSpaceDN w:val="0"/>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③可采厚度：≥3m；</w:t>
            </w:r>
          </w:p>
          <w:p>
            <w:pPr>
              <w:autoSpaceDE w:val="0"/>
              <w:autoSpaceDN w:val="0"/>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④夹层厚度：≤2m；</w:t>
            </w:r>
          </w:p>
          <w:p>
            <w:pPr>
              <w:autoSpaceDE w:val="0"/>
              <w:autoSpaceDN w:val="0"/>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⑤矿床最终边坡角：50°～70°；</w:t>
            </w:r>
          </w:p>
          <w:p>
            <w:pPr>
              <w:autoSpaceDE w:val="0"/>
              <w:autoSpaceDN w:val="0"/>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⑥采场最终底盘最小宽度：＞40m；</w:t>
            </w:r>
          </w:p>
          <w:p>
            <w:pPr>
              <w:autoSpaceDE w:val="0"/>
              <w:autoSpaceDN w:val="0"/>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⑦爆破安全距离：＞300m。</w:t>
            </w:r>
          </w:p>
          <w:p>
            <w:pPr>
              <w:autoSpaceDE w:val="0"/>
              <w:autoSpaceDN w:val="0"/>
              <w:adjustRightInd w:val="0"/>
              <w:snapToGrid w:val="0"/>
              <w:spacing w:before="120" w:beforeLines="50" w:line="360" w:lineRule="auto"/>
              <w:ind w:firstLine="480" w:firstLineChars="200"/>
              <w:rPr>
                <w:rFonts w:hint="default" w:ascii="Times New Roman" w:hAnsi="Times New Roman" w:eastAsia="宋体" w:cs="Times New Roman"/>
                <w:sz w:val="24"/>
              </w:rPr>
            </w:pPr>
            <w:bookmarkStart w:id="7" w:name="_Toc47598996"/>
            <w:r>
              <w:rPr>
                <w:rFonts w:hint="eastAsia" w:cs="Times New Roman"/>
                <w:kern w:val="0"/>
                <w:sz w:val="24"/>
                <w:szCs w:val="24"/>
                <w:lang w:val="zh-CN"/>
              </w:rPr>
              <w:t>（</w:t>
            </w:r>
            <w:r>
              <w:rPr>
                <w:rFonts w:hint="eastAsia" w:cs="Times New Roman"/>
                <w:kern w:val="0"/>
                <w:sz w:val="24"/>
                <w:szCs w:val="24"/>
                <w:lang w:val="en-US" w:eastAsia="zh-CN"/>
              </w:rPr>
              <w:t>3</w:t>
            </w:r>
            <w:r>
              <w:rPr>
                <w:rFonts w:hint="eastAsia" w:cs="Times New Roman"/>
                <w:kern w:val="0"/>
                <w:sz w:val="24"/>
                <w:szCs w:val="24"/>
                <w:lang w:val="zh-CN"/>
              </w:rPr>
              <w:t>）</w:t>
            </w:r>
            <w:r>
              <w:rPr>
                <w:rFonts w:hint="default" w:ascii="Times New Roman" w:hAnsi="Times New Roman" w:eastAsia="宋体" w:cs="Times New Roman"/>
                <w:sz w:val="24"/>
              </w:rPr>
              <w:t>地质资源/储量</w:t>
            </w:r>
            <w:bookmarkEnd w:id="7"/>
          </w:p>
          <w:p>
            <w:pPr>
              <w:autoSpaceDE w:val="0"/>
              <w:autoSpaceDN w:val="0"/>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根据东乡县自然资源局备案的《甘肃省东乡族自治县舀水村建筑用砂石料二号矿区普查报告》知，截止基准日2020年6月30日，拟设矿区范围内资源量估算范围2025m～1850m标高区间内建筑用石料矿推断资源量为500.00×10</w:t>
            </w:r>
            <w:r>
              <w:rPr>
                <w:rFonts w:hint="default" w:ascii="Times New Roman" w:hAnsi="Times New Roman" w:cs="Times New Roman"/>
                <w:sz w:val="24"/>
                <w:vertAlign w:val="superscript"/>
              </w:rPr>
              <w:t>4</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，矿区范围内资源量估算范围内地表推断剥离量9.27×10</w:t>
            </w:r>
            <w:r>
              <w:rPr>
                <w:rFonts w:hint="default" w:ascii="Times New Roman" w:hAnsi="Times New Roman" w:cs="Times New Roman"/>
                <w:sz w:val="24"/>
                <w:vertAlign w:val="superscript"/>
              </w:rPr>
              <w:t>4</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，剥采比0.019:1。由于为推断资源量，因此按规范要求，选取推断资源量可信度系数0.8。则本报告确定的拟设矿区</w:t>
            </w:r>
            <w:r>
              <w:rPr>
                <w:rFonts w:hint="default" w:ascii="Times New Roman" w:hAnsi="Times New Roman" w:cs="Times New Roman"/>
                <w:kern w:val="0"/>
                <w:sz w:val="24"/>
                <w:lang w:val="zh-CN"/>
              </w:rPr>
              <w:t>资源量估算范围内</w:t>
            </w:r>
            <w:r>
              <w:rPr>
                <w:rFonts w:hint="default" w:ascii="Times New Roman" w:hAnsi="Times New Roman" w:cs="Times New Roman"/>
                <w:bCs/>
                <w:sz w:val="24"/>
              </w:rPr>
              <w:t>设计可利用资源量</w:t>
            </w:r>
            <w:r>
              <w:rPr>
                <w:rFonts w:hint="default" w:ascii="Times New Roman" w:hAnsi="Times New Roman" w:cs="Times New Roman"/>
                <w:sz w:val="24"/>
              </w:rPr>
              <w:t>为500.00×0.8×10</w:t>
            </w:r>
            <w:r>
              <w:rPr>
                <w:rFonts w:hint="default" w:ascii="Times New Roman" w:hAnsi="Times New Roman" w:cs="Times New Roman"/>
                <w:sz w:val="24"/>
                <w:vertAlign w:val="superscript"/>
              </w:rPr>
              <w:t>4</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=400.00×10</w:t>
            </w:r>
            <w:r>
              <w:rPr>
                <w:rFonts w:hint="default" w:ascii="Times New Roman" w:hAnsi="Times New Roman" w:cs="Times New Roman"/>
                <w:sz w:val="24"/>
                <w:vertAlign w:val="superscript"/>
              </w:rPr>
              <w:t>4</w:t>
            </w:r>
            <w:r>
              <w:rPr>
                <w:rFonts w:hint="default" w:ascii="Times New Roman" w:hAnsi="Times New Roman" w:cs="Times New Roman"/>
                <w:sz w:val="24"/>
              </w:rPr>
              <w:t>m</w:t>
            </w:r>
            <w:r>
              <w:rPr>
                <w:rFonts w:hint="default" w:ascii="Times New Roman" w:hAnsi="Times New Roman" w:cs="Times New Roman"/>
                <w:sz w:val="24"/>
                <w:vertAlign w:val="superscript"/>
              </w:rPr>
              <w:t>3</w:t>
            </w:r>
            <w:r>
              <w:rPr>
                <w:rFonts w:hint="default" w:ascii="Times New Roman" w:hAnsi="Times New Roman" w:cs="Times New Roman"/>
                <w:sz w:val="24"/>
              </w:rPr>
              <w:t>。</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r>
              <w:rPr>
                <w:rFonts w:hint="eastAsia" w:cs="Times New Roman"/>
                <w:b/>
                <w:sz w:val="24"/>
                <w:lang w:val="en-US" w:eastAsia="zh-CN"/>
              </w:rPr>
              <w:t>4</w:t>
            </w:r>
            <w:r>
              <w:rPr>
                <w:rFonts w:hint="default" w:ascii="Times New Roman" w:hAnsi="Times New Roman" w:eastAsia="宋体" w:cs="Times New Roman"/>
                <w:b/>
                <w:sz w:val="24"/>
                <w:lang w:val="en-US" w:eastAsia="zh-CN"/>
              </w:rPr>
              <w:t>.开采方式</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8" w:name="_Toc47599011"/>
            <w:r>
              <w:rPr>
                <w:rFonts w:hint="eastAsia" w:cs="Times New Roman"/>
                <w:b/>
                <w:sz w:val="24"/>
                <w:lang w:val="en-US" w:eastAsia="zh-CN"/>
              </w:rPr>
              <w:t>4</w:t>
            </w:r>
            <w:r>
              <w:rPr>
                <w:rFonts w:hint="default" w:ascii="Times New Roman" w:hAnsi="Times New Roman" w:eastAsia="宋体" w:cs="Times New Roman"/>
                <w:b/>
                <w:sz w:val="24"/>
                <w:lang w:val="en-US" w:eastAsia="zh-CN"/>
              </w:rPr>
              <w:t>.1开采顺序、首采地段</w:t>
            </w:r>
            <w:bookmarkEnd w:id="8"/>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9" w:name="_Toc47599012"/>
            <w:r>
              <w:rPr>
                <w:rFonts w:hint="eastAsia" w:cs="Times New Roman"/>
                <w:b/>
                <w:sz w:val="24"/>
                <w:lang w:val="en-US" w:eastAsia="zh-CN"/>
              </w:rPr>
              <w:t>4</w:t>
            </w:r>
            <w:r>
              <w:rPr>
                <w:rFonts w:hint="default" w:ascii="Times New Roman" w:hAnsi="Times New Roman" w:eastAsia="宋体" w:cs="Times New Roman"/>
                <w:b/>
                <w:sz w:val="24"/>
                <w:lang w:val="en-US" w:eastAsia="zh-CN"/>
              </w:rPr>
              <w:t>.1.1开采顺序</w:t>
            </w:r>
            <w:bookmarkEnd w:id="9"/>
          </w:p>
          <w:p>
            <w:pPr>
              <w:spacing w:line="360" w:lineRule="auto"/>
              <w:ind w:firstLine="480" w:firstLineChars="200"/>
              <w:rPr>
                <w:rFonts w:hint="default" w:ascii="Times New Roman" w:hAnsi="Times New Roman" w:cs="Times New Roman"/>
                <w:snapToGrid w:val="0"/>
                <w:kern w:val="0"/>
                <w:sz w:val="24"/>
              </w:rPr>
            </w:pPr>
            <w:r>
              <w:rPr>
                <w:rFonts w:hint="default" w:ascii="Times New Roman" w:hAnsi="Times New Roman" w:cs="Times New Roman"/>
                <w:snapToGrid w:val="0"/>
                <w:kern w:val="0"/>
                <w:sz w:val="24"/>
              </w:rPr>
              <w:t>露天开采通过经济合理剥采比计算和对矿体剖面的圈定，结合采矿最短工作线和最小底宽的要求，设计开采区范围内露天境界最低标高为1850m。台阶开采方向为西南-北东向，台阶开采顺序为自上而下，从上部向下逐台阶开采。</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10" w:name="_Toc47599013"/>
            <w:r>
              <w:rPr>
                <w:rFonts w:hint="eastAsia" w:cs="Times New Roman"/>
                <w:b/>
                <w:sz w:val="24"/>
                <w:lang w:val="en-US" w:eastAsia="zh-CN"/>
              </w:rPr>
              <w:t>4</w:t>
            </w:r>
            <w:r>
              <w:rPr>
                <w:rFonts w:hint="default" w:ascii="Times New Roman" w:hAnsi="Times New Roman" w:eastAsia="宋体" w:cs="Times New Roman"/>
                <w:b/>
                <w:sz w:val="24"/>
                <w:lang w:val="en-US" w:eastAsia="zh-CN"/>
              </w:rPr>
              <w:t>.1.2首采地段</w:t>
            </w:r>
            <w:bookmarkEnd w:id="10"/>
          </w:p>
          <w:p>
            <w:pPr>
              <w:spacing w:line="360" w:lineRule="auto"/>
              <w:ind w:firstLine="480" w:firstLineChars="200"/>
              <w:rPr>
                <w:rFonts w:hint="default" w:ascii="Times New Roman" w:hAnsi="Times New Roman" w:cs="Times New Roman"/>
                <w:snapToGrid w:val="0"/>
                <w:kern w:val="0"/>
                <w:sz w:val="24"/>
              </w:rPr>
            </w:pPr>
            <w:r>
              <w:rPr>
                <w:rFonts w:hint="default" w:ascii="Times New Roman" w:hAnsi="Times New Roman" w:cs="Times New Roman"/>
                <w:snapToGrid w:val="0"/>
                <w:kern w:val="0"/>
                <w:sz w:val="24"/>
              </w:rPr>
              <w:t>根据矿体赋存条件和采场工程的布置，设计在开采区北部山顶+2025m标高处首先进行开采，在设计开采区东部+1990m标高形成第一层台阶，待一级台阶开采完毕后，在进行下一级台阶开采。</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eastAsia" w:ascii="Times New Roman" w:hAnsi="Times New Roman" w:eastAsia="宋体" w:cs="Times New Roman"/>
                <w:b/>
                <w:sz w:val="24"/>
                <w:lang w:val="en-US" w:eastAsia="zh-CN"/>
              </w:rPr>
            </w:pPr>
            <w:bookmarkStart w:id="11" w:name="_Toc47599014"/>
            <w:r>
              <w:rPr>
                <w:rFonts w:hint="eastAsia" w:cs="Times New Roman"/>
                <w:b/>
                <w:sz w:val="24"/>
                <w:lang w:val="en-US" w:eastAsia="zh-CN"/>
              </w:rPr>
              <w:t>4</w:t>
            </w:r>
            <w:r>
              <w:rPr>
                <w:rFonts w:hint="eastAsia" w:ascii="Times New Roman" w:hAnsi="Times New Roman" w:eastAsia="宋体" w:cs="Times New Roman"/>
                <w:b/>
                <w:sz w:val="24"/>
                <w:lang w:val="en-US" w:eastAsia="zh-CN"/>
              </w:rPr>
              <w:t>.2露天开采境界</w:t>
            </w:r>
            <w:bookmarkEnd w:id="11"/>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eastAsia" w:ascii="Times New Roman" w:hAnsi="Times New Roman" w:eastAsia="宋体" w:cs="Times New Roman"/>
                <w:b/>
                <w:sz w:val="24"/>
                <w:lang w:val="en-US" w:eastAsia="zh-CN"/>
              </w:rPr>
            </w:pPr>
            <w:bookmarkStart w:id="12" w:name="_Toc47599015"/>
            <w:r>
              <w:rPr>
                <w:rFonts w:hint="eastAsia" w:cs="Times New Roman"/>
                <w:b/>
                <w:sz w:val="24"/>
                <w:lang w:val="en-US" w:eastAsia="zh-CN"/>
              </w:rPr>
              <w:t>4</w:t>
            </w:r>
            <w:r>
              <w:rPr>
                <w:rFonts w:hint="eastAsia" w:ascii="Times New Roman" w:hAnsi="Times New Roman" w:eastAsia="宋体" w:cs="Times New Roman"/>
                <w:b/>
                <w:sz w:val="24"/>
                <w:lang w:val="en-US" w:eastAsia="zh-CN"/>
              </w:rPr>
              <w:t>.2.1露天开采境界确定的原则</w:t>
            </w:r>
            <w:bookmarkEnd w:id="12"/>
          </w:p>
          <w:p>
            <w:pPr>
              <w:pStyle w:val="103"/>
              <w:spacing w:line="360" w:lineRule="auto"/>
              <w:rPr>
                <w:rFonts w:hint="default" w:ascii="Times New Roman" w:hAnsi="Times New Roman" w:cs="Times New Roman"/>
                <w:szCs w:val="24"/>
              </w:rPr>
            </w:pPr>
            <w:r>
              <w:rPr>
                <w:rFonts w:hint="default" w:ascii="Times New Roman" w:hAnsi="Times New Roman" w:cs="Times New Roman"/>
                <w:szCs w:val="24"/>
              </w:rPr>
              <w:t>本次在设计开采范围内，圈定露天矿开采境界时，最大限度的减少基建投资，降低生产剥采比，并使企业获得最大的经济效益。矿山开采规模属于大型矿山，充分考虑到矿体赋存条件，设计矿体集中且最大开采深度为175m，确定露天开采境界时要确保设计开采该区域内全部矿体。</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13" w:name="_Toc47599016"/>
            <w:r>
              <w:rPr>
                <w:rFonts w:hint="eastAsia" w:cs="Times New Roman"/>
                <w:b/>
                <w:sz w:val="24"/>
                <w:lang w:val="en-US" w:eastAsia="zh-CN"/>
              </w:rPr>
              <w:t>4</w:t>
            </w:r>
            <w:r>
              <w:rPr>
                <w:rFonts w:hint="default" w:ascii="Times New Roman" w:hAnsi="Times New Roman" w:eastAsia="宋体" w:cs="Times New Roman"/>
                <w:b/>
                <w:sz w:val="24"/>
                <w:lang w:val="en-US" w:eastAsia="zh-CN"/>
              </w:rPr>
              <w:t>.2.2露天开采境界确定</w:t>
            </w:r>
            <w:bookmarkEnd w:id="13"/>
          </w:p>
          <w:p>
            <w:pPr>
              <w:pStyle w:val="69"/>
              <w:spacing w:line="360" w:lineRule="auto"/>
              <w:jc w:val="left"/>
              <w:rPr>
                <w:rFonts w:hint="default" w:ascii="Times New Roman" w:hAnsi="Times New Roman" w:cs="Times New Roman"/>
                <w:szCs w:val="21"/>
                <w:lang w:eastAsia="zh-CN"/>
              </w:rPr>
            </w:pPr>
            <w:r>
              <w:rPr>
                <w:rFonts w:hint="default" w:ascii="Times New Roman" w:hAnsi="Times New Roman" w:cs="Times New Roman"/>
                <w:szCs w:val="24"/>
              </w:rPr>
              <w:t>本方案采用露天开采，设计开采范围内开采标高</w:t>
            </w:r>
            <w:r>
              <w:rPr>
                <w:rFonts w:hint="default" w:ascii="Times New Roman" w:hAnsi="Times New Roman" w:cs="Times New Roman"/>
                <w:szCs w:val="21"/>
              </w:rPr>
              <w:t>2025m～1850m</w:t>
            </w:r>
            <w:r>
              <w:rPr>
                <w:rFonts w:hint="default" w:ascii="Times New Roman" w:hAnsi="Times New Roman" w:cs="Times New Roman"/>
                <w:szCs w:val="24"/>
              </w:rPr>
              <w:t>，顶部最终开采境界长417m，最大宽218m；底部最终开采境界长290m，最大宽139m。西侧开采标高为1940m</w:t>
            </w:r>
            <w:r>
              <w:rPr>
                <w:rFonts w:hint="default" w:ascii="Times New Roman" w:hAnsi="Times New Roman" w:cs="Times New Roman"/>
                <w:szCs w:val="21"/>
              </w:rPr>
              <w:t>～</w:t>
            </w:r>
            <w:r>
              <w:rPr>
                <w:rFonts w:hint="default" w:ascii="Times New Roman" w:hAnsi="Times New Roman" w:cs="Times New Roman"/>
                <w:szCs w:val="24"/>
              </w:rPr>
              <w:t>1850m，开采深度为90m，设计最终边坡角为56°</w:t>
            </w:r>
            <w:r>
              <w:rPr>
                <w:rFonts w:hint="default" w:ascii="Times New Roman" w:hAnsi="Times New Roman" w:cs="Times New Roman"/>
                <w:szCs w:val="21"/>
              </w:rPr>
              <w:t>～59°</w:t>
            </w:r>
            <w:r>
              <w:rPr>
                <w:rFonts w:hint="default" w:ascii="Times New Roman" w:hAnsi="Times New Roman" w:cs="Times New Roman"/>
                <w:szCs w:val="24"/>
              </w:rPr>
              <w:t>。东侧开采标高为1940m</w:t>
            </w:r>
            <w:r>
              <w:rPr>
                <w:rFonts w:hint="default" w:ascii="Times New Roman" w:hAnsi="Times New Roman" w:cs="Times New Roman"/>
                <w:szCs w:val="21"/>
              </w:rPr>
              <w:t>～</w:t>
            </w:r>
            <w:r>
              <w:rPr>
                <w:rFonts w:hint="default" w:ascii="Times New Roman" w:hAnsi="Times New Roman" w:cs="Times New Roman"/>
                <w:szCs w:val="24"/>
              </w:rPr>
              <w:t>1850m，开采深度为90m，设计最终边坡角为57°</w:t>
            </w:r>
            <w:r>
              <w:rPr>
                <w:rFonts w:hint="default" w:ascii="Times New Roman" w:hAnsi="Times New Roman" w:cs="Times New Roman"/>
                <w:szCs w:val="21"/>
              </w:rPr>
              <w:t>。北侧</w:t>
            </w:r>
            <w:r>
              <w:rPr>
                <w:rFonts w:hint="default" w:ascii="Times New Roman" w:hAnsi="Times New Roman" w:cs="Times New Roman"/>
                <w:szCs w:val="24"/>
              </w:rPr>
              <w:t>开采标高为1996m</w:t>
            </w:r>
            <w:r>
              <w:rPr>
                <w:rFonts w:hint="default" w:ascii="Times New Roman" w:hAnsi="Times New Roman" w:cs="Times New Roman"/>
                <w:szCs w:val="21"/>
              </w:rPr>
              <w:t>～</w:t>
            </w:r>
            <w:r>
              <w:rPr>
                <w:rFonts w:hint="default" w:ascii="Times New Roman" w:hAnsi="Times New Roman" w:cs="Times New Roman"/>
                <w:szCs w:val="24"/>
              </w:rPr>
              <w:t>1850m，开采深度为146m，设计最终边坡角为50°</w:t>
            </w:r>
            <w:r>
              <w:rPr>
                <w:rFonts w:hint="default" w:ascii="Times New Roman" w:hAnsi="Times New Roman" w:cs="Times New Roman"/>
                <w:szCs w:val="21"/>
              </w:rPr>
              <w:t>～51°</w:t>
            </w:r>
            <w:r>
              <w:rPr>
                <w:rFonts w:hint="default" w:ascii="Times New Roman" w:hAnsi="Times New Roman" w:cs="Times New Roman"/>
                <w:szCs w:val="24"/>
              </w:rPr>
              <w:t>。南</w:t>
            </w:r>
            <w:r>
              <w:rPr>
                <w:rFonts w:hint="default" w:ascii="Times New Roman" w:hAnsi="Times New Roman" w:cs="Times New Roman"/>
                <w:szCs w:val="21"/>
              </w:rPr>
              <w:t>侧</w:t>
            </w:r>
            <w:r>
              <w:rPr>
                <w:rFonts w:hint="default" w:ascii="Times New Roman" w:hAnsi="Times New Roman" w:cs="Times New Roman"/>
                <w:szCs w:val="24"/>
              </w:rPr>
              <w:t>开采标高为1892m</w:t>
            </w:r>
            <w:r>
              <w:rPr>
                <w:rFonts w:hint="default" w:ascii="Times New Roman" w:hAnsi="Times New Roman" w:cs="Times New Roman"/>
                <w:szCs w:val="21"/>
              </w:rPr>
              <w:t>～</w:t>
            </w:r>
            <w:r>
              <w:rPr>
                <w:rFonts w:hint="default" w:ascii="Times New Roman" w:hAnsi="Times New Roman" w:cs="Times New Roman"/>
                <w:szCs w:val="24"/>
              </w:rPr>
              <w:t>1850m，开采深度为42m，设计最终边坡角为59</w:t>
            </w:r>
            <w:r>
              <w:rPr>
                <w:rFonts w:hint="default" w:ascii="Times New Roman" w:hAnsi="Times New Roman" w:cs="Times New Roman"/>
                <w:szCs w:val="21"/>
              </w:rPr>
              <w:t>°。</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14" w:name="_Toc47599017"/>
            <w:r>
              <w:rPr>
                <w:rFonts w:hint="eastAsia" w:cs="Times New Roman"/>
                <w:b/>
                <w:sz w:val="24"/>
                <w:lang w:val="en-US" w:eastAsia="zh-CN"/>
              </w:rPr>
              <w:t>4</w:t>
            </w:r>
            <w:r>
              <w:rPr>
                <w:rFonts w:hint="eastAsia" w:ascii="Times New Roman" w:hAnsi="Times New Roman" w:eastAsia="宋体" w:cs="Times New Roman"/>
                <w:b/>
                <w:sz w:val="24"/>
                <w:lang w:val="en-US" w:eastAsia="zh-CN"/>
              </w:rPr>
              <w:t>.2</w:t>
            </w:r>
            <w:r>
              <w:rPr>
                <w:rFonts w:hint="default" w:ascii="Times New Roman" w:hAnsi="Times New Roman" w:eastAsia="宋体" w:cs="Times New Roman"/>
                <w:b/>
                <w:sz w:val="24"/>
                <w:lang w:val="en-US" w:eastAsia="zh-CN"/>
              </w:rPr>
              <w:t>.3经济合理剥采比的确定</w:t>
            </w:r>
            <w:bookmarkEnd w:id="14"/>
          </w:p>
          <w:p>
            <w:pPr>
              <w:pStyle w:val="103"/>
              <w:spacing w:line="360" w:lineRule="auto"/>
              <w:rPr>
                <w:rFonts w:hint="default" w:ascii="Times New Roman" w:hAnsi="Times New Roman" w:cs="Times New Roman"/>
                <w:szCs w:val="24"/>
              </w:rPr>
            </w:pPr>
            <w:r>
              <w:rPr>
                <w:rFonts w:hint="eastAsia" w:cs="Times New Roman"/>
                <w:kern w:val="0"/>
                <w:sz w:val="24"/>
                <w:szCs w:val="24"/>
                <w:lang w:val="zh-CN"/>
              </w:rPr>
              <w:t>（</w:t>
            </w:r>
            <w:r>
              <w:rPr>
                <w:rFonts w:hint="eastAsia" w:cs="Times New Roman"/>
                <w:kern w:val="0"/>
                <w:sz w:val="24"/>
                <w:szCs w:val="24"/>
                <w:lang w:val="en-US" w:eastAsia="zh-CN"/>
              </w:rPr>
              <w:t>1</w:t>
            </w:r>
            <w:r>
              <w:rPr>
                <w:rFonts w:hint="eastAsia" w:cs="Times New Roman"/>
                <w:kern w:val="0"/>
                <w:sz w:val="24"/>
                <w:szCs w:val="24"/>
                <w:lang w:val="zh-CN"/>
              </w:rPr>
              <w:t>）</w:t>
            </w:r>
            <w:r>
              <w:rPr>
                <w:rFonts w:hint="default" w:ascii="Times New Roman" w:hAnsi="Times New Roman" w:cs="Times New Roman"/>
                <w:szCs w:val="24"/>
              </w:rPr>
              <w:t>经济合理剥采比</w:t>
            </w:r>
          </w:p>
          <w:p>
            <w:pPr>
              <w:pStyle w:val="103"/>
              <w:spacing w:line="360" w:lineRule="auto"/>
              <w:rPr>
                <w:rFonts w:hint="default" w:ascii="Times New Roman" w:hAnsi="Times New Roman" w:cs="Times New Roman"/>
                <w:szCs w:val="24"/>
              </w:rPr>
            </w:pPr>
            <w:r>
              <w:rPr>
                <w:rFonts w:hint="default" w:ascii="Times New Roman" w:hAnsi="Times New Roman" w:cs="Times New Roman"/>
                <w:szCs w:val="24"/>
              </w:rPr>
              <w:t>根据矿体的分布特征，在实际开采过程中的剥离量较大。根据当地建筑用石料矿的市场价格，结合开挖围岩的成本等，采用露天开采的经济合理剥采比（建筑用石料矿）为1.11m</w:t>
            </w:r>
            <w:r>
              <w:rPr>
                <w:rFonts w:hint="default" w:ascii="Times New Roman" w:hAnsi="Times New Roman" w:cs="Times New Roman"/>
                <w:szCs w:val="24"/>
                <w:vertAlign w:val="superscript"/>
              </w:rPr>
              <w:t>3</w:t>
            </w:r>
            <w:r>
              <w:rPr>
                <w:rFonts w:hint="default" w:ascii="Times New Roman" w:hAnsi="Times New Roman" w:cs="Times New Roman"/>
                <w:szCs w:val="24"/>
              </w:rPr>
              <w:t>/m</w:t>
            </w:r>
            <w:r>
              <w:rPr>
                <w:rFonts w:hint="default" w:ascii="Times New Roman" w:hAnsi="Times New Roman" w:cs="Times New Roman"/>
                <w:szCs w:val="24"/>
                <w:vertAlign w:val="superscript"/>
              </w:rPr>
              <w:t>3</w:t>
            </w:r>
            <w:r>
              <w:rPr>
                <w:rFonts w:hint="default" w:ascii="Times New Roman" w:hAnsi="Times New Roman" w:cs="Times New Roman"/>
                <w:szCs w:val="24"/>
              </w:rPr>
              <w:t>。</w:t>
            </w:r>
          </w:p>
          <w:p>
            <w:pPr>
              <w:pStyle w:val="103"/>
              <w:spacing w:line="360" w:lineRule="auto"/>
              <w:rPr>
                <w:rFonts w:hint="default" w:ascii="Times New Roman" w:hAnsi="Times New Roman" w:cs="Times New Roman"/>
                <w:szCs w:val="24"/>
              </w:rPr>
            </w:pPr>
            <w:r>
              <w:rPr>
                <w:rFonts w:hint="eastAsia" w:cs="Times New Roman"/>
                <w:kern w:val="0"/>
                <w:sz w:val="24"/>
                <w:szCs w:val="24"/>
                <w:lang w:val="zh-CN"/>
              </w:rPr>
              <w:t>（</w:t>
            </w:r>
            <w:r>
              <w:rPr>
                <w:rFonts w:hint="eastAsia" w:cs="Times New Roman"/>
                <w:kern w:val="0"/>
                <w:sz w:val="24"/>
                <w:szCs w:val="24"/>
                <w:lang w:val="en-US" w:eastAsia="zh-CN"/>
              </w:rPr>
              <w:t>2</w:t>
            </w:r>
            <w:r>
              <w:rPr>
                <w:rFonts w:hint="eastAsia" w:cs="Times New Roman"/>
                <w:kern w:val="0"/>
                <w:sz w:val="24"/>
                <w:szCs w:val="24"/>
                <w:lang w:val="zh-CN"/>
              </w:rPr>
              <w:t>）</w:t>
            </w:r>
            <w:r>
              <w:rPr>
                <w:rFonts w:hint="default" w:ascii="Times New Roman" w:hAnsi="Times New Roman" w:cs="Times New Roman"/>
                <w:szCs w:val="24"/>
              </w:rPr>
              <w:t>矿山剥采比</w:t>
            </w:r>
          </w:p>
          <w:p>
            <w:pPr>
              <w:autoSpaceDE w:val="0"/>
              <w:autoSpaceDN w:val="0"/>
              <w:adjustRightInd w:val="0"/>
              <w:spacing w:line="360" w:lineRule="auto"/>
              <w:ind w:firstLine="480" w:firstLineChars="200"/>
              <w:rPr>
                <w:rFonts w:hint="default" w:ascii="Times New Roman" w:hAnsi="Times New Roman" w:cs="Times New Roman"/>
              </w:rPr>
            </w:pPr>
            <w:r>
              <w:rPr>
                <w:rFonts w:hint="default" w:ascii="Times New Roman" w:hAnsi="Times New Roman" w:cs="Times New Roman"/>
                <w:sz w:val="24"/>
                <w:szCs w:val="24"/>
              </w:rPr>
              <w:t>根据</w:t>
            </w:r>
            <w:r>
              <w:rPr>
                <w:rFonts w:hint="default" w:ascii="Times New Roman" w:hAnsi="Times New Roman" w:cs="Times New Roman"/>
                <w:kern w:val="0"/>
                <w:sz w:val="24"/>
                <w:szCs w:val="24"/>
                <w:lang w:val="zh-CN"/>
              </w:rPr>
              <w:t>计算，求得设计开采范围内剥离量9.27</w:t>
            </w:r>
            <w:r>
              <w:rPr>
                <w:rFonts w:hint="default" w:ascii="Times New Roman" w:hAnsi="Times New Roman" w:cs="Times New Roman"/>
                <w:sz w:val="24"/>
                <w:szCs w:val="24"/>
              </w:rPr>
              <w:t>×10</w:t>
            </w:r>
            <w:r>
              <w:rPr>
                <w:rFonts w:hint="default" w:ascii="Times New Roman" w:hAnsi="Times New Roman" w:cs="Times New Roman"/>
                <w:sz w:val="24"/>
                <w:szCs w:val="24"/>
                <w:vertAlign w:val="superscript"/>
              </w:rPr>
              <w:t>4</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kern w:val="0"/>
                <w:sz w:val="24"/>
                <w:szCs w:val="24"/>
                <w:lang w:val="zh-CN"/>
              </w:rPr>
              <w:t>。总剥采比为0.019:1</w:t>
            </w:r>
            <w:r>
              <w:rPr>
                <w:rFonts w:hint="default" w:ascii="Times New Roman" w:hAnsi="Times New Roman" w:cs="Times New Roman"/>
              </w:rPr>
              <w:t>。</w:t>
            </w:r>
          </w:p>
          <w:p>
            <w:pPr>
              <w:pStyle w:val="103"/>
              <w:spacing w:line="360" w:lineRule="auto"/>
              <w:jc w:val="left"/>
              <w:rPr>
                <w:rFonts w:hint="default" w:ascii="Times New Roman" w:hAnsi="Times New Roman" w:cs="Times New Roman"/>
                <w:szCs w:val="24"/>
              </w:rPr>
            </w:pPr>
            <w:r>
              <w:rPr>
                <w:rFonts w:hint="default" w:ascii="Times New Roman" w:hAnsi="Times New Roman" w:cs="Times New Roman"/>
                <w:szCs w:val="24"/>
              </w:rPr>
              <w:t>综上所述，矿区内剥采比（0.019m</w:t>
            </w:r>
            <w:r>
              <w:rPr>
                <w:rFonts w:hint="default" w:ascii="Times New Roman" w:hAnsi="Times New Roman" w:cs="Times New Roman"/>
                <w:szCs w:val="24"/>
                <w:vertAlign w:val="superscript"/>
              </w:rPr>
              <w:t>3</w:t>
            </w:r>
            <w:r>
              <w:rPr>
                <w:rFonts w:hint="default" w:ascii="Times New Roman" w:hAnsi="Times New Roman" w:cs="Times New Roman"/>
                <w:szCs w:val="24"/>
              </w:rPr>
              <w:t>/m</w:t>
            </w:r>
            <w:r>
              <w:rPr>
                <w:rFonts w:hint="default" w:ascii="Times New Roman" w:hAnsi="Times New Roman" w:cs="Times New Roman"/>
                <w:szCs w:val="24"/>
                <w:vertAlign w:val="superscript"/>
              </w:rPr>
              <w:t>3</w:t>
            </w:r>
            <w:r>
              <w:rPr>
                <w:rFonts w:hint="default" w:ascii="Times New Roman" w:hAnsi="Times New Roman" w:cs="Times New Roman"/>
                <w:szCs w:val="24"/>
              </w:rPr>
              <w:t>）小于经济合理剥采比（1.11m</w:t>
            </w:r>
            <w:r>
              <w:rPr>
                <w:rFonts w:hint="default" w:ascii="Times New Roman" w:hAnsi="Times New Roman" w:cs="Times New Roman"/>
                <w:szCs w:val="24"/>
                <w:vertAlign w:val="superscript"/>
              </w:rPr>
              <w:t>3</w:t>
            </w:r>
            <w:r>
              <w:rPr>
                <w:rFonts w:hint="default" w:ascii="Times New Roman" w:hAnsi="Times New Roman" w:cs="Times New Roman"/>
                <w:szCs w:val="24"/>
              </w:rPr>
              <w:t>/m</w:t>
            </w:r>
            <w:r>
              <w:rPr>
                <w:rFonts w:hint="default" w:ascii="Times New Roman" w:hAnsi="Times New Roman" w:cs="Times New Roman"/>
                <w:szCs w:val="24"/>
                <w:vertAlign w:val="superscript"/>
              </w:rPr>
              <w:t>3</w:t>
            </w:r>
            <w:r>
              <w:rPr>
                <w:rFonts w:hint="default" w:ascii="Times New Roman" w:hAnsi="Times New Roman" w:cs="Times New Roman"/>
                <w:szCs w:val="24"/>
              </w:rPr>
              <w:t>）。</w:t>
            </w:r>
          </w:p>
          <w:p>
            <w:pPr>
              <w:pStyle w:val="101"/>
              <w:keepNext w:val="0"/>
              <w:keepLines w:val="0"/>
              <w:pageBreakBefore w:val="0"/>
              <w:widowControl w:val="0"/>
              <w:kinsoku/>
              <w:wordWrap/>
              <w:overflowPunct/>
              <w:topLinePunct w:val="0"/>
              <w:autoSpaceDE/>
              <w:autoSpaceDN/>
              <w:bidi w:val="0"/>
              <w:adjustRightInd/>
              <w:snapToGrid/>
              <w:spacing w:before="0" w:beforeLines="0"/>
              <w:textAlignment w:val="auto"/>
              <w:rPr>
                <w:rFonts w:hint="default" w:ascii="Times New Roman" w:hAnsi="Times New Roman" w:cs="Times New Roman"/>
                <w:b/>
                <w:bCs/>
              </w:rPr>
            </w:pPr>
            <w:bookmarkStart w:id="15" w:name="_Toc47599018"/>
            <w:r>
              <w:rPr>
                <w:rFonts w:hint="eastAsia" w:ascii="Times New Roman" w:hAnsi="Times New Roman" w:cs="Times New Roman"/>
                <w:b/>
                <w:bCs/>
                <w:lang w:val="en-US" w:eastAsia="zh-CN"/>
              </w:rPr>
              <w:t>4.2.4</w:t>
            </w:r>
            <w:r>
              <w:rPr>
                <w:rFonts w:hint="default" w:ascii="Times New Roman" w:hAnsi="Times New Roman" w:cs="Times New Roman"/>
                <w:b/>
                <w:bCs/>
              </w:rPr>
              <w:t>露天境界参数</w:t>
            </w:r>
            <w:bookmarkEnd w:id="15"/>
          </w:p>
          <w:p>
            <w:pPr>
              <w:pStyle w:val="103"/>
              <w:spacing w:line="360" w:lineRule="auto"/>
              <w:jc w:val="left"/>
              <w:rPr>
                <w:rFonts w:hint="default" w:ascii="Times New Roman" w:hAnsi="Times New Roman" w:cs="Times New Roman"/>
                <w:szCs w:val="24"/>
              </w:rPr>
            </w:pPr>
            <w:r>
              <w:rPr>
                <w:rFonts w:hint="default" w:ascii="Times New Roman" w:hAnsi="Times New Roman" w:cs="Times New Roman"/>
                <w:szCs w:val="24"/>
              </w:rPr>
              <w:t>目前我国的露天开采设计中，广泛采用境界剥采比≤经济合理剥采比原则来确定境界。根据矿山的地质情况，结合矿山现有的开采技术，本次开发利用方案设计开采境界主要技术参数如下:</w:t>
            </w:r>
          </w:p>
          <w:p>
            <w:pPr>
              <w:pStyle w:val="103"/>
              <w:spacing w:line="360" w:lineRule="auto"/>
              <w:jc w:val="left"/>
              <w:rPr>
                <w:rFonts w:hint="default" w:ascii="Times New Roman" w:hAnsi="Times New Roman" w:eastAsia="宋体" w:cs="Times New Roman"/>
                <w:szCs w:val="24"/>
                <w:lang w:val="en-US" w:eastAsia="zh-CN"/>
              </w:rPr>
            </w:pPr>
            <w:r>
              <w:rPr>
                <w:rFonts w:hint="eastAsia" w:ascii="Times New Roman" w:hAnsi="Times New Roman" w:cs="Times New Roman"/>
                <w:szCs w:val="24"/>
                <w:lang w:val="en-US" w:eastAsia="zh-CN"/>
              </w:rPr>
              <w:t>（1）</w:t>
            </w:r>
            <w:r>
              <w:rPr>
                <w:rFonts w:hint="default" w:ascii="Times New Roman" w:hAnsi="Times New Roman" w:cs="Times New Roman"/>
                <w:szCs w:val="24"/>
              </w:rPr>
              <w:t>设计参数</w:t>
            </w:r>
            <w:r>
              <w:rPr>
                <w:rFonts w:hint="eastAsia" w:ascii="Times New Roman" w:hAnsi="Times New Roman" w:cs="Times New Roman"/>
                <w:szCs w:val="24"/>
                <w:lang w:val="en-US" w:eastAsia="zh-CN"/>
              </w:rPr>
              <w:t>:</w:t>
            </w:r>
          </w:p>
          <w:p>
            <w:pPr>
              <w:pStyle w:val="103"/>
              <w:spacing w:line="360" w:lineRule="auto"/>
              <w:jc w:val="left"/>
              <w:rPr>
                <w:rFonts w:hint="default" w:ascii="Times New Roman" w:hAnsi="Times New Roman" w:cs="Times New Roman"/>
                <w:szCs w:val="24"/>
              </w:rPr>
            </w:pPr>
            <w:r>
              <w:rPr>
                <w:rFonts w:hint="default" w:ascii="Times New Roman" w:hAnsi="Times New Roman" w:cs="Times New Roman"/>
                <w:sz w:val="24"/>
              </w:rPr>
              <w:t>①</w:t>
            </w:r>
            <w:r>
              <w:rPr>
                <w:rFonts w:hint="default" w:ascii="Times New Roman" w:hAnsi="Times New Roman" w:cs="Times New Roman"/>
                <w:szCs w:val="24"/>
              </w:rPr>
              <w:t>露天采场底部底宽：139m；</w:t>
            </w:r>
          </w:p>
          <w:p>
            <w:pPr>
              <w:pStyle w:val="103"/>
              <w:spacing w:line="360" w:lineRule="auto"/>
              <w:jc w:val="left"/>
              <w:rPr>
                <w:rFonts w:hint="default" w:ascii="Times New Roman" w:hAnsi="Times New Roman" w:cs="Times New Roman"/>
                <w:szCs w:val="24"/>
              </w:rPr>
            </w:pPr>
            <w:r>
              <w:rPr>
                <w:rFonts w:hint="default" w:ascii="Times New Roman" w:hAnsi="Times New Roman" w:cs="Times New Roman"/>
                <w:sz w:val="24"/>
              </w:rPr>
              <w:t>②</w:t>
            </w:r>
            <w:r>
              <w:rPr>
                <w:rFonts w:hint="default" w:ascii="Times New Roman" w:hAnsi="Times New Roman" w:cs="Times New Roman"/>
                <w:szCs w:val="24"/>
              </w:rPr>
              <w:t>工作台阶坡面角：70°；</w:t>
            </w:r>
          </w:p>
          <w:p>
            <w:pPr>
              <w:pStyle w:val="103"/>
              <w:spacing w:line="360" w:lineRule="auto"/>
              <w:jc w:val="left"/>
              <w:rPr>
                <w:rFonts w:hint="default" w:ascii="Times New Roman" w:hAnsi="Times New Roman" w:cs="Times New Roman"/>
                <w:szCs w:val="24"/>
              </w:rPr>
            </w:pPr>
            <w:r>
              <w:rPr>
                <w:rFonts w:hint="default" w:ascii="Times New Roman" w:hAnsi="Times New Roman" w:cs="Times New Roman"/>
                <w:sz w:val="24"/>
              </w:rPr>
              <w:t>③</w:t>
            </w:r>
            <w:r>
              <w:rPr>
                <w:rFonts w:hint="default" w:ascii="Times New Roman" w:hAnsi="Times New Roman" w:cs="Times New Roman"/>
                <w:szCs w:val="24"/>
              </w:rPr>
              <w:t>最终边坡角：50°</w:t>
            </w:r>
            <w:r>
              <w:rPr>
                <w:rFonts w:hint="default" w:ascii="Times New Roman" w:hAnsi="Times New Roman" w:cs="Times New Roman"/>
                <w:szCs w:val="21"/>
              </w:rPr>
              <w:t>～59°</w:t>
            </w:r>
            <w:r>
              <w:rPr>
                <w:rFonts w:hint="default" w:ascii="Times New Roman" w:hAnsi="Times New Roman" w:cs="Times New Roman"/>
                <w:szCs w:val="24"/>
              </w:rPr>
              <w:t>；</w:t>
            </w:r>
          </w:p>
          <w:p>
            <w:pPr>
              <w:pStyle w:val="103"/>
              <w:spacing w:line="360" w:lineRule="auto"/>
              <w:jc w:val="left"/>
              <w:rPr>
                <w:rFonts w:hint="default" w:ascii="Times New Roman" w:hAnsi="Times New Roman" w:cs="Times New Roman"/>
                <w:szCs w:val="24"/>
              </w:rPr>
            </w:pPr>
            <w:r>
              <w:rPr>
                <w:rFonts w:hint="default" w:ascii="Times New Roman" w:hAnsi="Times New Roman" w:cs="Times New Roman"/>
                <w:sz w:val="24"/>
              </w:rPr>
              <w:t>④</w:t>
            </w:r>
            <w:r>
              <w:rPr>
                <w:rFonts w:hint="default" w:ascii="Times New Roman" w:hAnsi="Times New Roman" w:cs="Times New Roman"/>
                <w:szCs w:val="24"/>
              </w:rPr>
              <w:t>安全平台宽度：3m；</w:t>
            </w:r>
          </w:p>
          <w:p>
            <w:pPr>
              <w:pStyle w:val="103"/>
              <w:spacing w:line="360" w:lineRule="auto"/>
              <w:jc w:val="left"/>
              <w:rPr>
                <w:rFonts w:hint="default" w:ascii="Times New Roman" w:hAnsi="Times New Roman" w:cs="Times New Roman"/>
                <w:szCs w:val="24"/>
              </w:rPr>
            </w:pPr>
            <w:r>
              <w:rPr>
                <w:rFonts w:hint="default" w:ascii="Times New Roman" w:hAnsi="Times New Roman" w:cs="Times New Roman"/>
                <w:sz w:val="24"/>
              </w:rPr>
              <w:t>⑤</w:t>
            </w:r>
            <w:r>
              <w:rPr>
                <w:rFonts w:hint="default" w:ascii="Times New Roman" w:hAnsi="Times New Roman" w:cs="Times New Roman"/>
                <w:szCs w:val="24"/>
              </w:rPr>
              <w:t>清扫平台宽度：4m；</w:t>
            </w:r>
          </w:p>
          <w:p>
            <w:pPr>
              <w:pStyle w:val="103"/>
              <w:spacing w:line="360" w:lineRule="auto"/>
              <w:jc w:val="left"/>
              <w:rPr>
                <w:rFonts w:hint="default" w:ascii="Times New Roman" w:hAnsi="Times New Roman" w:cs="Times New Roman"/>
                <w:szCs w:val="24"/>
              </w:rPr>
            </w:pPr>
            <w:r>
              <w:rPr>
                <w:rFonts w:hint="default" w:ascii="Times New Roman" w:hAnsi="Times New Roman" w:cs="Times New Roman"/>
                <w:sz w:val="24"/>
              </w:rPr>
              <w:t>⑥</w:t>
            </w:r>
            <w:r>
              <w:rPr>
                <w:rFonts w:hint="default" w:ascii="Times New Roman" w:hAnsi="Times New Roman" w:cs="Times New Roman"/>
                <w:szCs w:val="24"/>
              </w:rPr>
              <w:t>台阶一般高度：10m；</w:t>
            </w:r>
          </w:p>
          <w:p>
            <w:pPr>
              <w:pStyle w:val="103"/>
              <w:spacing w:line="360" w:lineRule="auto"/>
              <w:jc w:val="left"/>
              <w:rPr>
                <w:rFonts w:hint="default" w:ascii="Times New Roman" w:hAnsi="Times New Roman" w:cs="Times New Roman"/>
                <w:szCs w:val="24"/>
              </w:rPr>
            </w:pPr>
            <w:r>
              <w:rPr>
                <w:rFonts w:hint="default" w:ascii="Times New Roman" w:hAnsi="Times New Roman" w:cs="Times New Roman"/>
                <w:sz w:val="24"/>
              </w:rPr>
              <w:t>⑦</w:t>
            </w:r>
            <w:r>
              <w:rPr>
                <w:rFonts w:hint="default" w:ascii="Times New Roman" w:hAnsi="Times New Roman" w:cs="Times New Roman"/>
                <w:szCs w:val="24"/>
              </w:rPr>
              <w:t>接滚石平台宽度：20m；</w:t>
            </w:r>
          </w:p>
          <w:p>
            <w:pPr>
              <w:pStyle w:val="103"/>
              <w:spacing w:line="360" w:lineRule="auto"/>
              <w:jc w:val="left"/>
              <w:rPr>
                <w:rFonts w:hint="default" w:ascii="Times New Roman" w:hAnsi="Times New Roman" w:cs="Times New Roman"/>
                <w:szCs w:val="24"/>
              </w:rPr>
            </w:pPr>
            <w:r>
              <w:rPr>
                <w:rFonts w:hint="eastAsia" w:ascii="Times New Roman" w:hAnsi="Times New Roman" w:cs="Times New Roman"/>
                <w:szCs w:val="24"/>
                <w:lang w:eastAsia="zh-CN"/>
              </w:rPr>
              <w:t>⑧</w:t>
            </w:r>
            <w:r>
              <w:rPr>
                <w:rFonts w:hint="default" w:ascii="Times New Roman" w:hAnsi="Times New Roman" w:cs="Times New Roman"/>
                <w:szCs w:val="24"/>
              </w:rPr>
              <w:t>运输平台宽度：7.5m；</w:t>
            </w:r>
          </w:p>
          <w:p>
            <w:pPr>
              <w:pStyle w:val="103"/>
              <w:spacing w:line="360" w:lineRule="auto"/>
              <w:jc w:val="left"/>
              <w:rPr>
                <w:rFonts w:hint="eastAsia" w:ascii="Times New Roman" w:hAnsi="Times New Roman" w:eastAsia="宋体" w:cs="Times New Roman"/>
                <w:szCs w:val="24"/>
                <w:lang w:val="en-US" w:eastAsia="zh-CN"/>
              </w:rPr>
            </w:pPr>
            <w:r>
              <w:rPr>
                <w:rFonts w:hint="eastAsia" w:ascii="Times New Roman" w:hAnsi="Times New Roman" w:cs="Times New Roman"/>
                <w:szCs w:val="24"/>
                <w:lang w:val="en-US" w:eastAsia="zh-CN"/>
              </w:rPr>
              <w:t>（2）</w:t>
            </w:r>
            <w:r>
              <w:rPr>
                <w:rFonts w:hint="default" w:ascii="Times New Roman" w:hAnsi="Times New Roman" w:cs="Times New Roman"/>
                <w:szCs w:val="24"/>
              </w:rPr>
              <w:t>圈定境界参数</w:t>
            </w:r>
            <w:r>
              <w:rPr>
                <w:rFonts w:hint="eastAsia" w:ascii="Times New Roman" w:hAnsi="Times New Roman" w:cs="Times New Roman"/>
                <w:szCs w:val="24"/>
                <w:lang w:val="en-US" w:eastAsia="zh-CN"/>
              </w:rPr>
              <w:t>:</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rPr>
              <w:t>①</w:t>
            </w:r>
            <w:r>
              <w:rPr>
                <w:rFonts w:hint="default" w:ascii="Times New Roman" w:hAnsi="Times New Roman" w:cs="Times New Roman"/>
                <w:sz w:val="24"/>
                <w:szCs w:val="24"/>
              </w:rPr>
              <w:t>露天采场开采标高：2025m至1850m；</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其中：北侧开采标高为1996m-1850m；南侧开采标高为1892m-1850m；西侧开采标高为1940m～1850m；东侧开采标高为1940m～1850m；</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rPr>
              <w:t>②</w:t>
            </w:r>
            <w:r>
              <w:rPr>
                <w:rFonts w:hint="default" w:ascii="Times New Roman" w:hAnsi="Times New Roman" w:cs="Times New Roman"/>
                <w:sz w:val="24"/>
                <w:szCs w:val="24"/>
              </w:rPr>
              <w:t>开采终了边坡最大高度：146m；</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rPr>
              <w:t>③</w:t>
            </w:r>
            <w:r>
              <w:rPr>
                <w:rFonts w:hint="default" w:ascii="Times New Roman" w:hAnsi="Times New Roman" w:cs="Times New Roman"/>
                <w:sz w:val="24"/>
                <w:szCs w:val="24"/>
              </w:rPr>
              <w:t>露天采场顶部尺寸:417m×218m；</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rPr>
              <w:t>④</w:t>
            </w:r>
            <w:r>
              <w:rPr>
                <w:rFonts w:hint="default" w:ascii="Times New Roman" w:hAnsi="Times New Roman" w:cs="Times New Roman"/>
                <w:sz w:val="24"/>
                <w:szCs w:val="24"/>
              </w:rPr>
              <w:t>露天采场底部尺寸:290m×139m；</w:t>
            </w:r>
          </w:p>
          <w:p>
            <w:pPr>
              <w:pStyle w:val="69"/>
              <w:spacing w:line="360" w:lineRule="auto"/>
              <w:jc w:val="left"/>
              <w:rPr>
                <w:rFonts w:hint="default" w:ascii="Times New Roman" w:hAnsi="Times New Roman" w:cs="Times New Roman"/>
                <w:sz w:val="24"/>
                <w:szCs w:val="24"/>
              </w:rPr>
            </w:pPr>
            <w:r>
              <w:rPr>
                <w:rFonts w:hint="default" w:ascii="Times New Roman" w:hAnsi="Times New Roman" w:cs="Times New Roman"/>
                <w:sz w:val="24"/>
              </w:rPr>
              <w:t>⑤</w:t>
            </w:r>
            <w:r>
              <w:rPr>
                <w:rFonts w:hint="default" w:ascii="Times New Roman" w:hAnsi="Times New Roman" w:cs="Times New Roman"/>
                <w:sz w:val="24"/>
                <w:szCs w:val="24"/>
              </w:rPr>
              <w:t>最终境界的边坡角：50°-59°。</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16" w:name="_Toc47599023"/>
            <w:r>
              <w:rPr>
                <w:rFonts w:hint="eastAsia" w:cs="Times New Roman"/>
                <w:b/>
                <w:sz w:val="24"/>
                <w:lang w:val="en-US" w:eastAsia="zh-CN"/>
              </w:rPr>
              <w:t>4.</w:t>
            </w:r>
            <w:r>
              <w:rPr>
                <w:rFonts w:hint="eastAsia" w:ascii="Times New Roman" w:hAnsi="Times New Roman" w:eastAsia="宋体" w:cs="Times New Roman"/>
                <w:b/>
                <w:sz w:val="24"/>
                <w:lang w:val="en-US" w:eastAsia="zh-CN"/>
              </w:rPr>
              <w:t>3</w:t>
            </w:r>
            <w:r>
              <w:rPr>
                <w:rFonts w:hint="default" w:ascii="Times New Roman" w:hAnsi="Times New Roman" w:eastAsia="宋体" w:cs="Times New Roman"/>
                <w:b/>
                <w:sz w:val="24"/>
                <w:lang w:val="en-US" w:eastAsia="zh-CN"/>
              </w:rPr>
              <w:t>采剥工艺</w:t>
            </w:r>
            <w:bookmarkEnd w:id="16"/>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17" w:name="_Toc47599024"/>
            <w:r>
              <w:rPr>
                <w:rFonts w:hint="eastAsia" w:cs="Times New Roman"/>
                <w:b/>
                <w:sz w:val="24"/>
                <w:lang w:val="en-US" w:eastAsia="zh-CN"/>
              </w:rPr>
              <w:t>4</w:t>
            </w:r>
            <w:r>
              <w:rPr>
                <w:rFonts w:hint="eastAsia" w:ascii="Times New Roman" w:hAnsi="Times New Roman" w:eastAsia="宋体" w:cs="Times New Roman"/>
                <w:b/>
                <w:sz w:val="24"/>
                <w:lang w:val="en-US" w:eastAsia="zh-CN"/>
              </w:rPr>
              <w:t>.3.1</w:t>
            </w:r>
            <w:r>
              <w:rPr>
                <w:rFonts w:hint="default" w:ascii="Times New Roman" w:hAnsi="Times New Roman" w:eastAsia="宋体" w:cs="Times New Roman"/>
                <w:b/>
                <w:sz w:val="24"/>
                <w:lang w:val="en-US" w:eastAsia="zh-CN"/>
              </w:rPr>
              <w:t>采剥方法</w:t>
            </w:r>
            <w:bookmarkEnd w:id="17"/>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矿山开采对象为二长花岗岩，岩石坚硬，抗风化能力强，分布于整个矿区，矿体中基本无夹石。因此，该矿山适于采用露天开采，故设计确定的开采方法为露天开采。</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根据国家《小型露天采石场安全管理与监督检查规定》和矿山开采实际，设计该矿区采用自上而下台阶式开采。设计以标高+2020m为首采台阶，自上而下依次开采。</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采矿工作面构成要素如下：</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设计台阶高度：10m；</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工作台阶坡面角：70°；</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最小工作平台宽度：26.5m；</w:t>
            </w:r>
          </w:p>
          <w:p>
            <w:pPr>
              <w:pStyle w:val="103"/>
              <w:spacing w:line="360" w:lineRule="auto"/>
              <w:jc w:val="left"/>
              <w:rPr>
                <w:rFonts w:hint="default" w:ascii="Times New Roman" w:hAnsi="Times New Roman" w:cs="Times New Roman"/>
                <w:sz w:val="24"/>
                <w:szCs w:val="24"/>
              </w:rPr>
            </w:pPr>
            <w:r>
              <w:rPr>
                <w:rFonts w:hint="default" w:ascii="Times New Roman" w:hAnsi="Times New Roman" w:cs="Times New Roman"/>
                <w:sz w:val="24"/>
                <w:szCs w:val="24"/>
              </w:rPr>
              <w:t>最小工作平台长度：66.4m。</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18" w:name="_Toc47599025"/>
            <w:r>
              <w:rPr>
                <w:rFonts w:hint="eastAsia" w:cs="Times New Roman"/>
                <w:b/>
                <w:sz w:val="24"/>
                <w:lang w:val="en-US" w:eastAsia="zh-CN"/>
              </w:rPr>
              <w:t>4</w:t>
            </w:r>
            <w:r>
              <w:rPr>
                <w:rFonts w:hint="eastAsia" w:ascii="Times New Roman" w:hAnsi="Times New Roman" w:eastAsia="宋体" w:cs="Times New Roman"/>
                <w:b/>
                <w:sz w:val="24"/>
                <w:lang w:val="en-US" w:eastAsia="zh-CN"/>
              </w:rPr>
              <w:t>.3</w:t>
            </w:r>
            <w:r>
              <w:rPr>
                <w:rFonts w:hint="default" w:ascii="Times New Roman" w:hAnsi="Times New Roman" w:eastAsia="宋体" w:cs="Times New Roman"/>
                <w:b/>
                <w:sz w:val="24"/>
                <w:lang w:val="en-US" w:eastAsia="zh-CN"/>
              </w:rPr>
              <w:t>.2 矿山开采工艺</w:t>
            </w:r>
            <w:bookmarkEnd w:id="18"/>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矿山开采主要工艺过程为：</w:t>
            </w:r>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穿孔——爆破——铲装——运输——破碎——筛选分级——外运销售。</w:t>
            </w:r>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工艺过程简述如下：</w:t>
            </w:r>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采用小型潜孔钻机穿孔，中-深孔多排微差爆破法进行矿石开采。对爆堆中的300mm以上的大块矿石，采用与挖掘机配套的破碎锤进行破碎；300mm以下的矿石采用挖掘机将矿石装入自卸汽车运至破碎站卸料平台。 </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19" w:name="_Toc47599026"/>
            <w:r>
              <w:rPr>
                <w:rFonts w:hint="eastAsia" w:cs="Times New Roman"/>
                <w:b/>
                <w:sz w:val="24"/>
                <w:lang w:val="en-US" w:eastAsia="zh-CN"/>
              </w:rPr>
              <w:t>4</w:t>
            </w:r>
            <w:r>
              <w:rPr>
                <w:rFonts w:hint="eastAsia" w:ascii="Times New Roman" w:hAnsi="Times New Roman" w:eastAsia="宋体" w:cs="Times New Roman"/>
                <w:b/>
                <w:sz w:val="24"/>
                <w:lang w:val="en-US" w:eastAsia="zh-CN"/>
              </w:rPr>
              <w:t>.3.3</w:t>
            </w:r>
            <w:r>
              <w:rPr>
                <w:rFonts w:hint="default" w:ascii="Times New Roman" w:hAnsi="Times New Roman" w:eastAsia="宋体" w:cs="Times New Roman"/>
                <w:b/>
                <w:sz w:val="24"/>
                <w:lang w:val="en-US" w:eastAsia="zh-CN"/>
              </w:rPr>
              <w:t>露天采场开采要素</w:t>
            </w:r>
            <w:bookmarkEnd w:id="19"/>
          </w:p>
          <w:p>
            <w:pPr>
              <w:pStyle w:val="69"/>
              <w:spacing w:line="360" w:lineRule="auto"/>
              <w:rPr>
                <w:rFonts w:hint="default" w:ascii="Times New Roman" w:hAnsi="Times New Roman" w:cs="Times New Roman"/>
                <w:sz w:val="24"/>
                <w:szCs w:val="24"/>
              </w:rPr>
            </w:pPr>
            <w:r>
              <w:rPr>
                <w:rFonts w:hint="eastAsia" w:ascii="Times New Roman" w:hAnsi="Times New Roman" w:cs="Times New Roman"/>
                <w:szCs w:val="24"/>
                <w:lang w:val="en-US" w:eastAsia="zh-CN"/>
              </w:rPr>
              <w:t>（1）</w:t>
            </w:r>
            <w:r>
              <w:rPr>
                <w:rFonts w:hint="default" w:ascii="Times New Roman" w:hAnsi="Times New Roman" w:cs="Times New Roman"/>
                <w:sz w:val="24"/>
                <w:szCs w:val="24"/>
              </w:rPr>
              <w:t>开采台阶的确定</w:t>
            </w:r>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该矿山属于露天开采矿山，设计的开采深度为2025m-1850m，最大开采深度为175m，根据《小型露天采石场安全管理与监督检查规定》和《金属非金属露天矿山安全规程》，在标高2025m-2000m区间内，首先进行开采，设计矿山台阶高度为10m。矿山可分为15级台阶开采，即：1990m（10m）、1980（10m）、1970（10m）、1960（10m）、1950（10m）、1940（10m）、1930（10m）、1920m（10m）、1910m（10m）、1900m（10m）、1890m（10m）、1880m（10m）、1870m（10m）、1860m（10m）、1850m（10m）台阶。</w:t>
            </w:r>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最终开采境界台阶高度均为10m，台阶坡面角70°。每个台阶开采结束后留设安全平台，其宽度为3m，每间隔2个安全平台留设一个清扫平台，其宽度4m。在北侧1920m台阶留设一个接滚石平台，其宽度20m。</w:t>
            </w:r>
          </w:p>
          <w:p>
            <w:pPr>
              <w:pStyle w:val="69"/>
              <w:spacing w:line="360" w:lineRule="auto"/>
              <w:jc w:val="left"/>
              <w:rPr>
                <w:rFonts w:hint="default" w:ascii="Times New Roman" w:hAnsi="Times New Roman" w:cs="Times New Roman"/>
                <w:sz w:val="24"/>
                <w:szCs w:val="24"/>
              </w:rPr>
            </w:pPr>
            <w:r>
              <w:rPr>
                <w:rFonts w:hint="eastAsia" w:ascii="Times New Roman" w:hAnsi="Times New Roman" w:cs="Times New Roman"/>
                <w:szCs w:val="24"/>
                <w:lang w:val="en-US" w:eastAsia="zh-CN"/>
              </w:rPr>
              <w:t>（2）</w:t>
            </w:r>
            <w:r>
              <w:rPr>
                <w:rFonts w:hint="default" w:ascii="Times New Roman" w:hAnsi="Times New Roman" w:cs="Times New Roman"/>
                <w:sz w:val="24"/>
                <w:szCs w:val="24"/>
              </w:rPr>
              <w:t>最终边坡角确定</w:t>
            </w:r>
          </w:p>
          <w:p>
            <w:pPr>
              <w:numPr>
                <w:ilvl w:val="0"/>
                <w:numId w:val="0"/>
              </w:num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该矿山开采深度为</w:t>
            </w:r>
            <w:r>
              <w:rPr>
                <w:rFonts w:hint="default" w:ascii="Times New Roman" w:hAnsi="Times New Roman" w:cs="Times New Roman"/>
                <w:spacing w:val="5"/>
                <w:sz w:val="24"/>
                <w:szCs w:val="24"/>
              </w:rPr>
              <w:t>2025m</w:t>
            </w:r>
            <w:r>
              <w:rPr>
                <w:rFonts w:hint="default" w:ascii="Times New Roman" w:hAnsi="Times New Roman" w:cs="Times New Roman"/>
                <w:sz w:val="24"/>
                <w:szCs w:val="24"/>
              </w:rPr>
              <w:t>至</w:t>
            </w:r>
            <w:r>
              <w:rPr>
                <w:rFonts w:hint="default" w:ascii="Times New Roman" w:hAnsi="Times New Roman" w:cs="Times New Roman"/>
                <w:spacing w:val="5"/>
                <w:sz w:val="24"/>
                <w:szCs w:val="24"/>
              </w:rPr>
              <w:t>1850m</w:t>
            </w:r>
            <w:r>
              <w:rPr>
                <w:rFonts w:hint="default" w:ascii="Times New Roman" w:hAnsi="Times New Roman" w:cs="Times New Roman"/>
                <w:sz w:val="24"/>
                <w:szCs w:val="24"/>
              </w:rPr>
              <w:t>标高,最大开采深度为175m。本次设计根据岩石力学实验检测结果（见表5-1）岩石平均抗压强度为97.08</w:t>
            </w:r>
            <w:r>
              <w:rPr>
                <w:rFonts w:hint="default" w:ascii="Times New Roman" w:hAnsi="Times New Roman" w:cs="Times New Roman"/>
                <w:kern w:val="0"/>
                <w:sz w:val="24"/>
                <w:szCs w:val="24"/>
              </w:rPr>
              <w:t>MPa</w:t>
            </w:r>
            <w:r>
              <w:rPr>
                <w:rFonts w:hint="default" w:ascii="Times New Roman" w:hAnsi="Times New Roman" w:cs="Times New Roman"/>
                <w:sz w:val="24"/>
                <w:szCs w:val="24"/>
              </w:rPr>
              <w:t>，根据岩石坚硬程度分类标准（见表5-2）岩石等级为坚硬。又参照其他类似矿山经验，采用类比法，根据矿山实际情况，本矿山采场最终边坡角参照露天采矿设计技术规定（见表5-3）及</w:t>
            </w:r>
            <w:r>
              <w:rPr>
                <w:rFonts w:hint="default" w:ascii="Times New Roman" w:hAnsi="Times New Roman" w:cs="Times New Roman"/>
                <w:spacing w:val="8"/>
                <w:sz w:val="24"/>
                <w:szCs w:val="24"/>
              </w:rPr>
              <w:t>《矿产地质勘查规范-建筑用石料》DZ/T0341-2020</w:t>
            </w:r>
            <w:r>
              <w:rPr>
                <w:rFonts w:hint="default" w:ascii="Times New Roman" w:hAnsi="Times New Roman" w:cs="Times New Roman"/>
                <w:kern w:val="0"/>
                <w:sz w:val="24"/>
                <w:szCs w:val="24"/>
                <w:lang w:val="zh-CN"/>
              </w:rPr>
              <w:t>规范</w:t>
            </w:r>
            <w:r>
              <w:rPr>
                <w:rFonts w:hint="default" w:ascii="Times New Roman" w:hAnsi="Times New Roman" w:cs="Times New Roman"/>
                <w:sz w:val="24"/>
                <w:szCs w:val="24"/>
              </w:rPr>
              <w:t>，确定的最终边坡角为50°～59°，台阶坡面角70°；</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20" w:name="_Toc47599027"/>
            <w:r>
              <w:rPr>
                <w:rFonts w:hint="eastAsia" w:cs="Times New Roman"/>
                <w:b/>
                <w:sz w:val="24"/>
                <w:lang w:val="en-US" w:eastAsia="zh-CN"/>
              </w:rPr>
              <w:t>4</w:t>
            </w:r>
            <w:r>
              <w:rPr>
                <w:rFonts w:hint="eastAsia" w:ascii="Times New Roman" w:hAnsi="Times New Roman" w:eastAsia="宋体" w:cs="Times New Roman"/>
                <w:b/>
                <w:sz w:val="24"/>
                <w:lang w:val="en-US" w:eastAsia="zh-CN"/>
              </w:rPr>
              <w:t>.3.4</w:t>
            </w:r>
            <w:r>
              <w:rPr>
                <w:rFonts w:hint="default" w:ascii="Times New Roman" w:hAnsi="Times New Roman" w:eastAsia="宋体" w:cs="Times New Roman"/>
                <w:b/>
                <w:sz w:val="24"/>
                <w:lang w:val="en-US" w:eastAsia="zh-CN"/>
              </w:rPr>
              <w:t>穿孔作业</w:t>
            </w:r>
            <w:bookmarkEnd w:id="20"/>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矿山需要穿孔设备的数量取决于钻机效率及其工作制度，依据矿山生产规模、矿体形态、矿区地形地质条件，以及矿石特点，设计选用KQ150型潜孔钻机穿孔，钻孔直径150mm，钻孔深度11.5m，钻孔倾角70°。</w:t>
            </w:r>
          </w:p>
          <w:p>
            <w:pPr>
              <w:pStyle w:val="12"/>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482" w:firstLineChars="200"/>
              <w:jc w:val="both"/>
              <w:textAlignment w:val="auto"/>
              <w:rPr>
                <w:rFonts w:hint="default" w:ascii="Times New Roman" w:hAnsi="Times New Roman" w:eastAsia="宋体" w:cs="Times New Roman"/>
                <w:b/>
                <w:sz w:val="24"/>
                <w:lang w:val="en-US" w:eastAsia="zh-CN"/>
              </w:rPr>
            </w:pPr>
            <w:bookmarkStart w:id="21" w:name="_Toc47599028"/>
            <w:r>
              <w:rPr>
                <w:rFonts w:hint="eastAsia" w:cs="Times New Roman"/>
                <w:b/>
                <w:sz w:val="24"/>
                <w:lang w:val="en-US" w:eastAsia="zh-CN"/>
              </w:rPr>
              <w:t>4</w:t>
            </w:r>
            <w:r>
              <w:rPr>
                <w:rFonts w:hint="eastAsia" w:ascii="Times New Roman" w:hAnsi="Times New Roman" w:eastAsia="宋体" w:cs="Times New Roman"/>
                <w:b/>
                <w:sz w:val="24"/>
                <w:lang w:val="en-US" w:eastAsia="zh-CN"/>
              </w:rPr>
              <w:t>.3.5</w:t>
            </w:r>
            <w:r>
              <w:rPr>
                <w:rFonts w:hint="default" w:ascii="Times New Roman" w:hAnsi="Times New Roman" w:eastAsia="宋体" w:cs="Times New Roman"/>
                <w:b/>
                <w:sz w:val="24"/>
                <w:lang w:val="en-US" w:eastAsia="zh-CN"/>
              </w:rPr>
              <w:t xml:space="preserve"> 爆破方案</w:t>
            </w:r>
            <w:bookmarkEnd w:id="21"/>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该矿山二长花岗岩属中等以上坚硬岩石，其矿石体重为2.68t/m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设计采用自上而下台阶式开采，多排孔微差爆破方法，可提高矿石的破碎效果，使地震波相互叠加，降低地震波的危害程度，爆破后进行铲运清碴。穿孔设备采用孔径为150mm的潜孔钻机。起爆方法采用瞬发电雷管和毫秒延期导爆管雷管起爆系统。为确保安全，每次爆破总装药量不超过2000kg，总炮孔数在50孔以下，总排数最多5排。</w:t>
            </w:r>
          </w:p>
          <w:p>
            <w:pPr>
              <w:pStyle w:val="69"/>
              <w:spacing w:line="360" w:lineRule="auto"/>
              <w:rPr>
                <w:rFonts w:hint="default" w:ascii="Times New Roman" w:hAnsi="Times New Roman" w:cs="Times New Roman"/>
                <w:sz w:val="24"/>
                <w:szCs w:val="24"/>
              </w:rPr>
            </w:pPr>
            <w:r>
              <w:rPr>
                <w:rFonts w:hint="eastAsia" w:ascii="Times New Roman" w:hAnsi="Times New Roman" w:cs="Times New Roman"/>
                <w:szCs w:val="24"/>
                <w:lang w:val="en-US" w:eastAsia="zh-CN"/>
              </w:rPr>
              <w:t>（1）</w:t>
            </w:r>
            <w:r>
              <w:rPr>
                <w:rFonts w:hint="default" w:ascii="Times New Roman" w:hAnsi="Times New Roman" w:cs="Times New Roman"/>
                <w:sz w:val="24"/>
                <w:szCs w:val="24"/>
              </w:rPr>
              <w:t>爆破方案选择</w:t>
            </w:r>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根据（安监总管一[2007]85号）《关于在中小型露天采石场推广中深孔爆破开采技术的指导意见》和（甘安监管一[2007]108号）《关于在全省中小型露天采石场推广中深孔爆破开采技术的通知》的精神，在今后矿石开采生产中应实施中深孔爆破技术开采。因此，本次设计推荐优先使用中深孔爆破开采技术。</w:t>
            </w:r>
          </w:p>
          <w:p>
            <w:pPr>
              <w:pStyle w:val="69"/>
              <w:spacing w:line="360" w:lineRule="auto"/>
              <w:rPr>
                <w:rFonts w:hint="default" w:ascii="Times New Roman" w:hAnsi="Times New Roman" w:cs="Times New Roman"/>
                <w:sz w:val="24"/>
                <w:szCs w:val="24"/>
              </w:rPr>
            </w:pPr>
            <w:r>
              <w:rPr>
                <w:rFonts w:hint="eastAsia" w:ascii="Times New Roman" w:hAnsi="Times New Roman" w:cs="Times New Roman"/>
                <w:szCs w:val="24"/>
                <w:lang w:val="en-US" w:eastAsia="zh-CN"/>
              </w:rPr>
              <w:t>（2）</w:t>
            </w:r>
            <w:r>
              <w:rPr>
                <w:rFonts w:hint="default" w:ascii="Times New Roman" w:hAnsi="Times New Roman" w:cs="Times New Roman"/>
                <w:sz w:val="24"/>
                <w:szCs w:val="24"/>
              </w:rPr>
              <w:t>爆破规模</w:t>
            </w:r>
          </w:p>
          <w:p>
            <w:pPr>
              <w:pStyle w:val="69"/>
              <w:spacing w:line="360" w:lineRule="auto"/>
              <w:jc w:val="left"/>
              <w:rPr>
                <w:rFonts w:hint="default" w:ascii="Times New Roman" w:hAnsi="Times New Roman" w:cs="Times New Roman"/>
                <w:bCs/>
                <w:sz w:val="24"/>
                <w:szCs w:val="24"/>
              </w:rPr>
            </w:pPr>
            <w:r>
              <w:rPr>
                <w:rFonts w:hint="default" w:ascii="Times New Roman" w:hAnsi="Times New Roman" w:cs="Times New Roman"/>
                <w:bCs/>
                <w:sz w:val="24"/>
                <w:szCs w:val="24"/>
              </w:rPr>
              <w:t>本矿山爆破作业委托当地具有相关资质的专业爆破公司承担，爆破材料的购买、运输、储存等由爆破公司负责。</w:t>
            </w:r>
          </w:p>
          <w:p>
            <w:pPr>
              <w:pStyle w:val="69"/>
              <w:spacing w:line="360" w:lineRule="auto"/>
              <w:jc w:val="left"/>
              <w:rPr>
                <w:rFonts w:hint="default"/>
                <w:lang w:val="en-US" w:eastAsia="zh-CN"/>
              </w:rPr>
            </w:pPr>
            <w:r>
              <w:rPr>
                <w:rFonts w:hint="default" w:ascii="Times New Roman" w:hAnsi="Times New Roman" w:cs="Times New Roman"/>
                <w:bCs/>
                <w:sz w:val="24"/>
                <w:szCs w:val="24"/>
              </w:rPr>
              <w:t>矿山年生产规模为80×10</w:t>
            </w:r>
            <w:r>
              <w:rPr>
                <w:rFonts w:hint="default" w:ascii="Times New Roman" w:hAnsi="Times New Roman" w:cs="Times New Roman"/>
                <w:bCs/>
                <w:sz w:val="24"/>
                <w:szCs w:val="24"/>
                <w:vertAlign w:val="superscript"/>
              </w:rPr>
              <w:t>4</w:t>
            </w:r>
            <w:r>
              <w:rPr>
                <w:rFonts w:hint="default" w:ascii="Times New Roman" w:hAnsi="Times New Roman" w:cs="Times New Roman"/>
                <w:bCs/>
                <w:sz w:val="24"/>
                <w:szCs w:val="24"/>
              </w:rPr>
              <w:t>m</w:t>
            </w:r>
            <w:r>
              <w:rPr>
                <w:rFonts w:hint="default" w:ascii="Times New Roman" w:hAnsi="Times New Roman" w:cs="Times New Roman"/>
                <w:bCs/>
                <w:sz w:val="24"/>
                <w:szCs w:val="24"/>
                <w:vertAlign w:val="superscript"/>
              </w:rPr>
              <w:t>3</w:t>
            </w:r>
            <w:r>
              <w:rPr>
                <w:rFonts w:hint="default" w:ascii="Times New Roman" w:hAnsi="Times New Roman" w:cs="Times New Roman"/>
                <w:bCs/>
                <w:sz w:val="24"/>
                <w:szCs w:val="24"/>
              </w:rPr>
              <w:t>，年爆破矿石量80×10</w:t>
            </w:r>
            <w:r>
              <w:rPr>
                <w:rFonts w:hint="default" w:ascii="Times New Roman" w:hAnsi="Times New Roman" w:cs="Times New Roman"/>
                <w:bCs/>
                <w:sz w:val="24"/>
                <w:szCs w:val="24"/>
                <w:vertAlign w:val="superscript"/>
              </w:rPr>
              <w:t>4</w:t>
            </w:r>
            <w:r>
              <w:rPr>
                <w:rFonts w:hint="default" w:ascii="Times New Roman" w:hAnsi="Times New Roman" w:cs="Times New Roman"/>
                <w:bCs/>
                <w:sz w:val="24"/>
                <w:szCs w:val="24"/>
              </w:rPr>
              <w:t>m</w:t>
            </w:r>
            <w:r>
              <w:rPr>
                <w:rFonts w:hint="default" w:ascii="Times New Roman" w:hAnsi="Times New Roman" w:cs="Times New Roman"/>
                <w:bCs/>
                <w:sz w:val="24"/>
                <w:szCs w:val="24"/>
                <w:vertAlign w:val="superscript"/>
              </w:rPr>
              <w:t>3</w:t>
            </w:r>
            <w:r>
              <w:rPr>
                <w:rFonts w:hint="default" w:ascii="Times New Roman" w:hAnsi="Times New Roman" w:cs="Times New Roman"/>
                <w:bCs/>
                <w:sz w:val="24"/>
                <w:szCs w:val="24"/>
              </w:rPr>
              <w:t>，年工作天数</w:t>
            </w:r>
            <w:r>
              <w:rPr>
                <w:rFonts w:hint="eastAsia" w:cs="Times New Roman"/>
                <w:bCs/>
                <w:sz w:val="24"/>
                <w:szCs w:val="24"/>
                <w:highlight w:val="none"/>
                <w:lang w:val="en-US" w:eastAsia="zh-CN"/>
              </w:rPr>
              <w:t>300</w:t>
            </w:r>
            <w:r>
              <w:rPr>
                <w:rFonts w:hint="default" w:ascii="Times New Roman" w:hAnsi="Times New Roman" w:cs="Times New Roman"/>
                <w:bCs/>
                <w:sz w:val="24"/>
                <w:szCs w:val="24"/>
                <w:highlight w:val="none"/>
              </w:rPr>
              <w:t>天</w:t>
            </w:r>
            <w:r>
              <w:rPr>
                <w:rFonts w:hint="default" w:ascii="Times New Roman" w:hAnsi="Times New Roman" w:cs="Times New Roman"/>
                <w:bCs/>
                <w:sz w:val="24"/>
                <w:szCs w:val="24"/>
              </w:rPr>
              <w:t>，爆破作业拟每月集中进行一次。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color w:val="000000"/>
                <w:sz w:val="24"/>
                <w:lang w:val="en-US" w:eastAsia="zh-CN"/>
              </w:rPr>
            </w:pPr>
            <w:r>
              <w:rPr>
                <w:rFonts w:hint="eastAsia" w:cs="Times New Roman"/>
                <w:b/>
                <w:color w:val="000000"/>
                <w:sz w:val="24"/>
                <w:lang w:val="en-US" w:eastAsia="zh-CN"/>
              </w:rPr>
              <w:t>5</w:t>
            </w:r>
            <w:r>
              <w:rPr>
                <w:rFonts w:hint="default" w:ascii="Times New Roman" w:hAnsi="Times New Roman" w:eastAsia="宋体" w:cs="Times New Roman"/>
                <w:b/>
                <w:color w:val="000000"/>
                <w:sz w:val="24"/>
                <w:lang w:val="en-US" w:eastAsia="zh-CN"/>
              </w:rPr>
              <w:t>.</w:t>
            </w:r>
            <w:r>
              <w:rPr>
                <w:rFonts w:hint="eastAsia" w:ascii="Times New Roman" w:hAnsi="Times New Roman" w:eastAsia="宋体" w:cs="Times New Roman"/>
                <w:b/>
                <w:color w:val="000000"/>
                <w:sz w:val="24"/>
                <w:lang w:val="en-US" w:eastAsia="zh-CN"/>
              </w:rPr>
              <w:t>开采规模及产品方案</w:t>
            </w:r>
          </w:p>
          <w:p>
            <w:pPr>
              <w:spacing w:line="360" w:lineRule="auto"/>
              <w:ind w:firstLine="480" w:firstLineChars="200"/>
              <w:rPr>
                <w:rFonts w:hint="eastAsia" w:eastAsia="宋体"/>
                <w:color w:val="000000" w:themeColor="text1"/>
                <w:sz w:val="24"/>
                <w:szCs w:val="24"/>
                <w:lang w:eastAsia="zh-CN"/>
                <w14:textFill>
                  <w14:solidFill>
                    <w14:schemeClr w14:val="tx1"/>
                  </w14:solidFill>
                </w14:textFill>
              </w:rPr>
            </w:pPr>
            <w:r>
              <w:rPr>
                <w:rFonts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1</w:t>
            </w:r>
            <w:r>
              <w:rPr>
                <w:rFonts w:hAnsi="宋体"/>
                <w:color w:val="000000" w:themeColor="text1"/>
                <w:sz w:val="24"/>
                <w:szCs w:val="24"/>
                <w14:textFill>
                  <w14:solidFill>
                    <w14:schemeClr w14:val="tx1"/>
                  </w14:solidFill>
                </w14:textFill>
              </w:rPr>
              <w:t>）开采量为</w:t>
            </w:r>
            <w:r>
              <w:rPr>
                <w:rFonts w:hint="eastAsia"/>
                <w:color w:val="000000" w:themeColor="text1"/>
                <w:sz w:val="24"/>
                <w:szCs w:val="24"/>
                <w:lang w:val="en-US" w:eastAsia="zh-CN"/>
                <w14:textFill>
                  <w14:solidFill>
                    <w14:schemeClr w14:val="tx1"/>
                  </w14:solidFill>
                </w14:textFill>
              </w:rPr>
              <w:t>80</w:t>
            </w:r>
            <w:r>
              <w:rPr>
                <w:rFonts w:hAnsi="宋体"/>
                <w:color w:val="000000" w:themeColor="text1"/>
                <w:sz w:val="24"/>
                <w:szCs w:val="24"/>
                <w14:textFill>
                  <w14:solidFill>
                    <w14:schemeClr w14:val="tx1"/>
                  </w14:solidFill>
                </w14:textFill>
              </w:rPr>
              <w:t>万</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/a</w:t>
            </w:r>
            <w:r>
              <w:rPr>
                <w:rFonts w:hAnsi="宋体"/>
                <w:color w:val="000000" w:themeColor="text1"/>
                <w:sz w:val="24"/>
                <w:szCs w:val="24"/>
                <w14:textFill>
                  <w14:solidFill>
                    <w14:schemeClr w14:val="tx1"/>
                  </w14:solidFill>
                </w14:textFill>
              </w:rPr>
              <w:t>。采取露天开采方式，开采深度为</w:t>
            </w:r>
            <w:r>
              <w:rPr>
                <w:rFonts w:hint="eastAsia"/>
                <w:color w:val="000000" w:themeColor="text1"/>
                <w:sz w:val="24"/>
                <w:szCs w:val="24"/>
                <w14:textFill>
                  <w14:solidFill>
                    <w14:schemeClr w14:val="tx1"/>
                  </w14:solidFill>
                </w14:textFill>
              </w:rPr>
              <w:t>1</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m</w:t>
            </w:r>
            <w:r>
              <w:rPr>
                <w:rFonts w:hint="eastAsia"/>
                <w:color w:val="000000" w:themeColor="text1"/>
                <w:sz w:val="24"/>
                <w:szCs w:val="24"/>
                <w:lang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开采标高：2025m-1850m</w:t>
            </w:r>
            <w:r>
              <w:rPr>
                <w:rFonts w:hint="eastAsia" w:ascii="Times New Roman" w:hAnsi="Times New Roman" w:cs="Times New Roman"/>
                <w:color w:val="000000" w:themeColor="text1"/>
                <w:sz w:val="24"/>
                <w:szCs w:val="24"/>
                <w:lang w:eastAsia="zh-CN"/>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Ansi="宋体"/>
                <w:color w:val="000000" w:themeColor="text1"/>
                <w:sz w:val="24"/>
                <w14:textFill>
                  <w14:solidFill>
                    <w14:schemeClr w14:val="tx1"/>
                  </w14:solidFill>
                </w14:textFill>
              </w:rPr>
              <w:t>）产品方案一览表见表</w:t>
            </w:r>
            <w:r>
              <w:rPr>
                <w:rFonts w:hint="eastAsia"/>
                <w:color w:val="000000" w:themeColor="text1"/>
                <w:sz w:val="24"/>
                <w:lang w:val="en-US" w:eastAsia="zh-CN"/>
                <w14:textFill>
                  <w14:solidFill>
                    <w14:schemeClr w14:val="tx1"/>
                  </w14:solidFill>
                </w14:textFill>
              </w:rPr>
              <w:t>2-4</w:t>
            </w:r>
            <w:r>
              <w:rPr>
                <w:rFonts w:hAnsi="宋体"/>
                <w:color w:val="000000" w:themeColor="text1"/>
                <w:sz w:val="24"/>
                <w14:textFill>
                  <w14:solidFill>
                    <w14:schemeClr w14:val="tx1"/>
                  </w14:solidFill>
                </w14:textFill>
              </w:rPr>
              <w:t>。</w:t>
            </w:r>
          </w:p>
          <w:p>
            <w:pPr>
              <w:spacing w:line="336" w:lineRule="auto"/>
              <w:ind w:firstLine="482" w:firstLineChars="200"/>
              <w:jc w:val="center"/>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表</w:t>
            </w:r>
            <w:r>
              <w:rPr>
                <w:rFonts w:hint="eastAsia" w:hAnsi="宋体"/>
                <w:b/>
                <w:color w:val="000000" w:themeColor="text1"/>
                <w:sz w:val="24"/>
                <w:lang w:val="en-US" w:eastAsia="zh-CN"/>
                <w14:textFill>
                  <w14:solidFill>
                    <w14:schemeClr w14:val="tx1"/>
                  </w14:solidFill>
                </w14:textFill>
              </w:rPr>
              <w:t>2-4</w:t>
            </w:r>
            <w:r>
              <w:rPr>
                <w:rFonts w:hAnsi="宋体"/>
                <w:b/>
                <w:color w:val="000000" w:themeColor="text1"/>
                <w:sz w:val="24"/>
                <w14:textFill>
                  <w14:solidFill>
                    <w14:schemeClr w14:val="tx1"/>
                  </w14:solidFill>
                </w14:textFill>
              </w:rPr>
              <w:t xml:space="preserve">           产品方案一览表</w:t>
            </w:r>
          </w:p>
          <w:tbl>
            <w:tblPr>
              <w:tblStyle w:val="28"/>
              <w:tblW w:w="498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68"/>
              <w:gridCol w:w="2068"/>
              <w:gridCol w:w="2657"/>
              <w:gridCol w:w="14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125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产品</w:t>
                  </w:r>
                </w:p>
              </w:tc>
              <w:tc>
                <w:tcPr>
                  <w:tcW w:w="125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产品直径</w:t>
                  </w:r>
                </w:p>
              </w:tc>
              <w:tc>
                <w:tcPr>
                  <w:tcW w:w="1606"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产量（</w:t>
                  </w:r>
                  <w:r>
                    <w:rPr>
                      <w:rFonts w:hint="eastAsia"/>
                      <w:color w:val="000000" w:themeColor="text1"/>
                      <w:szCs w:val="21"/>
                      <w:highlight w:val="none"/>
                      <w14:textFill>
                        <w14:solidFill>
                          <w14:schemeClr w14:val="tx1"/>
                        </w14:solidFill>
                      </w14:textFill>
                    </w:rPr>
                    <w:t>m</w:t>
                  </w:r>
                  <w:r>
                    <w:rPr>
                      <w:rFonts w:hint="eastAsia"/>
                      <w:color w:val="000000" w:themeColor="text1"/>
                      <w:szCs w:val="21"/>
                      <w:highlight w:val="none"/>
                      <w:vertAlign w:val="superscript"/>
                      <w14:textFill>
                        <w14:solidFill>
                          <w14:schemeClr w14:val="tx1"/>
                        </w14:solidFill>
                      </w14:textFill>
                    </w:rPr>
                    <w:t>3</w:t>
                  </w:r>
                  <w:r>
                    <w:rPr>
                      <w:color w:val="000000" w:themeColor="text1"/>
                      <w:szCs w:val="21"/>
                      <w:highlight w:val="none"/>
                      <w14:textFill>
                        <w14:solidFill>
                          <w14:schemeClr w14:val="tx1"/>
                        </w14:solidFill>
                      </w14:textFill>
                    </w:rPr>
                    <w:t>/a）</w:t>
                  </w:r>
                </w:p>
              </w:tc>
              <w:tc>
                <w:tcPr>
                  <w:tcW w:w="894"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6" w:hRule="atLeast"/>
                <w:jc w:val="center"/>
              </w:trPr>
              <w:tc>
                <w:tcPr>
                  <w:tcW w:w="125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细砂</w:t>
                  </w:r>
                </w:p>
              </w:tc>
              <w:tc>
                <w:tcPr>
                  <w:tcW w:w="1250"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w:t>
                  </w:r>
                  <w:r>
                    <w:rPr>
                      <w:color w:val="000000" w:themeColor="text1"/>
                      <w:szCs w:val="21"/>
                      <w:highlight w:val="none"/>
                      <w14:textFill>
                        <w14:solidFill>
                          <w14:schemeClr w14:val="tx1"/>
                        </w14:solidFill>
                      </w14:textFill>
                    </w:rPr>
                    <w:t>0.</w:t>
                  </w:r>
                  <w:r>
                    <w:rPr>
                      <w:rFonts w:hint="eastAsia"/>
                      <w:color w:val="000000" w:themeColor="text1"/>
                      <w:szCs w:val="21"/>
                      <w:highlight w:val="none"/>
                      <w14:textFill>
                        <w14:solidFill>
                          <w14:schemeClr w14:val="tx1"/>
                        </w14:solidFill>
                      </w14:textFill>
                    </w:rPr>
                    <w:t>5</w:t>
                  </w:r>
                  <w:r>
                    <w:rPr>
                      <w:color w:val="000000" w:themeColor="text1"/>
                      <w:szCs w:val="21"/>
                      <w:highlight w:val="none"/>
                      <w14:textFill>
                        <w14:solidFill>
                          <w14:schemeClr w14:val="tx1"/>
                        </w14:solidFill>
                      </w14:textFill>
                    </w:rPr>
                    <w:t>cm</w:t>
                  </w:r>
                </w:p>
              </w:tc>
              <w:tc>
                <w:tcPr>
                  <w:tcW w:w="1606" w:type="pct"/>
                  <w:noWrap w:val="0"/>
                  <w:vAlign w:val="center"/>
                </w:tcPr>
                <w:p>
                  <w:pPr>
                    <w:jc w:val="center"/>
                    <w:rPr>
                      <w:rFonts w:ascii="宋体" w:hAnsi="宋体" w:cs="宋体"/>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250</w:t>
                  </w:r>
                  <w:r>
                    <w:rPr>
                      <w:rFonts w:hint="eastAsia"/>
                      <w:color w:val="000000" w:themeColor="text1"/>
                      <w:szCs w:val="21"/>
                      <w:highlight w:val="none"/>
                      <w14:textFill>
                        <w14:solidFill>
                          <w14:schemeClr w14:val="tx1"/>
                        </w14:solidFill>
                      </w14:textFill>
                    </w:rPr>
                    <w:t>000</w:t>
                  </w:r>
                </w:p>
              </w:tc>
              <w:tc>
                <w:tcPr>
                  <w:tcW w:w="894"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水洗砂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86" w:hRule="atLeast"/>
                <w:jc w:val="center"/>
              </w:trPr>
              <w:tc>
                <w:tcPr>
                  <w:tcW w:w="1250"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砾石</w:t>
                  </w:r>
                </w:p>
              </w:tc>
              <w:tc>
                <w:tcPr>
                  <w:tcW w:w="1250"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0.5~1</w:t>
                  </w:r>
                  <w:r>
                    <w:rPr>
                      <w:color w:val="000000" w:themeColor="text1"/>
                      <w:szCs w:val="21"/>
                      <w:highlight w:val="none"/>
                      <w14:textFill>
                        <w14:solidFill>
                          <w14:schemeClr w14:val="tx1"/>
                        </w14:solidFill>
                      </w14:textFill>
                    </w:rPr>
                    <w:t>cm</w:t>
                  </w:r>
                </w:p>
              </w:tc>
              <w:tc>
                <w:tcPr>
                  <w:tcW w:w="1606" w:type="pct"/>
                  <w:noWrap w:val="0"/>
                  <w:vAlign w:val="center"/>
                </w:tcPr>
                <w:p>
                  <w:pPr>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150000</w:t>
                  </w:r>
                </w:p>
              </w:tc>
              <w:tc>
                <w:tcPr>
                  <w:tcW w:w="894" w:type="pct"/>
                  <w:vMerge w:val="restart"/>
                  <w:noWrap w:val="0"/>
                  <w:vAlign w:val="center"/>
                </w:tcPr>
                <w:p>
                  <w:pPr>
                    <w:widowControl/>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石子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386" w:hRule="atLeast"/>
                <w:jc w:val="center"/>
              </w:trPr>
              <w:tc>
                <w:tcPr>
                  <w:tcW w:w="1250" w:type="pct"/>
                  <w:noWrap w:val="0"/>
                  <w:vAlign w:val="center"/>
                </w:tcPr>
                <w:p>
                  <w:pPr>
                    <w:jc w:val="center"/>
                    <w:rPr>
                      <w:rFonts w:hint="eastAsia"/>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碎石</w:t>
                  </w:r>
                </w:p>
              </w:tc>
              <w:tc>
                <w:tcPr>
                  <w:tcW w:w="1250" w:type="pct"/>
                  <w:noWrap w:val="0"/>
                  <w:vAlign w:val="center"/>
                </w:tcPr>
                <w:p>
                  <w:pPr>
                    <w:jc w:val="center"/>
                    <w:rPr>
                      <w:rFonts w:hint="eastAsia"/>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w:t>
                  </w:r>
                  <w:r>
                    <w:rPr>
                      <w:color w:val="000000" w:themeColor="text1"/>
                      <w:szCs w:val="21"/>
                      <w:highlight w:val="none"/>
                      <w14:textFill>
                        <w14:solidFill>
                          <w14:schemeClr w14:val="tx1"/>
                        </w14:solidFill>
                      </w14:textFill>
                    </w:rPr>
                    <w:t>cm~</w:t>
                  </w:r>
                  <w:r>
                    <w:rPr>
                      <w:rFonts w:hint="eastAsia"/>
                      <w:color w:val="000000" w:themeColor="text1"/>
                      <w:szCs w:val="21"/>
                      <w:highlight w:val="none"/>
                      <w14:textFill>
                        <w14:solidFill>
                          <w14:schemeClr w14:val="tx1"/>
                        </w14:solidFill>
                      </w14:textFill>
                    </w:rPr>
                    <w:t>2</w:t>
                  </w:r>
                  <w:r>
                    <w:rPr>
                      <w:color w:val="000000" w:themeColor="text1"/>
                      <w:szCs w:val="21"/>
                      <w:highlight w:val="none"/>
                      <w14:textFill>
                        <w14:solidFill>
                          <w14:schemeClr w14:val="tx1"/>
                        </w14:solidFill>
                      </w14:textFill>
                    </w:rPr>
                    <w:t>cm</w:t>
                  </w:r>
                </w:p>
              </w:tc>
              <w:tc>
                <w:tcPr>
                  <w:tcW w:w="1606" w:type="pct"/>
                  <w:noWrap w:val="0"/>
                  <w:vAlign w:val="center"/>
                </w:tcPr>
                <w:p>
                  <w:pPr>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250000</w:t>
                  </w:r>
                </w:p>
              </w:tc>
              <w:tc>
                <w:tcPr>
                  <w:tcW w:w="894" w:type="pct"/>
                  <w:vMerge w:val="continue"/>
                  <w:noWrap w:val="0"/>
                  <w:vAlign w:val="center"/>
                </w:tcPr>
                <w:p>
                  <w:pPr>
                    <w:widowControl/>
                    <w:jc w:val="center"/>
                    <w:rPr>
                      <w:rFonts w:hint="eastAsia"/>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90" w:hRule="atLeast"/>
                <w:jc w:val="center"/>
              </w:trPr>
              <w:tc>
                <w:tcPr>
                  <w:tcW w:w="1250" w:type="pct"/>
                  <w:noWrap w:val="0"/>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碎石</w:t>
                  </w:r>
                </w:p>
              </w:tc>
              <w:tc>
                <w:tcPr>
                  <w:tcW w:w="1250" w:type="pct"/>
                  <w:noWrap w:val="0"/>
                  <w:vAlign w:val="center"/>
                </w:tcPr>
                <w:p>
                  <w:pPr>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w:t>
                  </w:r>
                  <w:r>
                    <w:rPr>
                      <w:color w:val="000000" w:themeColor="text1"/>
                      <w:szCs w:val="21"/>
                      <w:highlight w:val="none"/>
                      <w14:textFill>
                        <w14:solidFill>
                          <w14:schemeClr w14:val="tx1"/>
                        </w14:solidFill>
                      </w14:textFill>
                    </w:rPr>
                    <w:t>cm~</w:t>
                  </w:r>
                  <w:r>
                    <w:rPr>
                      <w:rFonts w:hint="eastAsia"/>
                      <w:color w:val="000000" w:themeColor="text1"/>
                      <w:szCs w:val="21"/>
                      <w:highlight w:val="none"/>
                      <w14:textFill>
                        <w14:solidFill>
                          <w14:schemeClr w14:val="tx1"/>
                        </w14:solidFill>
                      </w14:textFill>
                    </w:rPr>
                    <w:t>4</w:t>
                  </w:r>
                  <w:r>
                    <w:rPr>
                      <w:color w:val="000000" w:themeColor="text1"/>
                      <w:szCs w:val="21"/>
                      <w:highlight w:val="none"/>
                      <w14:textFill>
                        <w14:solidFill>
                          <w14:schemeClr w14:val="tx1"/>
                        </w14:solidFill>
                      </w14:textFill>
                    </w:rPr>
                    <w:t>cm</w:t>
                  </w:r>
                </w:p>
              </w:tc>
              <w:tc>
                <w:tcPr>
                  <w:tcW w:w="1606" w:type="pct"/>
                  <w:noWrap w:val="0"/>
                  <w:vAlign w:val="center"/>
                </w:tcPr>
                <w:p>
                  <w:pPr>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150000</w:t>
                  </w:r>
                </w:p>
              </w:tc>
              <w:tc>
                <w:tcPr>
                  <w:tcW w:w="894" w:type="pct"/>
                  <w:vMerge w:val="continue"/>
                  <w:noWrap w:val="0"/>
                  <w:vAlign w:val="center"/>
                </w:tcPr>
                <w:p>
                  <w:pPr>
                    <w:widowControl/>
                    <w:jc w:val="left"/>
                    <w:rPr>
                      <w:color w:val="000000" w:themeColor="text1"/>
                      <w:szCs w:val="21"/>
                      <w:highlight w:val="none"/>
                      <w14:textFill>
                        <w14:solidFill>
                          <w14:schemeClr w14:val="tx1"/>
                        </w14:solidFill>
                      </w14:textFill>
                    </w:rPr>
                  </w:pPr>
                </w:p>
              </w:tc>
            </w:tr>
          </w:tbl>
          <w:p>
            <w:pPr>
              <w:adjustRightInd w:val="0"/>
              <w:snapToGrid w:val="0"/>
              <w:spacing w:before="120" w:beforeLines="50" w:line="360" w:lineRule="auto"/>
              <w:ind w:firstLine="482" w:firstLineChars="200"/>
              <w:rPr>
                <w:rFonts w:hint="eastAsia" w:ascii="Times New Roman" w:hAnsi="Times New Roman" w:eastAsia="宋体" w:cs="Times New Roman"/>
                <w:b/>
                <w:color w:val="000000" w:themeColor="text1"/>
                <w:sz w:val="24"/>
                <w:lang w:val="en-US" w:eastAsia="zh-CN"/>
                <w14:textFill>
                  <w14:solidFill>
                    <w14:schemeClr w14:val="tx1"/>
                  </w14:solidFill>
                </w14:textFill>
              </w:rPr>
            </w:pPr>
            <w:r>
              <w:rPr>
                <w:rFonts w:hint="eastAsia" w:cs="Times New Roman"/>
                <w:b/>
                <w:color w:val="000000" w:themeColor="text1"/>
                <w:sz w:val="24"/>
                <w:highlight w:val="none"/>
                <w:lang w:val="en-US" w:eastAsia="zh-CN"/>
                <w14:textFill>
                  <w14:solidFill>
                    <w14:schemeClr w14:val="tx1"/>
                  </w14:solidFill>
                </w14:textFill>
              </w:rPr>
              <w:t>6</w:t>
            </w:r>
            <w:r>
              <w:rPr>
                <w:rFonts w:hint="eastAsia" w:ascii="Times New Roman" w:hAnsi="Times New Roman" w:eastAsia="宋体" w:cs="Times New Roman"/>
                <w:b/>
                <w:color w:val="000000" w:themeColor="text1"/>
                <w:sz w:val="24"/>
                <w:highlight w:val="none"/>
                <w:lang w:val="en-US" w:eastAsia="zh-CN"/>
                <w14:textFill>
                  <w14:solidFill>
                    <w14:schemeClr w14:val="tx1"/>
                  </w14:solidFill>
                </w14:textFill>
              </w:rPr>
              <w:t>.项目原辅材料及设备</w:t>
            </w:r>
          </w:p>
          <w:p>
            <w:pPr>
              <w:adjustRightInd w:val="0"/>
              <w:snapToGrid w:val="0"/>
              <w:spacing w:before="120" w:beforeLines="50" w:line="360" w:lineRule="auto"/>
              <w:ind w:firstLine="482" w:firstLineChars="200"/>
              <w:rPr>
                <w:rFonts w:hint="eastAsia" w:ascii="Times New Roman" w:hAnsi="Times New Roman" w:eastAsia="宋体" w:cs="Times New Roman"/>
                <w:b/>
                <w:color w:val="000000" w:themeColor="text1"/>
                <w:sz w:val="24"/>
                <w:lang w:val="en-US" w:eastAsia="zh-CN"/>
                <w14:textFill>
                  <w14:solidFill>
                    <w14:schemeClr w14:val="tx1"/>
                  </w14:solidFill>
                </w14:textFill>
              </w:rPr>
            </w:pPr>
            <w:r>
              <w:rPr>
                <w:rFonts w:hint="eastAsia" w:cs="Times New Roman"/>
                <w:b/>
                <w:color w:val="000000" w:themeColor="text1"/>
                <w:sz w:val="24"/>
                <w:lang w:val="en-US" w:eastAsia="zh-CN"/>
                <w14:textFill>
                  <w14:solidFill>
                    <w14:schemeClr w14:val="tx1"/>
                  </w14:solidFill>
                </w14:textFill>
              </w:rPr>
              <w:t>6</w:t>
            </w:r>
            <w:r>
              <w:rPr>
                <w:rFonts w:hint="eastAsia" w:ascii="Times New Roman" w:hAnsi="Times New Roman" w:eastAsia="宋体" w:cs="Times New Roman"/>
                <w:b/>
                <w:color w:val="000000" w:themeColor="text1"/>
                <w:sz w:val="24"/>
                <w:lang w:val="en-US" w:eastAsia="zh-CN"/>
                <w14:textFill>
                  <w14:solidFill>
                    <w14:schemeClr w14:val="tx1"/>
                  </w14:solidFill>
                </w14:textFill>
              </w:rPr>
              <w:t>.1项目原辅材料</w:t>
            </w:r>
          </w:p>
          <w:p>
            <w:pPr>
              <w:spacing w:line="360" w:lineRule="auto"/>
              <w:ind w:firstLine="480" w:firstLineChars="200"/>
              <w:rPr>
                <w:rFonts w:hint="eastAsia"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本项目原辅材料情况见表</w:t>
            </w:r>
            <w:r>
              <w:rPr>
                <w:rFonts w:hint="eastAsia"/>
                <w:color w:val="000000" w:themeColor="text1"/>
                <w:sz w:val="24"/>
                <w:lang w:val="en-US" w:eastAsia="zh-CN"/>
                <w14:textFill>
                  <w14:solidFill>
                    <w14:schemeClr w14:val="tx1"/>
                  </w14:solidFill>
                </w14:textFill>
              </w:rPr>
              <w:t>2-5</w:t>
            </w:r>
            <w:r>
              <w:rPr>
                <w:rFonts w:hAnsi="宋体"/>
                <w:color w:val="000000" w:themeColor="text1"/>
                <w:sz w:val="24"/>
                <w14:textFill>
                  <w14:solidFill>
                    <w14:schemeClr w14:val="tx1"/>
                  </w14:solidFill>
                </w14:textFill>
              </w:rPr>
              <w:t>。</w:t>
            </w:r>
          </w:p>
          <w:p>
            <w:pPr>
              <w:spacing w:line="336" w:lineRule="auto"/>
              <w:ind w:firstLine="482" w:firstLineChars="200"/>
              <w:jc w:val="center"/>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表</w:t>
            </w:r>
            <w:r>
              <w:rPr>
                <w:rFonts w:hint="eastAsia" w:hAnsi="宋体"/>
                <w:b/>
                <w:color w:val="000000" w:themeColor="text1"/>
                <w:sz w:val="24"/>
                <w:lang w:val="en-US" w:eastAsia="zh-CN"/>
                <w14:textFill>
                  <w14:solidFill>
                    <w14:schemeClr w14:val="tx1"/>
                  </w14:solidFill>
                </w14:textFill>
              </w:rPr>
              <w:t>2-5</w:t>
            </w:r>
            <w:r>
              <w:rPr>
                <w:rFonts w:hAnsi="宋体"/>
                <w:b/>
                <w:color w:val="000000" w:themeColor="text1"/>
                <w:sz w:val="24"/>
                <w14:textFill>
                  <w14:solidFill>
                    <w14:schemeClr w14:val="tx1"/>
                  </w14:solidFill>
                </w14:textFill>
              </w:rPr>
              <w:t xml:space="preserve">   </w:t>
            </w:r>
            <w:r>
              <w:rPr>
                <w:rFonts w:hint="eastAsia" w:hAnsi="宋体"/>
                <w:b/>
                <w:color w:val="000000" w:themeColor="text1"/>
                <w:sz w:val="24"/>
                <w14:textFill>
                  <w14:solidFill>
                    <w14:schemeClr w14:val="tx1"/>
                  </w14:solidFill>
                </w14:textFill>
              </w:rPr>
              <w:t xml:space="preserve"> </w:t>
            </w:r>
            <w:r>
              <w:rPr>
                <w:rFonts w:hAnsi="宋体"/>
                <w:b/>
                <w:color w:val="000000" w:themeColor="text1"/>
                <w:sz w:val="24"/>
                <w14:textFill>
                  <w14:solidFill>
                    <w14:schemeClr w14:val="tx1"/>
                  </w14:solidFill>
                </w14:textFill>
              </w:rPr>
              <w:t xml:space="preserve">    原辅材料情况一览表</w:t>
            </w:r>
          </w:p>
          <w:tbl>
            <w:tblPr>
              <w:tblStyle w:val="28"/>
              <w:tblW w:w="831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64"/>
              <w:gridCol w:w="1395"/>
              <w:gridCol w:w="58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88" w:hRule="atLeast"/>
                <w:jc w:val="center"/>
              </w:trPr>
              <w:tc>
                <w:tcPr>
                  <w:tcW w:w="1064" w:type="dxa"/>
                  <w:tcBorders>
                    <w:top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原辅材料</w:t>
                  </w:r>
                </w:p>
              </w:tc>
              <w:tc>
                <w:tcPr>
                  <w:tcW w:w="1395" w:type="dxa"/>
                  <w:tcBorders>
                    <w:top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用量</w:t>
                  </w:r>
                </w:p>
              </w:tc>
              <w:tc>
                <w:tcPr>
                  <w:tcW w:w="5859" w:type="dxa"/>
                  <w:tcBorders>
                    <w:top w:val="single" w:color="auto" w:sz="4" w:space="0"/>
                    <w:right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3" w:hRule="atLeast"/>
                <w:jc w:val="center"/>
              </w:trPr>
              <w:tc>
                <w:tcPr>
                  <w:tcW w:w="1064" w:type="dxa"/>
                  <w:tcBorders>
                    <w:left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生产用水</w:t>
                  </w:r>
                </w:p>
              </w:tc>
              <w:tc>
                <w:tcPr>
                  <w:tcW w:w="1395" w:type="dxa"/>
                  <w:noWrap w:val="0"/>
                  <w:vAlign w:val="center"/>
                </w:tcPr>
                <w:p>
                  <w:pPr>
                    <w:adjustRightInd w:val="0"/>
                    <w:snapToGrid w:val="0"/>
                    <w:jc w:val="center"/>
                    <w:rPr>
                      <w:color w:val="000000" w:themeColor="text1"/>
                      <w:szCs w:val="21"/>
                      <w14:textFill>
                        <w14:solidFill>
                          <w14:schemeClr w14:val="tx1"/>
                        </w14:solidFill>
                      </w14:textFill>
                    </w:rPr>
                  </w:pPr>
                  <w:r>
                    <w:rPr>
                      <w:rFonts w:hint="eastAsia"/>
                      <w:color w:val="000000"/>
                      <w:highlight w:val="none"/>
                      <w:lang w:val="en-US" w:eastAsia="zh-CN"/>
                    </w:rPr>
                    <w:t>18389.4</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c>
                <w:tcPr>
                  <w:tcW w:w="5859" w:type="dxa"/>
                  <w:vMerge w:val="restart"/>
                  <w:tcBorders>
                    <w:right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项目生产用水</w:t>
                  </w:r>
                  <w:r>
                    <w:rPr>
                      <w:rFonts w:hint="eastAsia" w:hAnsi="宋体"/>
                      <w:color w:val="000000" w:themeColor="text1"/>
                      <w:szCs w:val="21"/>
                      <w:lang w:eastAsia="zh-CN"/>
                      <w14:textFill>
                        <w14:solidFill>
                          <w14:schemeClr w14:val="tx1"/>
                        </w14:solidFill>
                      </w14:textFill>
                    </w:rPr>
                    <w:t>、</w:t>
                  </w:r>
                  <w:r>
                    <w:rPr>
                      <w:rFonts w:hint="eastAsia" w:hAnsi="宋体"/>
                      <w:color w:val="000000" w:themeColor="text1"/>
                      <w:szCs w:val="21"/>
                      <w14:textFill>
                        <w14:solidFill>
                          <w14:schemeClr w14:val="tx1"/>
                        </w14:solidFill>
                      </w14:textFill>
                    </w:rPr>
                    <w:t>生活</w:t>
                  </w:r>
                  <w:r>
                    <w:rPr>
                      <w:rFonts w:hAnsi="宋体"/>
                      <w:color w:val="000000" w:themeColor="text1"/>
                      <w:szCs w:val="21"/>
                      <w14:textFill>
                        <w14:solidFill>
                          <w14:schemeClr w14:val="tx1"/>
                        </w14:solidFill>
                      </w14:textFill>
                    </w:rPr>
                    <w:t>用水</w:t>
                  </w:r>
                  <w:r>
                    <w:rPr>
                      <w:rFonts w:hint="eastAsia" w:hAnsi="宋体"/>
                      <w:color w:val="000000" w:themeColor="text1"/>
                      <w:szCs w:val="21"/>
                      <w:lang w:eastAsia="zh-CN"/>
                      <w14:textFill>
                        <w14:solidFill>
                          <w14:schemeClr w14:val="tx1"/>
                        </w14:solidFill>
                      </w14:textFill>
                    </w:rPr>
                    <w:t>从附近村中拉运</w:t>
                  </w:r>
                  <w:r>
                    <w:rPr>
                      <w:rFonts w:hAnsi="宋体"/>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93" w:hRule="atLeast"/>
                <w:jc w:val="center"/>
              </w:trPr>
              <w:tc>
                <w:tcPr>
                  <w:tcW w:w="1064" w:type="dxa"/>
                  <w:tcBorders>
                    <w:left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生活用水</w:t>
                  </w:r>
                </w:p>
              </w:tc>
              <w:tc>
                <w:tcPr>
                  <w:tcW w:w="1395" w:type="dxa"/>
                  <w:noWrap w:val="0"/>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378</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c>
                <w:tcPr>
                  <w:tcW w:w="5859" w:type="dxa"/>
                  <w:vMerge w:val="continue"/>
                  <w:tcBorders>
                    <w:right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293" w:hRule="atLeast"/>
                <w:jc w:val="center"/>
              </w:trPr>
              <w:tc>
                <w:tcPr>
                  <w:tcW w:w="1064" w:type="dxa"/>
                  <w:tcBorders>
                    <w:left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电</w:t>
                  </w:r>
                </w:p>
              </w:tc>
              <w:tc>
                <w:tcPr>
                  <w:tcW w:w="1395" w:type="dxa"/>
                  <w:noWrap w:val="0"/>
                  <w:vAlign w:val="center"/>
                </w:tcPr>
                <w:p>
                  <w:pPr>
                    <w:adjustRightInd w:val="0"/>
                    <w:snapToGrid w:val="0"/>
                    <w:jc w:val="center"/>
                    <w:rPr>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6.5</w:t>
                  </w:r>
                  <w:r>
                    <w:rPr>
                      <w:rFonts w:hAnsi="宋体"/>
                      <w:color w:val="000000" w:themeColor="text1"/>
                      <w:szCs w:val="21"/>
                      <w14:textFill>
                        <w14:solidFill>
                          <w14:schemeClr w14:val="tx1"/>
                        </w14:solidFill>
                      </w14:textFill>
                    </w:rPr>
                    <w:t>万度</w:t>
                  </w:r>
                  <w:r>
                    <w:rPr>
                      <w:color w:val="000000" w:themeColor="text1"/>
                      <w:szCs w:val="21"/>
                      <w14:textFill>
                        <w14:solidFill>
                          <w14:schemeClr w14:val="tx1"/>
                        </w14:solidFill>
                      </w14:textFill>
                    </w:rPr>
                    <w:t>/a</w:t>
                  </w:r>
                </w:p>
              </w:tc>
              <w:tc>
                <w:tcPr>
                  <w:tcW w:w="5859" w:type="dxa"/>
                  <w:tcBorders>
                    <w:right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矿山生产生活用电从达板</w:t>
                  </w:r>
                  <w:r>
                    <w:rPr>
                      <w:rFonts w:ascii="宋体" w:hAnsi="宋体"/>
                      <w:color w:val="000000" w:themeColor="text1"/>
                      <w14:textFill>
                        <w14:solidFill>
                          <w14:schemeClr w14:val="tx1"/>
                        </w14:solidFill>
                      </w14:textFill>
                    </w:rPr>
                    <w:t>镇 110</w:t>
                  </w:r>
                  <w:r>
                    <w:rPr>
                      <w:rFonts w:hint="eastAsia" w:ascii="宋体" w:hAnsi="宋体"/>
                      <w:color w:val="000000" w:themeColor="text1"/>
                      <w14:textFill>
                        <w14:solidFill>
                          <w14:schemeClr w14:val="tx1"/>
                        </w14:solidFill>
                      </w14:textFill>
                    </w:rPr>
                    <w:t>K</w:t>
                  </w:r>
                  <w:r>
                    <w:rPr>
                      <w:rFonts w:ascii="宋体" w:hAnsi="宋体"/>
                      <w:color w:val="000000" w:themeColor="text1"/>
                      <w14:textFill>
                        <w14:solidFill>
                          <w14:schemeClr w14:val="tx1"/>
                        </w14:solidFill>
                      </w14:textFill>
                    </w:rPr>
                    <w:t>V 变电站</w:t>
                  </w:r>
                  <w:r>
                    <w:rPr>
                      <w:rFonts w:hint="eastAsia" w:ascii="宋体" w:hAnsi="宋体"/>
                      <w:color w:val="000000" w:themeColor="text1"/>
                      <w14:textFill>
                        <w14:solidFill>
                          <w14:schemeClr w14:val="tx1"/>
                        </w14:solidFill>
                      </w14:textFill>
                    </w:rPr>
                    <w:t>经125KVA变压器降后引进</w:t>
                  </w:r>
                  <w:r>
                    <w:rPr>
                      <w:rFonts w:ascii="宋体" w:hAnsi="宋体"/>
                      <w:color w:val="000000" w:themeColor="text1"/>
                      <w14:textFill>
                        <w14:solidFill>
                          <w14:schemeClr w14:val="tx1"/>
                        </w14:solidFill>
                      </w14:textFill>
                    </w:rPr>
                    <w:t>，厂区内自建适宜厂区工业需求的变电站，</w:t>
                  </w:r>
                  <w:r>
                    <w:rPr>
                      <w:rFonts w:hint="eastAsia" w:ascii="宋体" w:hAnsi="宋体"/>
                      <w:color w:val="000000" w:themeColor="text1"/>
                      <w14:textFill>
                        <w14:solidFill>
                          <w14:schemeClr w14:val="tx1"/>
                        </w14:solidFill>
                      </w14:textFill>
                    </w:rPr>
                    <w:t>用架空橡套电缆输送至配电室，在配送各单位使用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1064" w:type="dxa"/>
                  <w:tcBorders>
                    <w:left w:val="single" w:color="auto" w:sz="4" w:space="0"/>
                    <w:bottom w:val="single" w:color="auto" w:sz="4" w:space="0"/>
                  </w:tcBorders>
                  <w:noWrap w:val="0"/>
                  <w:vAlign w:val="center"/>
                </w:tcPr>
                <w:p>
                  <w:pPr>
                    <w:adjustRightInd w:val="0"/>
                    <w:snapToGrid w:val="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柴油</w:t>
                  </w:r>
                </w:p>
              </w:tc>
              <w:tc>
                <w:tcPr>
                  <w:tcW w:w="1395" w:type="dxa"/>
                  <w:tcBorders>
                    <w:bottom w:val="single" w:color="auto" w:sz="4" w:space="0"/>
                  </w:tcBorders>
                  <w:noWrap w:val="0"/>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3200t/a</w:t>
                  </w:r>
                </w:p>
              </w:tc>
              <w:tc>
                <w:tcPr>
                  <w:tcW w:w="5859" w:type="dxa"/>
                  <w:tcBorders>
                    <w:bottom w:val="single" w:color="auto" w:sz="4" w:space="0"/>
                    <w:right w:val="single" w:color="auto" w:sz="4" w:space="0"/>
                  </w:tcBorders>
                  <w:noWrap w:val="0"/>
                  <w:vAlign w:val="center"/>
                </w:tcPr>
                <w:p>
                  <w:pPr>
                    <w:adjustRightInd w:val="0"/>
                    <w:snapToGrid w:val="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附近加油站加注，厂区不储存</w:t>
                  </w:r>
                </w:p>
              </w:tc>
            </w:tr>
          </w:tbl>
          <w:p>
            <w:pPr>
              <w:adjustRightInd w:val="0"/>
              <w:snapToGrid w:val="0"/>
              <w:spacing w:before="120" w:beforeLines="50" w:line="360" w:lineRule="auto"/>
              <w:ind w:firstLine="482" w:firstLineChars="200"/>
              <w:rPr>
                <w:rFonts w:hint="eastAsia" w:ascii="Times New Roman" w:hAnsi="Times New Roman" w:eastAsia="宋体" w:cs="Times New Roman"/>
                <w:b/>
                <w:color w:val="000000"/>
                <w:sz w:val="24"/>
                <w:lang w:val="en-US" w:eastAsia="zh-CN"/>
              </w:rPr>
            </w:pPr>
            <w:r>
              <w:rPr>
                <w:rFonts w:hint="eastAsia" w:cs="Times New Roman"/>
                <w:b/>
                <w:color w:val="000000"/>
                <w:sz w:val="24"/>
                <w:lang w:val="en-US" w:eastAsia="zh-CN"/>
              </w:rPr>
              <w:t>6</w:t>
            </w:r>
            <w:r>
              <w:rPr>
                <w:rFonts w:hint="eastAsia" w:ascii="Times New Roman" w:hAnsi="Times New Roman" w:eastAsia="宋体" w:cs="Times New Roman"/>
                <w:b/>
                <w:color w:val="000000"/>
                <w:sz w:val="24"/>
                <w:lang w:val="en-US" w:eastAsia="zh-CN"/>
              </w:rPr>
              <w:t>.2项目设备</w:t>
            </w:r>
          </w:p>
          <w:p>
            <w:pPr>
              <w:spacing w:line="360" w:lineRule="auto"/>
              <w:ind w:firstLine="480" w:firstLineChars="200"/>
              <w:rPr>
                <w:sz w:val="24"/>
              </w:rPr>
            </w:pPr>
            <w:r>
              <w:rPr>
                <w:rFonts w:hAnsi="宋体"/>
                <w:sz w:val="24"/>
              </w:rPr>
              <w:t>项目主要设备见表</w:t>
            </w:r>
            <w:r>
              <w:rPr>
                <w:rFonts w:hint="eastAsia"/>
                <w:sz w:val="24"/>
                <w:lang w:val="en-US" w:eastAsia="zh-CN"/>
              </w:rPr>
              <w:t>2-6</w:t>
            </w:r>
            <w:r>
              <w:rPr>
                <w:rFonts w:hAnsi="宋体"/>
                <w:sz w:val="24"/>
              </w:rPr>
              <w:t>。</w:t>
            </w:r>
          </w:p>
          <w:p>
            <w:pPr>
              <w:spacing w:line="336" w:lineRule="auto"/>
              <w:ind w:firstLine="1687" w:firstLineChars="700"/>
              <w:jc w:val="both"/>
              <w:rPr>
                <w:rFonts w:hAnsi="宋体"/>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表</w:t>
            </w:r>
            <w:r>
              <w:rPr>
                <w:rFonts w:hint="eastAsia" w:hAnsi="宋体"/>
                <w:b/>
                <w:color w:val="000000" w:themeColor="text1"/>
                <w:sz w:val="24"/>
                <w:lang w:val="en-US" w:eastAsia="zh-CN"/>
                <w14:textFill>
                  <w14:solidFill>
                    <w14:schemeClr w14:val="tx1"/>
                  </w14:solidFill>
                </w14:textFill>
              </w:rPr>
              <w:t>2-6</w:t>
            </w:r>
            <w:r>
              <w:rPr>
                <w:rFonts w:hAnsi="宋体"/>
                <w:b/>
                <w:color w:val="000000" w:themeColor="text1"/>
                <w:sz w:val="24"/>
                <w14:textFill>
                  <w14:solidFill>
                    <w14:schemeClr w14:val="tx1"/>
                  </w14:solidFill>
                </w14:textFill>
              </w:rPr>
              <w:t xml:space="preserve">            主要设施、设备情况一览表</w:t>
            </w:r>
          </w:p>
          <w:tbl>
            <w:tblPr>
              <w:tblStyle w:val="28"/>
              <w:tblW w:w="4993"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34"/>
              <w:gridCol w:w="1766"/>
              <w:gridCol w:w="1132"/>
              <w:gridCol w:w="952"/>
              <w:gridCol w:w="1550"/>
              <w:gridCol w:w="112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07" w:hRule="atLeast"/>
              </w:trPr>
              <w:tc>
                <w:tcPr>
                  <w:tcW w:w="1049" w:type="pct"/>
                  <w:tcBorders>
                    <w:top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名称</w:t>
                  </w:r>
                </w:p>
              </w:tc>
              <w:tc>
                <w:tcPr>
                  <w:tcW w:w="1069" w:type="pct"/>
                  <w:tcBorders>
                    <w:top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规格型号</w:t>
                  </w:r>
                </w:p>
              </w:tc>
              <w:tc>
                <w:tcPr>
                  <w:tcW w:w="685" w:type="pct"/>
                  <w:tcBorders>
                    <w:top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单位</w:t>
                  </w:r>
                </w:p>
              </w:tc>
              <w:tc>
                <w:tcPr>
                  <w:tcW w:w="575" w:type="pct"/>
                  <w:tcBorders>
                    <w:top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数量</w:t>
                  </w:r>
                </w:p>
              </w:tc>
              <w:tc>
                <w:tcPr>
                  <w:tcW w:w="937" w:type="pct"/>
                  <w:tcBorders>
                    <w:top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生产能力</w:t>
                  </w:r>
                </w:p>
              </w:tc>
              <w:tc>
                <w:tcPr>
                  <w:tcW w:w="682" w:type="pct"/>
                  <w:tcBorders>
                    <w:top w:val="single" w:color="auto" w:sz="4" w:space="0"/>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rPr>
              <w:tc>
                <w:tcPr>
                  <w:tcW w:w="1049" w:type="pct"/>
                  <w:tcBorders>
                    <w:lef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挖掘机</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PC360</w:t>
                  </w:r>
                </w:p>
              </w:tc>
              <w:tc>
                <w:tcPr>
                  <w:tcW w:w="685"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台</w:t>
                  </w:r>
                </w:p>
              </w:tc>
              <w:tc>
                <w:tcPr>
                  <w:tcW w:w="575" w:type="pct"/>
                  <w:noWrap w:val="0"/>
                  <w:vAlign w:val="center"/>
                </w:tcPr>
                <w:p>
                  <w:pPr>
                    <w:pStyle w:val="59"/>
                    <w:spacing w:line="240" w:lineRule="auto"/>
                    <w:rPr>
                      <w:rFonts w:hint="default" w:ascii="Times New Roman" w:eastAsia="宋体"/>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4</w:t>
                  </w:r>
                </w:p>
              </w:tc>
              <w:tc>
                <w:tcPr>
                  <w:tcW w:w="937" w:type="pct"/>
                  <w:noWrap w:val="0"/>
                  <w:vAlign w:val="center"/>
                </w:tcPr>
                <w:p>
                  <w:pPr>
                    <w:pStyle w:val="59"/>
                    <w:spacing w:line="240" w:lineRule="auto"/>
                    <w:rPr>
                      <w:rFonts w:hint="eastAsia" w:ascii="Times New Roman" w:eastAsia="宋体"/>
                      <w:color w:val="000000" w:themeColor="text1"/>
                      <w:sz w:val="21"/>
                      <w:szCs w:val="21"/>
                      <w:lang w:val="en-US" w:eastAsia="zh-CN"/>
                      <w14:textFill>
                        <w14:solidFill>
                          <w14:schemeClr w14:val="tx1"/>
                        </w14:solidFill>
                      </w14:textFill>
                    </w:rPr>
                  </w:pPr>
                  <w:r>
                    <w:rPr>
                      <w:rFonts w:ascii="Times New Roman"/>
                      <w:color w:val="000000" w:themeColor="text1"/>
                      <w:sz w:val="21"/>
                      <w:szCs w:val="21"/>
                      <w14:textFill>
                        <w14:solidFill>
                          <w14:schemeClr w14:val="tx1"/>
                        </w14:solidFill>
                      </w14:textFill>
                    </w:rPr>
                    <w:t>2m</w:t>
                  </w:r>
                  <w:r>
                    <w:rPr>
                      <w:rFonts w:ascii="Times New Roman"/>
                      <w:color w:val="000000" w:themeColor="text1"/>
                      <w:sz w:val="21"/>
                      <w:szCs w:val="21"/>
                      <w:vertAlign w:val="superscript"/>
                      <w14:textFill>
                        <w14:solidFill>
                          <w14:schemeClr w14:val="tx1"/>
                        </w14:solidFill>
                      </w14:textFill>
                    </w:rPr>
                    <w:t>3</w:t>
                  </w:r>
                  <w:r>
                    <w:rPr>
                      <w:rFonts w:ascii="Times New Roman"/>
                      <w:color w:val="000000" w:themeColor="text1"/>
                      <w:sz w:val="21"/>
                      <w:szCs w:val="21"/>
                      <w14:textFill>
                        <w14:solidFill>
                          <w14:schemeClr w14:val="tx1"/>
                        </w14:solidFill>
                      </w14:textFill>
                    </w:rPr>
                    <w:t>/斗</w:t>
                  </w:r>
                  <w:r>
                    <w:rPr>
                      <w:rFonts w:hint="eastAsia" w:ascii="Times New Roman"/>
                      <w:color w:val="000000" w:themeColor="text1"/>
                      <w:sz w:val="21"/>
                      <w:szCs w:val="21"/>
                      <w:lang w:val="en-US" w:eastAsia="zh-CN"/>
                      <w14:textFill>
                        <w14:solidFill>
                          <w14:schemeClr w14:val="tx1"/>
                        </w14:solidFill>
                      </w14:textFill>
                    </w:rPr>
                    <w:t>;</w:t>
                  </w:r>
                  <w:r>
                    <w:rPr>
                      <w:rFonts w:hint="eastAsia" w:ascii="Times New Roman"/>
                      <w:color w:val="000000" w:themeColor="text1"/>
                      <w:sz w:val="21"/>
                      <w:szCs w:val="21"/>
                      <w14:textFill>
                        <w14:solidFill>
                          <w14:schemeClr w14:val="tx1"/>
                        </w14:solidFill>
                      </w14:textFill>
                    </w:rPr>
                    <w:t>1</w:t>
                  </w:r>
                  <w:r>
                    <w:rPr>
                      <w:rFonts w:ascii="Times New Roman"/>
                      <w:color w:val="000000" w:themeColor="text1"/>
                      <w:sz w:val="21"/>
                      <w:szCs w:val="21"/>
                      <w14:textFill>
                        <w14:solidFill>
                          <w14:schemeClr w14:val="tx1"/>
                        </w14:solidFill>
                      </w14:textFill>
                    </w:rPr>
                    <w:t>m</w:t>
                  </w:r>
                  <w:r>
                    <w:rPr>
                      <w:rFonts w:hint="eastAsia" w:ascii="Times New Roman"/>
                      <w:color w:val="000000" w:themeColor="text1"/>
                      <w:sz w:val="21"/>
                      <w:szCs w:val="21"/>
                      <w14:textFill>
                        <w14:solidFill>
                          <w14:schemeClr w14:val="tx1"/>
                        </w14:solidFill>
                      </w14:textFill>
                    </w:rPr>
                    <w:t>³</w:t>
                  </w:r>
                  <w:r>
                    <w:rPr>
                      <w:rFonts w:ascii="Times New Roman"/>
                      <w:color w:val="000000" w:themeColor="text1"/>
                      <w:sz w:val="21"/>
                      <w:szCs w:val="21"/>
                      <w14:textFill>
                        <w14:solidFill>
                          <w14:schemeClr w14:val="tx1"/>
                        </w14:solidFill>
                      </w14:textFill>
                    </w:rPr>
                    <w:t>/斗</w:t>
                  </w: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8" w:hRule="atLeast"/>
              </w:trPr>
              <w:tc>
                <w:tcPr>
                  <w:tcW w:w="1049" w:type="pct"/>
                  <w:tcBorders>
                    <w:lef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hint="eastAsia" w:ascii="宋体" w:hAnsi="宋体"/>
                      <w:szCs w:val="21"/>
                    </w:rPr>
                    <w:t>潜孔钻</w:t>
                  </w:r>
                </w:p>
              </w:tc>
              <w:tc>
                <w:tcPr>
                  <w:tcW w:w="1766" w:type="dxa"/>
                  <w:noWrap w:val="0"/>
                  <w:vAlign w:val="center"/>
                </w:tcPr>
                <w:p>
                  <w:pPr>
                    <w:adjustRightInd w:val="0"/>
                    <w:snapToGrid w:val="0"/>
                    <w:jc w:val="center"/>
                    <w:rPr>
                      <w:rFonts w:ascii="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KQ150</w:t>
                  </w:r>
                </w:p>
              </w:tc>
              <w:tc>
                <w:tcPr>
                  <w:tcW w:w="1132" w:type="dxa"/>
                  <w:noWrap w:val="0"/>
                  <w:vAlign w:val="center"/>
                </w:tcPr>
                <w:p>
                  <w:pPr>
                    <w:adjustRightInd w:val="0"/>
                    <w:snapToGrid w:val="0"/>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台</w:t>
                  </w:r>
                </w:p>
              </w:tc>
              <w:tc>
                <w:tcPr>
                  <w:tcW w:w="575" w:type="pct"/>
                  <w:noWrap w:val="0"/>
                  <w:vAlign w:val="center"/>
                </w:tcPr>
                <w:p>
                  <w:pPr>
                    <w:pStyle w:val="59"/>
                    <w:spacing w:line="240" w:lineRule="auto"/>
                    <w:rPr>
                      <w:rFonts w:hint="default" w:ascii="Times New Roman"/>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5</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8" w:hRule="atLeast"/>
              </w:trPr>
              <w:tc>
                <w:tcPr>
                  <w:tcW w:w="1049" w:type="pct"/>
                  <w:tcBorders>
                    <w:lef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装载机</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柳工ZL50C</w:t>
                  </w:r>
                </w:p>
              </w:tc>
              <w:tc>
                <w:tcPr>
                  <w:tcW w:w="685"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台</w:t>
                  </w:r>
                </w:p>
              </w:tc>
              <w:tc>
                <w:tcPr>
                  <w:tcW w:w="575"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2m</w:t>
                  </w:r>
                  <w:r>
                    <w:rPr>
                      <w:rFonts w:ascii="Times New Roman"/>
                      <w:color w:val="000000" w:themeColor="text1"/>
                      <w:sz w:val="21"/>
                      <w:szCs w:val="21"/>
                      <w:vertAlign w:val="superscript"/>
                      <w14:textFill>
                        <w14:solidFill>
                          <w14:schemeClr w14:val="tx1"/>
                        </w14:solidFill>
                      </w14:textFill>
                    </w:rPr>
                    <w:t>3</w:t>
                  </w:r>
                  <w:r>
                    <w:rPr>
                      <w:rFonts w:ascii="Times New Roman"/>
                      <w:color w:val="000000" w:themeColor="text1"/>
                      <w:sz w:val="21"/>
                      <w:szCs w:val="21"/>
                      <w14:textFill>
                        <w14:solidFill>
                          <w14:schemeClr w14:val="tx1"/>
                        </w14:solidFill>
                      </w14:textFill>
                    </w:rPr>
                    <w:t>/斗</w:t>
                  </w: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8" w:hRule="atLeast"/>
              </w:trPr>
              <w:tc>
                <w:tcPr>
                  <w:tcW w:w="1049" w:type="pct"/>
                  <w:tcBorders>
                    <w:lef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自卸汽车</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东风大力神</w:t>
                  </w:r>
                </w:p>
              </w:tc>
              <w:tc>
                <w:tcPr>
                  <w:tcW w:w="685"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辆</w:t>
                  </w:r>
                </w:p>
              </w:tc>
              <w:tc>
                <w:tcPr>
                  <w:tcW w:w="575" w:type="pct"/>
                  <w:noWrap w:val="0"/>
                  <w:vAlign w:val="center"/>
                </w:tcPr>
                <w:p>
                  <w:pPr>
                    <w:pStyle w:val="59"/>
                    <w:spacing w:line="240" w:lineRule="auto"/>
                    <w:rPr>
                      <w:rFonts w:hint="eastAsia" w:ascii="Times New Roman" w:eastAsia="宋体"/>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6</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3</w:t>
                  </w:r>
                  <w:r>
                    <w:rPr>
                      <w:rFonts w:ascii="Times New Roman"/>
                      <w:color w:val="000000" w:themeColor="text1"/>
                      <w:sz w:val="21"/>
                      <w:szCs w:val="21"/>
                      <w14:textFill>
                        <w14:solidFill>
                          <w14:schemeClr w14:val="tx1"/>
                        </w14:solidFill>
                      </w14:textFill>
                    </w:rPr>
                    <w:t>0t/车</w:t>
                  </w: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8" w:hRule="atLeast"/>
              </w:trPr>
              <w:tc>
                <w:tcPr>
                  <w:tcW w:w="1049" w:type="pct"/>
                  <w:tcBorders>
                    <w:lef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振动给料机</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ZSW490×110</w:t>
                  </w:r>
                </w:p>
              </w:tc>
              <w:tc>
                <w:tcPr>
                  <w:tcW w:w="68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台</w:t>
                  </w:r>
                </w:p>
              </w:tc>
              <w:tc>
                <w:tcPr>
                  <w:tcW w:w="57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1</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8" w:hRule="atLeast"/>
              </w:trPr>
              <w:tc>
                <w:tcPr>
                  <w:tcW w:w="1049" w:type="pct"/>
                  <w:tcBorders>
                    <w:lef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颚式破碎机</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PE900×1200</w:t>
                  </w:r>
                </w:p>
              </w:tc>
              <w:tc>
                <w:tcPr>
                  <w:tcW w:w="685"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台</w:t>
                  </w:r>
                </w:p>
              </w:tc>
              <w:tc>
                <w:tcPr>
                  <w:tcW w:w="57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1</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07" w:hRule="atLeast"/>
              </w:trPr>
              <w:tc>
                <w:tcPr>
                  <w:tcW w:w="1049" w:type="pct"/>
                  <w:tcBorders>
                    <w:left w:val="single" w:color="auto" w:sz="4" w:space="0"/>
                  </w:tcBorders>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皮带机</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B1400</w:t>
                  </w:r>
                </w:p>
              </w:tc>
              <w:tc>
                <w:tcPr>
                  <w:tcW w:w="68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条</w:t>
                  </w:r>
                </w:p>
              </w:tc>
              <w:tc>
                <w:tcPr>
                  <w:tcW w:w="57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6</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07" w:hRule="atLeast"/>
              </w:trPr>
              <w:tc>
                <w:tcPr>
                  <w:tcW w:w="1049" w:type="pct"/>
                  <w:tcBorders>
                    <w:left w:val="single" w:color="auto" w:sz="4" w:space="0"/>
                  </w:tcBorders>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筛分机</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5"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台</w:t>
                  </w:r>
                </w:p>
              </w:tc>
              <w:tc>
                <w:tcPr>
                  <w:tcW w:w="57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1</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07" w:hRule="atLeast"/>
              </w:trPr>
              <w:tc>
                <w:tcPr>
                  <w:tcW w:w="1049" w:type="pct"/>
                  <w:tcBorders>
                    <w:left w:val="single" w:color="auto" w:sz="4" w:space="0"/>
                  </w:tcBorders>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洗砂机</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台</w:t>
                  </w:r>
                </w:p>
              </w:tc>
              <w:tc>
                <w:tcPr>
                  <w:tcW w:w="57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2</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07" w:hRule="atLeast"/>
              </w:trPr>
              <w:tc>
                <w:tcPr>
                  <w:tcW w:w="1049" w:type="pct"/>
                  <w:tcBorders>
                    <w:left w:val="single" w:color="auto" w:sz="4" w:space="0"/>
                  </w:tcBorders>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制砂机</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台</w:t>
                  </w:r>
                </w:p>
              </w:tc>
              <w:tc>
                <w:tcPr>
                  <w:tcW w:w="57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1</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07" w:hRule="atLeast"/>
              </w:trPr>
              <w:tc>
                <w:tcPr>
                  <w:tcW w:w="1049" w:type="pct"/>
                  <w:tcBorders>
                    <w:left w:val="single" w:color="auto" w:sz="4" w:space="0"/>
                  </w:tcBorders>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压滤机</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5" w:type="pct"/>
                  <w:noWrap w:val="0"/>
                  <w:vAlign w:val="center"/>
                </w:tcPr>
                <w:p>
                  <w:pPr>
                    <w:pStyle w:val="59"/>
                    <w:spacing w:line="240" w:lineRule="auto"/>
                    <w:rPr>
                      <w:rFonts w:hint="eastAsia" w:ascii="Times New Roman"/>
                      <w:color w:val="000000" w:themeColor="text1"/>
                      <w:sz w:val="21"/>
                      <w:szCs w:val="21"/>
                      <w:lang w:eastAsia="zh-CN"/>
                      <w14:textFill>
                        <w14:solidFill>
                          <w14:schemeClr w14:val="tx1"/>
                        </w14:solidFill>
                      </w14:textFill>
                    </w:rPr>
                  </w:pPr>
                  <w:r>
                    <w:rPr>
                      <w:rFonts w:hint="eastAsia" w:ascii="Times New Roman"/>
                      <w:color w:val="000000" w:themeColor="text1"/>
                      <w:sz w:val="21"/>
                      <w:szCs w:val="21"/>
                      <w:lang w:eastAsia="zh-CN"/>
                      <w14:textFill>
                        <w14:solidFill>
                          <w14:schemeClr w14:val="tx1"/>
                        </w14:solidFill>
                      </w14:textFill>
                    </w:rPr>
                    <w:t>台</w:t>
                  </w:r>
                </w:p>
              </w:tc>
              <w:tc>
                <w:tcPr>
                  <w:tcW w:w="575" w:type="pct"/>
                  <w:noWrap w:val="0"/>
                  <w:vAlign w:val="center"/>
                </w:tcPr>
                <w:p>
                  <w:pPr>
                    <w:pStyle w:val="59"/>
                    <w:spacing w:line="240" w:lineRule="auto"/>
                    <w:rPr>
                      <w:rFonts w:hint="default" w:ascii="Times New Roman"/>
                      <w:color w:val="000000" w:themeColor="text1"/>
                      <w:sz w:val="21"/>
                      <w:szCs w:val="21"/>
                      <w:lang w:val="en-US" w:eastAsia="zh-CN"/>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2</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07" w:hRule="atLeast"/>
              </w:trPr>
              <w:tc>
                <w:tcPr>
                  <w:tcW w:w="1049" w:type="pct"/>
                  <w:tcBorders>
                    <w:lef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生活车</w:t>
                  </w:r>
                </w:p>
              </w:tc>
              <w:tc>
                <w:tcPr>
                  <w:tcW w:w="1069"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5"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辆</w:t>
                  </w:r>
                </w:p>
              </w:tc>
              <w:tc>
                <w:tcPr>
                  <w:tcW w:w="575"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c>
                <w:tcPr>
                  <w:tcW w:w="937" w:type="pct"/>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c>
                <w:tcPr>
                  <w:tcW w:w="682" w:type="pct"/>
                  <w:tcBorders>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318" w:hRule="atLeast"/>
              </w:trPr>
              <w:tc>
                <w:tcPr>
                  <w:tcW w:w="1049" w:type="pct"/>
                  <w:tcBorders>
                    <w:left w:val="single" w:color="auto" w:sz="4" w:space="0"/>
                    <w:bottom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简易洒水车</w:t>
                  </w:r>
                </w:p>
              </w:tc>
              <w:tc>
                <w:tcPr>
                  <w:tcW w:w="1069" w:type="pct"/>
                  <w:tcBorders>
                    <w:bottom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5t</w:t>
                  </w:r>
                </w:p>
              </w:tc>
              <w:tc>
                <w:tcPr>
                  <w:tcW w:w="685" w:type="pct"/>
                  <w:tcBorders>
                    <w:bottom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辆</w:t>
                  </w:r>
                </w:p>
              </w:tc>
              <w:tc>
                <w:tcPr>
                  <w:tcW w:w="575" w:type="pct"/>
                  <w:tcBorders>
                    <w:bottom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c>
                <w:tcPr>
                  <w:tcW w:w="937" w:type="pct"/>
                  <w:tcBorders>
                    <w:bottom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5t</w:t>
                  </w:r>
                </w:p>
              </w:tc>
              <w:tc>
                <w:tcPr>
                  <w:tcW w:w="682" w:type="pct"/>
                  <w:tcBorders>
                    <w:bottom w:val="single" w:color="auto" w:sz="4" w:space="0"/>
                    <w:right w:val="single" w:color="auto" w:sz="4" w:space="0"/>
                  </w:tcBorders>
                  <w:noWrap w:val="0"/>
                  <w:vAlign w:val="center"/>
                </w:tcPr>
                <w:p>
                  <w:pPr>
                    <w:pStyle w:val="59"/>
                    <w:spacing w:line="240" w:lineRule="auto"/>
                    <w:rPr>
                      <w:rFonts w:ascii="Times New Roman"/>
                      <w:color w:val="000000" w:themeColor="text1"/>
                      <w:sz w:val="21"/>
                      <w:szCs w:val="21"/>
                      <w14:textFill>
                        <w14:solidFill>
                          <w14:schemeClr w14:val="tx1"/>
                        </w14:solidFill>
                      </w14:textFill>
                    </w:rPr>
                  </w:pPr>
                </w:p>
              </w:tc>
            </w:tr>
          </w:tbl>
          <w:p>
            <w:pPr>
              <w:adjustRightInd w:val="0"/>
              <w:snapToGrid w:val="0"/>
              <w:spacing w:line="360" w:lineRule="auto"/>
              <w:ind w:firstLine="482" w:firstLineChars="200"/>
              <w:rPr>
                <w:color w:val="000000" w:themeColor="text1"/>
                <w:sz w:val="24"/>
                <w:highlight w:val="yellow"/>
                <w14:textFill>
                  <w14:solidFill>
                    <w14:schemeClr w14:val="tx1"/>
                  </w14:solidFill>
                </w14:textFill>
              </w:rPr>
            </w:pPr>
            <w:r>
              <w:rPr>
                <w:rFonts w:hint="eastAsia"/>
                <w:b/>
                <w:color w:val="000000" w:themeColor="text1"/>
                <w:sz w:val="24"/>
                <w:lang w:val="en-US" w:eastAsia="zh-CN"/>
                <w14:textFill>
                  <w14:solidFill>
                    <w14:schemeClr w14:val="tx1"/>
                  </w14:solidFill>
                </w14:textFill>
              </w:rPr>
              <w:t>6</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工程占地</w:t>
            </w:r>
          </w:p>
          <w:p>
            <w:pPr>
              <w:spacing w:line="360" w:lineRule="auto"/>
              <w:ind w:firstLine="480" w:firstLineChars="200"/>
              <w:rPr>
                <w:rFonts w:hint="eastAsia" w:eastAsia="宋体"/>
                <w:bCs/>
                <w:color w:val="000000" w:themeColor="text1"/>
                <w:sz w:val="24"/>
                <w:highlight w:val="yellow"/>
                <w:lang w:eastAsia="zh-CN"/>
                <w14:textFill>
                  <w14:solidFill>
                    <w14:schemeClr w14:val="tx1"/>
                  </w14:solidFill>
                </w14:textFill>
              </w:rPr>
            </w:pPr>
            <w:r>
              <w:rPr>
                <w:bCs/>
                <w:color w:val="000000" w:themeColor="text1"/>
                <w:sz w:val="24"/>
                <w:highlight w:val="none"/>
                <w14:textFill>
                  <w14:solidFill>
                    <w14:schemeClr w14:val="tx1"/>
                  </w14:solidFill>
                </w14:textFill>
              </w:rPr>
              <w:t>项目占地包括矿区和</w:t>
            </w:r>
            <w:r>
              <w:rPr>
                <w:rFonts w:hint="eastAsia"/>
                <w:bCs/>
                <w:color w:val="000000" w:themeColor="text1"/>
                <w:sz w:val="24"/>
                <w:highlight w:val="none"/>
                <w14:textFill>
                  <w14:solidFill>
                    <w14:schemeClr w14:val="tx1"/>
                  </w14:solidFill>
                </w14:textFill>
              </w:rPr>
              <w:t>加工区</w:t>
            </w:r>
            <w:r>
              <w:rPr>
                <w:bCs/>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采矿权面积0.0877km</w:t>
            </w:r>
            <w:r>
              <w:rPr>
                <w:rFonts w:hint="default" w:ascii="Times New Roman" w:hAnsi="Times New Roman" w:cs="Times New Roman"/>
                <w:color w:val="000000" w:themeColor="text1"/>
                <w:sz w:val="24"/>
                <w:vertAlign w:val="superscript"/>
                <w14:textFill>
                  <w14:solidFill>
                    <w14:schemeClr w14:val="tx1"/>
                  </w14:solidFill>
                </w14:textFill>
              </w:rPr>
              <w:t>2</w:t>
            </w:r>
            <w:r>
              <w:rPr>
                <w:rFonts w:hint="eastAsia" w:ascii="Times New Roman" w:hAnsi="Times New Roman" w:cs="Times New Roman"/>
                <w:color w:val="000000" w:themeColor="text1"/>
                <w:sz w:val="24"/>
                <w:vertAlign w:val="baseline"/>
                <w:lang w:eastAsia="zh-CN"/>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甘肃省东乡族自治县建筑用砂石料采矿权成交确认书</w:t>
            </w:r>
            <w:r>
              <w:rPr>
                <w:rFonts w:hint="eastAsia" w:ascii="Times New Roman" w:hAnsi="Times New Roman" w:cs="Times New Roman"/>
                <w:color w:val="000000" w:themeColor="text1"/>
                <w:sz w:val="24"/>
                <w:vertAlign w:val="baseline"/>
                <w:lang w:eastAsia="zh-CN"/>
                <w14:textFill>
                  <w14:solidFill>
                    <w14:schemeClr w14:val="tx1"/>
                  </w14:solidFill>
                </w14:textFill>
              </w:rPr>
              <w:t>）</w:t>
            </w:r>
            <w:r>
              <w:rPr>
                <w:rFonts w:hint="eastAsia" w:cs="Times New Roman"/>
                <w:color w:val="000000" w:themeColor="text1"/>
                <w:sz w:val="24"/>
                <w:vertAlign w:val="baseline"/>
                <w:lang w:eastAsia="zh-CN"/>
                <w14:textFill>
                  <w14:solidFill>
                    <w14:schemeClr w14:val="tx1"/>
                  </w14:solidFill>
                </w14:textFill>
              </w:rPr>
              <w:t>，加工区面积</w:t>
            </w:r>
            <w:r>
              <w:rPr>
                <w:rFonts w:hint="eastAsia" w:cs="Times New Roman"/>
                <w:color w:val="000000" w:themeColor="text1"/>
                <w:sz w:val="24"/>
                <w:vertAlign w:val="baseline"/>
                <w:lang w:val="en-US" w:eastAsia="zh-CN"/>
                <w14:textFill>
                  <w14:solidFill>
                    <w14:schemeClr w14:val="tx1"/>
                  </w14:solidFill>
                </w14:textFill>
              </w:rPr>
              <w:t>15.28公顷</w:t>
            </w:r>
            <w:r>
              <w:rPr>
                <w:rFonts w:hint="eastAsia" w:ascii="Times New Roman" w:hAnsi="Times New Roman" w:cs="Times New Roman"/>
                <w:color w:val="000000" w:themeColor="text1"/>
                <w:sz w:val="24"/>
                <w:highlight w:val="none"/>
                <w:vertAlign w:val="baseline"/>
                <w:lang w:eastAsia="zh-CN"/>
                <w14:textFill>
                  <w14:solidFill>
                    <w14:schemeClr w14:val="tx1"/>
                  </w14:solidFill>
                </w14:textFill>
              </w:rPr>
              <w:t>。</w:t>
            </w:r>
          </w:p>
          <w:p>
            <w:pPr>
              <w:numPr>
                <w:ilvl w:val="0"/>
                <w:numId w:val="4"/>
              </w:numPr>
              <w:adjustRightInd w:val="0"/>
              <w:snapToGrid w:val="0"/>
              <w:spacing w:line="360" w:lineRule="auto"/>
              <w:ind w:firstLine="482" w:firstLineChars="200"/>
              <w:rPr>
                <w:rFonts w:hint="eastAsia"/>
                <w:b/>
                <w:color w:val="000000" w:themeColor="text1"/>
                <w:sz w:val="24"/>
                <w:highlight w:val="none"/>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劳动定员及生产制度</w:t>
            </w:r>
          </w:p>
          <w:p>
            <w:pPr>
              <w:autoSpaceDE w:val="0"/>
              <w:autoSpaceDN w:val="0"/>
              <w:adjustRightInd w:val="0"/>
              <w:snapToGrid w:val="0"/>
              <w:spacing w:line="360" w:lineRule="auto"/>
              <w:ind w:firstLine="480" w:firstLineChars="200"/>
              <w:jc w:val="left"/>
              <w:rPr>
                <w:rFonts w:hint="eastAsia"/>
                <w:color w:val="000000" w:themeColor="text1"/>
                <w:highlight w:val="none"/>
                <w:lang w:val="en-US" w:eastAsia="zh-CN"/>
                <w14:textFill>
                  <w14:solidFill>
                    <w14:schemeClr w14:val="tx1"/>
                  </w14:solidFill>
                </w14:textFill>
              </w:rPr>
            </w:pPr>
            <w:r>
              <w:rPr>
                <w:rFonts w:ascii="宋体" w:hAnsi="宋体"/>
                <w:color w:val="000000" w:themeColor="text1"/>
                <w:kern w:val="0"/>
                <w:sz w:val="24"/>
                <w:highlight w:val="none"/>
                <w14:textFill>
                  <w14:solidFill>
                    <w14:schemeClr w14:val="tx1"/>
                  </w14:solidFill>
                </w14:textFill>
              </w:rPr>
              <w:t>项目劳动定员</w:t>
            </w:r>
            <w:r>
              <w:rPr>
                <w:rFonts w:hint="eastAsia"/>
                <w:color w:val="000000" w:themeColor="text1"/>
                <w:kern w:val="0"/>
                <w:sz w:val="24"/>
                <w:highlight w:val="none"/>
                <w:lang w:val="en-US" w:eastAsia="zh-CN"/>
                <w14:textFill>
                  <w14:solidFill>
                    <w14:schemeClr w14:val="tx1"/>
                  </w14:solidFill>
                </w14:textFill>
              </w:rPr>
              <w:t>15</w:t>
            </w:r>
            <w:r>
              <w:rPr>
                <w:rFonts w:ascii="宋体" w:hAnsi="宋体"/>
                <w:color w:val="000000" w:themeColor="text1"/>
                <w:kern w:val="0"/>
                <w:sz w:val="24"/>
                <w:highlight w:val="none"/>
                <w14:textFill>
                  <w14:solidFill>
                    <w14:schemeClr w14:val="tx1"/>
                  </w14:solidFill>
                </w14:textFill>
              </w:rPr>
              <w:t>人，年工作天数为</w:t>
            </w:r>
            <w:r>
              <w:rPr>
                <w:rFonts w:hint="eastAsia"/>
                <w:color w:val="000000" w:themeColor="text1"/>
                <w:kern w:val="0"/>
                <w:sz w:val="24"/>
                <w:highlight w:val="none"/>
                <w:lang w:val="en-US" w:eastAsia="zh-CN"/>
                <w14:textFill>
                  <w14:solidFill>
                    <w14:schemeClr w14:val="tx1"/>
                  </w14:solidFill>
                </w14:textFill>
              </w:rPr>
              <w:t>300</w:t>
            </w:r>
            <w:r>
              <w:rPr>
                <w:rFonts w:ascii="宋体" w:hAnsi="宋体"/>
                <w:color w:val="000000" w:themeColor="text1"/>
                <w:kern w:val="0"/>
                <w:sz w:val="24"/>
                <w:highlight w:val="none"/>
                <w14:textFill>
                  <w14:solidFill>
                    <w14:schemeClr w14:val="tx1"/>
                  </w14:solidFill>
                </w14:textFill>
              </w:rPr>
              <w:t>天，每天工作</w:t>
            </w:r>
            <w:r>
              <w:rPr>
                <w:color w:val="000000" w:themeColor="text1"/>
                <w:kern w:val="0"/>
                <w:sz w:val="24"/>
                <w:highlight w:val="none"/>
                <w14:textFill>
                  <w14:solidFill>
                    <w14:schemeClr w14:val="tx1"/>
                  </w14:solidFill>
                </w14:textFill>
              </w:rPr>
              <w:t>8</w:t>
            </w:r>
            <w:r>
              <w:rPr>
                <w:rFonts w:ascii="宋体" w:hAnsi="宋体"/>
                <w:color w:val="000000" w:themeColor="text1"/>
                <w:kern w:val="0"/>
                <w:sz w:val="24"/>
                <w:highlight w:val="none"/>
                <w14:textFill>
                  <w14:solidFill>
                    <w14:schemeClr w14:val="tx1"/>
                  </w14:solidFill>
                </w14:textFill>
              </w:rPr>
              <w:t>小时</w:t>
            </w:r>
            <w:r>
              <w:rPr>
                <w:rFonts w:hint="eastAsia" w:ascii="宋体" w:hAnsi="宋体"/>
                <w:color w:val="000000" w:themeColor="text1"/>
                <w:kern w:val="0"/>
                <w:sz w:val="24"/>
                <w:highlight w:val="none"/>
                <w:lang w:eastAsia="zh-CN"/>
                <w14:textFill>
                  <w14:solidFill>
                    <w14:schemeClr w14:val="tx1"/>
                  </w14:solidFill>
                </w14:textFill>
              </w:rPr>
              <w:t>，</w:t>
            </w:r>
            <w:r>
              <w:rPr>
                <w:rFonts w:hint="eastAsia" w:ascii="宋体" w:hAnsi="宋体"/>
                <w:color w:val="000000" w:themeColor="text1"/>
                <w:kern w:val="0"/>
                <w:sz w:val="24"/>
                <w:highlight w:val="none"/>
                <w:lang w:val="en-US" w:eastAsia="zh-CN"/>
                <w14:textFill>
                  <w14:solidFill>
                    <w14:schemeClr w14:val="tx1"/>
                  </w14:solidFill>
                </w14:textFill>
              </w:rPr>
              <w:t>夜间不运行</w:t>
            </w:r>
            <w:r>
              <w:rPr>
                <w:rFonts w:ascii="宋体" w:hAnsi="宋体"/>
                <w:color w:val="000000" w:themeColor="text1"/>
                <w:sz w:val="24"/>
                <w:highlight w:val="none"/>
                <w14:textFill>
                  <w14:solidFill>
                    <w14:schemeClr w14:val="tx1"/>
                  </w14:solidFill>
                </w14:textFill>
              </w:rPr>
              <w:t>。</w:t>
            </w:r>
          </w:p>
          <w:p>
            <w:pPr>
              <w:numPr>
                <w:ilvl w:val="0"/>
                <w:numId w:val="4"/>
              </w:numPr>
              <w:adjustRightInd w:val="0"/>
              <w:snapToGrid w:val="0"/>
              <w:spacing w:line="360" w:lineRule="auto"/>
              <w:ind w:firstLine="482" w:firstLineChars="200"/>
              <w:rPr>
                <w:b/>
                <w:color w:val="000000" w:themeColor="text1"/>
                <w:sz w:val="24"/>
                <w:highlight w:val="none"/>
                <w14:textFill>
                  <w14:solidFill>
                    <w14:schemeClr w14:val="tx1"/>
                  </w14:solidFill>
                </w14:textFill>
              </w:rPr>
            </w:pPr>
            <w:r>
              <w:rPr>
                <w:b/>
                <w:color w:val="000000" w:themeColor="text1"/>
                <w:sz w:val="24"/>
                <w:highlight w:val="none"/>
                <w14:textFill>
                  <w14:solidFill>
                    <w14:schemeClr w14:val="tx1"/>
                  </w14:solidFill>
                </w14:textFill>
              </w:rPr>
              <w:t>公用工程</w:t>
            </w:r>
          </w:p>
          <w:p>
            <w:pPr>
              <w:adjustRightInd w:val="0"/>
              <w:snapToGrid w:val="0"/>
              <w:spacing w:line="360" w:lineRule="auto"/>
              <w:ind w:left="482"/>
              <w:rPr>
                <w:b/>
                <w:color w:val="000000" w:themeColor="text1"/>
                <w:sz w:val="24"/>
                <w:highlight w:val="none"/>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8</w:t>
            </w:r>
            <w:r>
              <w:rPr>
                <w:b/>
                <w:color w:val="000000" w:themeColor="text1"/>
                <w:sz w:val="24"/>
                <w:highlight w:val="none"/>
                <w14:textFill>
                  <w14:solidFill>
                    <w14:schemeClr w14:val="tx1"/>
                  </w14:solidFill>
                </w14:textFill>
              </w:rPr>
              <w:t>.1给水</w:t>
            </w:r>
          </w:p>
          <w:p>
            <w:pPr>
              <w:adjustRightInd w:val="0"/>
              <w:snapToGrid w:val="0"/>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（1）供水水源</w:t>
            </w:r>
          </w:p>
          <w:p>
            <w:pPr>
              <w:adjustRightInd w:val="0"/>
              <w:snapToGrid w:val="0"/>
              <w:spacing w:line="360" w:lineRule="auto"/>
              <w:ind w:firstLine="464" w:firstLineChars="200"/>
              <w:jc w:val="both"/>
              <w:rPr>
                <w:rFonts w:hint="default" w:ascii="Times New Roman" w:hAnsi="Times New Roman" w:eastAsia="宋体" w:cs="Times New Roman"/>
                <w:b w:val="0"/>
                <w:bCs w:val="0"/>
                <w:color w:val="000000"/>
                <w:spacing w:val="-4"/>
                <w:kern w:val="0"/>
                <w:sz w:val="24"/>
                <w:szCs w:val="24"/>
                <w:highlight w:val="none"/>
                <w:lang w:val="en-US" w:eastAsia="zh-CN" w:bidi="ar-SA"/>
              </w:rPr>
            </w:pPr>
            <w:r>
              <w:rPr>
                <w:rFonts w:hint="eastAsia" w:ascii="Times New Roman" w:hAnsi="Times New Roman" w:eastAsia="宋体" w:cs="Times New Roman"/>
                <w:b w:val="0"/>
                <w:bCs w:val="0"/>
                <w:color w:val="000000"/>
                <w:spacing w:val="-4"/>
                <w:kern w:val="0"/>
                <w:sz w:val="24"/>
                <w:szCs w:val="24"/>
                <w:highlight w:val="none"/>
                <w:lang w:val="en-US" w:eastAsia="zh-CN" w:bidi="ar-SA"/>
              </w:rPr>
              <w:t>项目生产生活用水</w:t>
            </w:r>
            <w:r>
              <w:rPr>
                <w:rFonts w:hint="default" w:ascii="Times New Roman" w:hAnsi="Times New Roman" w:eastAsia="宋体" w:cs="Times New Roman"/>
                <w:b w:val="0"/>
                <w:bCs w:val="0"/>
                <w:color w:val="000000"/>
                <w:spacing w:val="-4"/>
                <w:kern w:val="0"/>
                <w:sz w:val="24"/>
                <w:szCs w:val="24"/>
                <w:highlight w:val="none"/>
                <w:lang w:val="en-US" w:eastAsia="zh-CN" w:bidi="ar-SA"/>
              </w:rPr>
              <w:t>水源可与达板镇自来水厂协商</w:t>
            </w:r>
            <w:r>
              <w:rPr>
                <w:rFonts w:hint="eastAsia" w:ascii="Times New Roman" w:hAnsi="Times New Roman" w:eastAsia="宋体" w:cs="Times New Roman"/>
                <w:b w:val="0"/>
                <w:bCs w:val="0"/>
                <w:color w:val="000000"/>
                <w:spacing w:val="-4"/>
                <w:kern w:val="0"/>
                <w:sz w:val="24"/>
                <w:szCs w:val="24"/>
                <w:highlight w:val="none"/>
                <w:lang w:val="en-US" w:eastAsia="zh-CN" w:bidi="ar-SA"/>
              </w:rPr>
              <w:t>，从</w:t>
            </w:r>
            <w:r>
              <w:rPr>
                <w:rFonts w:hint="default" w:ascii="Times New Roman" w:hAnsi="Times New Roman" w:eastAsia="宋体" w:cs="Times New Roman"/>
                <w:b w:val="0"/>
                <w:bCs w:val="0"/>
                <w:color w:val="000000"/>
                <w:spacing w:val="-4"/>
                <w:kern w:val="0"/>
                <w:sz w:val="24"/>
                <w:szCs w:val="24"/>
                <w:highlight w:val="none"/>
                <w:lang w:val="en-US" w:eastAsia="zh-CN" w:bidi="ar-SA"/>
              </w:rPr>
              <w:t>舀水村自来水供水管网</w:t>
            </w:r>
            <w:r>
              <w:rPr>
                <w:rFonts w:hint="eastAsia" w:ascii="Times New Roman" w:hAnsi="Times New Roman" w:eastAsia="宋体" w:cs="Times New Roman"/>
                <w:b w:val="0"/>
                <w:bCs w:val="0"/>
                <w:color w:val="000000"/>
                <w:spacing w:val="-4"/>
                <w:kern w:val="0"/>
                <w:sz w:val="24"/>
                <w:szCs w:val="24"/>
                <w:highlight w:val="none"/>
                <w:lang w:val="en-US" w:eastAsia="zh-CN" w:bidi="ar-SA"/>
              </w:rPr>
              <w:t>引入办公生活区及加工工业场地</w:t>
            </w:r>
            <w:r>
              <w:rPr>
                <w:rFonts w:hint="default" w:ascii="Times New Roman" w:hAnsi="Times New Roman" w:eastAsia="宋体" w:cs="Times New Roman"/>
                <w:b w:val="0"/>
                <w:bCs w:val="0"/>
                <w:color w:val="000000"/>
                <w:spacing w:val="-4"/>
                <w:kern w:val="0"/>
                <w:sz w:val="24"/>
                <w:szCs w:val="24"/>
                <w:highlight w:val="none"/>
                <w:lang w:val="en-US" w:eastAsia="zh-CN" w:bidi="ar-SA"/>
              </w:rPr>
              <w:t>。</w:t>
            </w:r>
          </w:p>
          <w:p>
            <w:pPr>
              <w:adjustRightInd w:val="0"/>
              <w:snapToGrid w:val="0"/>
              <w:spacing w:line="360" w:lineRule="auto"/>
              <w:ind w:left="479" w:leftChars="228" w:firstLine="0" w:firstLineChars="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（2）用水量</w:t>
            </w:r>
          </w:p>
          <w:p>
            <w:pPr>
              <w:pStyle w:val="12"/>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firstLine="464" w:firstLineChars="200"/>
              <w:textAlignment w:val="auto"/>
              <w:rPr>
                <w:rFonts w:hint="default" w:ascii="Times New Roman" w:hAnsi="Times New Roman" w:eastAsia="宋体" w:cs="Times New Roman"/>
                <w:b w:val="0"/>
                <w:bCs w:val="0"/>
                <w:color w:val="000000"/>
                <w:spacing w:val="-4"/>
                <w:sz w:val="24"/>
                <w:szCs w:val="24"/>
                <w:highlight w:val="none"/>
                <w:lang w:val="en-US" w:eastAsia="zh-CN"/>
              </w:rPr>
            </w:pPr>
            <w:r>
              <w:rPr>
                <w:rFonts w:hint="default" w:ascii="Times New Roman" w:hAnsi="Times New Roman" w:eastAsia="宋体" w:cs="Times New Roman"/>
                <w:b w:val="0"/>
                <w:bCs w:val="0"/>
                <w:color w:val="000000"/>
                <w:spacing w:val="-4"/>
                <w:sz w:val="24"/>
                <w:szCs w:val="24"/>
                <w:highlight w:val="none"/>
                <w:lang w:val="en-US" w:eastAsia="zh-CN"/>
              </w:rPr>
              <w:t>项目运营期生活污水产排情况见表</w:t>
            </w:r>
            <w:r>
              <w:rPr>
                <w:rFonts w:hint="eastAsia" w:cs="Times New Roman"/>
                <w:b w:val="0"/>
                <w:bCs w:val="0"/>
                <w:color w:val="000000"/>
                <w:spacing w:val="-4"/>
                <w:sz w:val="24"/>
                <w:szCs w:val="24"/>
                <w:highlight w:val="none"/>
                <w:lang w:val="en-US" w:eastAsia="zh-CN"/>
              </w:rPr>
              <w:t>2-7</w:t>
            </w:r>
            <w:r>
              <w:rPr>
                <w:rFonts w:hint="default" w:ascii="Times New Roman" w:hAnsi="Times New Roman" w:eastAsia="宋体" w:cs="Times New Roman"/>
                <w:b w:val="0"/>
                <w:bCs w:val="0"/>
                <w:color w:val="000000"/>
                <w:spacing w:val="-4"/>
                <w:sz w:val="24"/>
                <w:szCs w:val="24"/>
                <w:highlight w:val="none"/>
                <w:lang w:val="en-US" w:eastAsia="zh-CN"/>
              </w:rPr>
              <w:t>。</w:t>
            </w:r>
          </w:p>
          <w:p>
            <w:pPr>
              <w:adjustRightInd w:val="0"/>
              <w:snapToGrid w:val="0"/>
              <w:spacing w:line="360" w:lineRule="auto"/>
              <w:ind w:firstLine="472" w:firstLineChars="196"/>
              <w:jc w:val="center"/>
              <w:rPr>
                <w:rFonts w:eastAsia="黑体"/>
                <w:b/>
                <w:bCs/>
                <w:sz w:val="24"/>
                <w:highlight w:val="none"/>
              </w:rPr>
            </w:pPr>
            <w:r>
              <w:rPr>
                <w:b/>
                <w:bCs/>
                <w:sz w:val="24"/>
                <w:highlight w:val="none"/>
              </w:rPr>
              <w:t>表</w:t>
            </w:r>
            <w:r>
              <w:rPr>
                <w:rFonts w:hint="eastAsia"/>
                <w:b/>
                <w:bCs/>
                <w:sz w:val="24"/>
                <w:highlight w:val="none"/>
                <w:lang w:val="en-US" w:eastAsia="zh-CN"/>
              </w:rPr>
              <w:t>2-7</w:t>
            </w:r>
            <w:r>
              <w:rPr>
                <w:b/>
                <w:bCs/>
                <w:sz w:val="24"/>
                <w:highlight w:val="none"/>
              </w:rPr>
              <w:t xml:space="preserve"> </w:t>
            </w:r>
            <w:r>
              <w:rPr>
                <w:rFonts w:hint="eastAsia"/>
                <w:b/>
                <w:bCs/>
                <w:sz w:val="24"/>
                <w:highlight w:val="none"/>
              </w:rPr>
              <w:t xml:space="preserve">              </w:t>
            </w:r>
            <w:r>
              <w:rPr>
                <w:b/>
                <w:bCs/>
                <w:sz w:val="24"/>
                <w:highlight w:val="none"/>
              </w:rPr>
              <w:t>项目用水量情况表</w:t>
            </w:r>
          </w:p>
          <w:tbl>
            <w:tblPr>
              <w:tblStyle w:val="28"/>
              <w:tblW w:w="7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720"/>
              <w:gridCol w:w="1575"/>
              <w:gridCol w:w="907"/>
              <w:gridCol w:w="1215"/>
              <w:gridCol w:w="973"/>
              <w:gridCol w:w="999"/>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jc w:val="center"/>
              </w:trPr>
              <w:tc>
                <w:tcPr>
                  <w:tcW w:w="651" w:type="dxa"/>
                  <w:tcBorders>
                    <w:tl2br w:val="nil"/>
                    <w:tr2bl w:val="nil"/>
                  </w:tcBorders>
                  <w:noWrap w:val="0"/>
                  <w:vAlign w:val="center"/>
                </w:tcPr>
                <w:p>
                  <w:pPr>
                    <w:pStyle w:val="81"/>
                    <w:snapToGrid w:val="0"/>
                    <w:spacing w:before="0" w:after="0"/>
                    <w:rPr>
                      <w:color w:val="000000"/>
                      <w:highlight w:val="none"/>
                    </w:rPr>
                  </w:pPr>
                  <w:r>
                    <w:rPr>
                      <w:color w:val="000000"/>
                      <w:highlight w:val="none"/>
                    </w:rPr>
                    <w:t>序号</w:t>
                  </w:r>
                </w:p>
              </w:tc>
              <w:tc>
                <w:tcPr>
                  <w:tcW w:w="2295" w:type="dxa"/>
                  <w:gridSpan w:val="2"/>
                  <w:tcBorders>
                    <w:tl2br w:val="nil"/>
                    <w:tr2bl w:val="nil"/>
                  </w:tcBorders>
                  <w:noWrap w:val="0"/>
                  <w:vAlign w:val="center"/>
                </w:tcPr>
                <w:p>
                  <w:pPr>
                    <w:pStyle w:val="81"/>
                    <w:snapToGrid w:val="0"/>
                    <w:spacing w:before="0" w:after="0"/>
                    <w:rPr>
                      <w:color w:val="000000"/>
                      <w:highlight w:val="none"/>
                    </w:rPr>
                  </w:pPr>
                  <w:r>
                    <w:rPr>
                      <w:color w:val="000000"/>
                      <w:highlight w:val="none"/>
                    </w:rPr>
                    <w:t>类别</w:t>
                  </w:r>
                </w:p>
              </w:tc>
              <w:tc>
                <w:tcPr>
                  <w:tcW w:w="907" w:type="dxa"/>
                  <w:tcBorders>
                    <w:tl2br w:val="nil"/>
                    <w:tr2bl w:val="nil"/>
                  </w:tcBorders>
                  <w:noWrap w:val="0"/>
                  <w:vAlign w:val="center"/>
                </w:tcPr>
                <w:p>
                  <w:pPr>
                    <w:pStyle w:val="81"/>
                    <w:snapToGrid w:val="0"/>
                    <w:spacing w:before="0" w:after="0"/>
                    <w:rPr>
                      <w:color w:val="000000"/>
                      <w:highlight w:val="none"/>
                    </w:rPr>
                  </w:pPr>
                  <w:r>
                    <w:rPr>
                      <w:color w:val="000000"/>
                      <w:highlight w:val="none"/>
                    </w:rPr>
                    <w:t>用水规模</w:t>
                  </w:r>
                </w:p>
              </w:tc>
              <w:tc>
                <w:tcPr>
                  <w:tcW w:w="1215" w:type="dxa"/>
                  <w:tcBorders>
                    <w:tl2br w:val="nil"/>
                    <w:tr2bl w:val="nil"/>
                  </w:tcBorders>
                  <w:noWrap w:val="0"/>
                  <w:vAlign w:val="center"/>
                </w:tcPr>
                <w:p>
                  <w:pPr>
                    <w:pStyle w:val="81"/>
                    <w:snapToGrid w:val="0"/>
                    <w:spacing w:before="0" w:after="0"/>
                    <w:rPr>
                      <w:color w:val="000000"/>
                      <w:highlight w:val="none"/>
                    </w:rPr>
                  </w:pPr>
                  <w:r>
                    <w:rPr>
                      <w:color w:val="000000"/>
                      <w:highlight w:val="none"/>
                    </w:rPr>
                    <w:t>用水标准</w:t>
                  </w:r>
                </w:p>
              </w:tc>
              <w:tc>
                <w:tcPr>
                  <w:tcW w:w="973" w:type="dxa"/>
                  <w:tcBorders>
                    <w:tl2br w:val="nil"/>
                    <w:tr2bl w:val="nil"/>
                  </w:tcBorders>
                  <w:noWrap w:val="0"/>
                  <w:vAlign w:val="center"/>
                </w:tcPr>
                <w:p>
                  <w:pPr>
                    <w:pStyle w:val="81"/>
                    <w:snapToGrid w:val="0"/>
                    <w:spacing w:before="0" w:after="0"/>
                    <w:rPr>
                      <w:color w:val="000000"/>
                      <w:highlight w:val="none"/>
                    </w:rPr>
                  </w:pPr>
                  <w:r>
                    <w:rPr>
                      <w:color w:val="000000"/>
                      <w:highlight w:val="none"/>
                    </w:rPr>
                    <w:t>日用水量m</w:t>
                  </w:r>
                  <w:r>
                    <w:rPr>
                      <w:color w:val="000000"/>
                      <w:highlight w:val="none"/>
                      <w:vertAlign w:val="superscript"/>
                    </w:rPr>
                    <w:t>3</w:t>
                  </w:r>
                </w:p>
              </w:tc>
              <w:tc>
                <w:tcPr>
                  <w:tcW w:w="999" w:type="dxa"/>
                  <w:tcBorders>
                    <w:tl2br w:val="nil"/>
                    <w:tr2bl w:val="nil"/>
                  </w:tcBorders>
                  <w:noWrap w:val="0"/>
                  <w:vAlign w:val="center"/>
                </w:tcPr>
                <w:p>
                  <w:pPr>
                    <w:pStyle w:val="81"/>
                    <w:snapToGrid w:val="0"/>
                    <w:spacing w:before="0" w:after="0"/>
                    <w:rPr>
                      <w:color w:val="000000"/>
                      <w:highlight w:val="none"/>
                    </w:rPr>
                  </w:pPr>
                  <w:r>
                    <w:rPr>
                      <w:color w:val="000000"/>
                      <w:highlight w:val="none"/>
                    </w:rPr>
                    <w:t>年用数天数d</w:t>
                  </w:r>
                </w:p>
              </w:tc>
              <w:tc>
                <w:tcPr>
                  <w:tcW w:w="937" w:type="dxa"/>
                  <w:tcBorders>
                    <w:tl2br w:val="nil"/>
                    <w:tr2bl w:val="nil"/>
                  </w:tcBorders>
                  <w:noWrap w:val="0"/>
                  <w:vAlign w:val="center"/>
                </w:tcPr>
                <w:p>
                  <w:pPr>
                    <w:pStyle w:val="81"/>
                    <w:snapToGrid w:val="0"/>
                    <w:spacing w:before="0" w:after="0"/>
                    <w:rPr>
                      <w:color w:val="000000"/>
                      <w:highlight w:val="none"/>
                    </w:rPr>
                  </w:pPr>
                  <w:r>
                    <w:rPr>
                      <w:color w:val="000000"/>
                      <w:highlight w:val="none"/>
                    </w:rPr>
                    <w:t>年用水量m</w:t>
                  </w:r>
                  <w:r>
                    <w:rPr>
                      <w:color w:val="000000"/>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651" w:type="dxa"/>
                  <w:vMerge w:val="restart"/>
                  <w:tcBorders>
                    <w:tl2br w:val="nil"/>
                    <w:tr2bl w:val="nil"/>
                  </w:tcBorders>
                  <w:noWrap w:val="0"/>
                  <w:vAlign w:val="center"/>
                </w:tcPr>
                <w:p>
                  <w:pPr>
                    <w:pStyle w:val="81"/>
                    <w:snapToGrid w:val="0"/>
                    <w:spacing w:before="0" w:after="0"/>
                    <w:rPr>
                      <w:color w:val="000000"/>
                      <w:highlight w:val="none"/>
                    </w:rPr>
                  </w:pPr>
                  <w:r>
                    <w:rPr>
                      <w:color w:val="000000"/>
                      <w:highlight w:val="none"/>
                    </w:rPr>
                    <w:t>1</w:t>
                  </w:r>
                </w:p>
              </w:tc>
              <w:tc>
                <w:tcPr>
                  <w:tcW w:w="2295" w:type="dxa"/>
                  <w:gridSpan w:val="2"/>
                  <w:tcBorders>
                    <w:tl2br w:val="nil"/>
                    <w:tr2bl w:val="nil"/>
                  </w:tcBorders>
                  <w:noWrap w:val="0"/>
                  <w:vAlign w:val="center"/>
                </w:tcPr>
                <w:p>
                  <w:pPr>
                    <w:widowControl/>
                    <w:adjustRightInd w:val="0"/>
                    <w:snapToGrid w:val="0"/>
                    <w:jc w:val="center"/>
                    <w:rPr>
                      <w:rFonts w:hint="eastAsia" w:eastAsia="宋体"/>
                      <w:color w:val="000000"/>
                      <w:szCs w:val="21"/>
                      <w:highlight w:val="none"/>
                      <w:lang w:eastAsia="zh-CN"/>
                    </w:rPr>
                  </w:pPr>
                  <w:r>
                    <w:rPr>
                      <w:rFonts w:hint="default" w:ascii="Times New Roman" w:hAnsi="Times New Roman" w:cs="Times New Roman"/>
                      <w:color w:val="000000"/>
                      <w:sz w:val="21"/>
                      <w:szCs w:val="21"/>
                      <w:highlight w:val="none"/>
                    </w:rPr>
                    <w:t>职工生活用水</w:t>
                  </w:r>
                </w:p>
              </w:tc>
              <w:tc>
                <w:tcPr>
                  <w:tcW w:w="907"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15</w:t>
                  </w:r>
                </w:p>
              </w:tc>
              <w:tc>
                <w:tcPr>
                  <w:tcW w:w="1215" w:type="dxa"/>
                  <w:tcBorders>
                    <w:tl2br w:val="nil"/>
                    <w:tr2bl w:val="nil"/>
                  </w:tcBorders>
                  <w:noWrap w:val="0"/>
                  <w:vAlign w:val="center"/>
                </w:tcPr>
                <w:p>
                  <w:pPr>
                    <w:pStyle w:val="81"/>
                    <w:snapToGrid w:val="0"/>
                    <w:spacing w:before="0" w:after="0"/>
                    <w:rPr>
                      <w:color w:val="000000"/>
                      <w:highlight w:val="none"/>
                    </w:rPr>
                  </w:pPr>
                  <w:r>
                    <w:rPr>
                      <w:rFonts w:hint="eastAsia"/>
                      <w:color w:val="000000"/>
                      <w:highlight w:val="none"/>
                      <w:lang w:val="en-US" w:eastAsia="zh-CN"/>
                    </w:rPr>
                    <w:t>60</w:t>
                  </w:r>
                  <w:r>
                    <w:rPr>
                      <w:color w:val="000000"/>
                      <w:highlight w:val="none"/>
                    </w:rPr>
                    <w:t>L/人·d</w:t>
                  </w:r>
                </w:p>
              </w:tc>
              <w:tc>
                <w:tcPr>
                  <w:tcW w:w="973"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0.9</w:t>
                  </w:r>
                </w:p>
              </w:tc>
              <w:tc>
                <w:tcPr>
                  <w:tcW w:w="999"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300</w:t>
                  </w:r>
                </w:p>
              </w:tc>
              <w:tc>
                <w:tcPr>
                  <w:tcW w:w="937"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651" w:type="dxa"/>
                  <w:vMerge w:val="continue"/>
                  <w:tcBorders>
                    <w:tl2br w:val="nil"/>
                    <w:tr2bl w:val="nil"/>
                  </w:tcBorders>
                  <w:noWrap w:val="0"/>
                  <w:vAlign w:val="center"/>
                </w:tcPr>
                <w:p>
                  <w:pPr>
                    <w:pStyle w:val="81"/>
                    <w:snapToGrid w:val="0"/>
                    <w:spacing w:before="0" w:after="0"/>
                    <w:rPr>
                      <w:color w:val="000000"/>
                      <w:highlight w:val="none"/>
                    </w:rPr>
                  </w:pPr>
                </w:p>
              </w:tc>
              <w:tc>
                <w:tcPr>
                  <w:tcW w:w="2295" w:type="dxa"/>
                  <w:gridSpan w:val="2"/>
                  <w:tcBorders>
                    <w:tl2br w:val="nil"/>
                    <w:tr2bl w:val="nil"/>
                  </w:tcBorders>
                  <w:noWrap w:val="0"/>
                  <w:vAlign w:val="center"/>
                </w:tcPr>
                <w:p>
                  <w:pPr>
                    <w:widowControl/>
                    <w:adjustRightInd w:val="0"/>
                    <w:snapToGrid w:val="0"/>
                    <w:jc w:val="center"/>
                    <w:rPr>
                      <w:rFonts w:hint="eastAsia" w:ascii="Times New Roman" w:hAnsi="Times New Roman" w:eastAsia="宋体" w:cs="Times New Roman"/>
                      <w:color w:val="000000"/>
                      <w:sz w:val="21"/>
                      <w:szCs w:val="21"/>
                      <w:highlight w:val="none"/>
                      <w:lang w:eastAsia="zh-CN"/>
                    </w:rPr>
                  </w:pPr>
                  <w:r>
                    <w:rPr>
                      <w:rFonts w:hint="eastAsia" w:cs="Times New Roman"/>
                      <w:color w:val="000000"/>
                      <w:sz w:val="21"/>
                      <w:szCs w:val="21"/>
                      <w:highlight w:val="none"/>
                      <w:lang w:eastAsia="zh-CN"/>
                    </w:rPr>
                    <w:t>食堂用水</w:t>
                  </w:r>
                </w:p>
              </w:tc>
              <w:tc>
                <w:tcPr>
                  <w:tcW w:w="907" w:type="dxa"/>
                  <w:tcBorders>
                    <w:tl2br w:val="nil"/>
                    <w:tr2bl w:val="nil"/>
                  </w:tcBorders>
                  <w:noWrap w:val="0"/>
                  <w:vAlign w:val="center"/>
                </w:tcPr>
                <w:p>
                  <w:pPr>
                    <w:pStyle w:val="81"/>
                    <w:snapToGrid w:val="0"/>
                    <w:spacing w:before="0" w:after="0"/>
                    <w:rPr>
                      <w:rFonts w:hint="default"/>
                      <w:color w:val="000000"/>
                      <w:highlight w:val="none"/>
                      <w:lang w:val="en-US" w:eastAsia="zh-CN"/>
                    </w:rPr>
                  </w:pPr>
                  <w:r>
                    <w:rPr>
                      <w:rFonts w:hint="eastAsia"/>
                      <w:color w:val="000000"/>
                      <w:highlight w:val="none"/>
                      <w:lang w:val="en-US" w:eastAsia="zh-CN"/>
                    </w:rPr>
                    <w:t>6</w:t>
                  </w:r>
                </w:p>
              </w:tc>
              <w:tc>
                <w:tcPr>
                  <w:tcW w:w="1215" w:type="dxa"/>
                  <w:tcBorders>
                    <w:tl2br w:val="nil"/>
                    <w:tr2bl w:val="nil"/>
                  </w:tcBorders>
                  <w:noWrap w:val="0"/>
                  <w:vAlign w:val="center"/>
                </w:tcPr>
                <w:p>
                  <w:pPr>
                    <w:pStyle w:val="81"/>
                    <w:snapToGrid w:val="0"/>
                    <w:spacing w:before="0" w:after="0"/>
                    <w:rPr>
                      <w:rFonts w:hint="eastAsia"/>
                      <w:color w:val="000000"/>
                      <w:highlight w:val="none"/>
                      <w:lang w:val="en-US" w:eastAsia="zh-CN"/>
                    </w:rPr>
                  </w:pPr>
                  <w:r>
                    <w:rPr>
                      <w:rFonts w:hint="eastAsia"/>
                      <w:color w:val="000000"/>
                      <w:highlight w:val="none"/>
                      <w:lang w:val="en-US" w:eastAsia="zh-CN"/>
                    </w:rPr>
                    <w:t>60</w:t>
                  </w:r>
                  <w:r>
                    <w:rPr>
                      <w:color w:val="000000"/>
                      <w:highlight w:val="none"/>
                    </w:rPr>
                    <w:t>L/d</w:t>
                  </w:r>
                </w:p>
              </w:tc>
              <w:tc>
                <w:tcPr>
                  <w:tcW w:w="973" w:type="dxa"/>
                  <w:tcBorders>
                    <w:tl2br w:val="nil"/>
                    <w:tr2bl w:val="nil"/>
                  </w:tcBorders>
                  <w:noWrap w:val="0"/>
                  <w:vAlign w:val="center"/>
                </w:tcPr>
                <w:p>
                  <w:pPr>
                    <w:pStyle w:val="81"/>
                    <w:snapToGrid w:val="0"/>
                    <w:spacing w:before="0" w:after="0"/>
                    <w:rPr>
                      <w:rFonts w:hint="default"/>
                      <w:color w:val="000000"/>
                      <w:highlight w:val="none"/>
                      <w:lang w:val="en-US" w:eastAsia="zh-CN"/>
                    </w:rPr>
                  </w:pPr>
                  <w:r>
                    <w:rPr>
                      <w:rFonts w:hint="eastAsia"/>
                      <w:color w:val="000000"/>
                      <w:highlight w:val="none"/>
                      <w:lang w:val="en-US" w:eastAsia="zh-CN"/>
                    </w:rPr>
                    <w:t>0.36</w:t>
                  </w:r>
                </w:p>
              </w:tc>
              <w:tc>
                <w:tcPr>
                  <w:tcW w:w="999" w:type="dxa"/>
                  <w:tcBorders>
                    <w:tl2br w:val="nil"/>
                    <w:tr2bl w:val="nil"/>
                  </w:tcBorders>
                  <w:noWrap w:val="0"/>
                  <w:vAlign w:val="center"/>
                </w:tcPr>
                <w:p>
                  <w:pPr>
                    <w:pStyle w:val="81"/>
                    <w:snapToGrid w:val="0"/>
                    <w:spacing w:before="0" w:after="0"/>
                    <w:rPr>
                      <w:rFonts w:hint="default"/>
                      <w:color w:val="000000"/>
                      <w:highlight w:val="none"/>
                      <w:lang w:val="en-US" w:eastAsia="zh-CN"/>
                    </w:rPr>
                  </w:pPr>
                  <w:r>
                    <w:rPr>
                      <w:rFonts w:hint="eastAsia"/>
                      <w:color w:val="000000"/>
                      <w:highlight w:val="none"/>
                      <w:lang w:val="en-US" w:eastAsia="zh-CN"/>
                    </w:rPr>
                    <w:t>300</w:t>
                  </w:r>
                </w:p>
              </w:tc>
              <w:tc>
                <w:tcPr>
                  <w:tcW w:w="937" w:type="dxa"/>
                  <w:tcBorders>
                    <w:tl2br w:val="nil"/>
                    <w:tr2bl w:val="nil"/>
                  </w:tcBorders>
                  <w:noWrap w:val="0"/>
                  <w:vAlign w:val="center"/>
                </w:tcPr>
                <w:p>
                  <w:pPr>
                    <w:pStyle w:val="81"/>
                    <w:snapToGrid w:val="0"/>
                    <w:spacing w:before="0" w:after="0"/>
                    <w:rPr>
                      <w:rFonts w:hint="default"/>
                      <w:color w:val="000000"/>
                      <w:highlight w:val="none"/>
                      <w:lang w:val="en-US" w:eastAsia="zh-CN"/>
                    </w:rPr>
                  </w:pPr>
                  <w:r>
                    <w:rPr>
                      <w:rFonts w:hint="eastAsia"/>
                      <w:color w:val="000000"/>
                      <w:highlight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jc w:val="center"/>
              </w:trPr>
              <w:tc>
                <w:tcPr>
                  <w:tcW w:w="651" w:type="dxa"/>
                  <w:vMerge w:val="restart"/>
                  <w:tcBorders>
                    <w:tl2br w:val="nil"/>
                    <w:tr2bl w:val="nil"/>
                  </w:tcBorders>
                  <w:noWrap w:val="0"/>
                  <w:vAlign w:val="center"/>
                </w:tcPr>
                <w:p>
                  <w:pPr>
                    <w:pStyle w:val="81"/>
                    <w:snapToGrid w:val="0"/>
                    <w:spacing w:before="0" w:after="0"/>
                    <w:rPr>
                      <w:rFonts w:hint="eastAsia" w:eastAsia="宋体"/>
                      <w:color w:val="000000"/>
                      <w:highlight w:val="none"/>
                      <w:lang w:eastAsia="zh-CN"/>
                    </w:rPr>
                  </w:pPr>
                  <w:r>
                    <w:rPr>
                      <w:rFonts w:hint="eastAsia"/>
                      <w:color w:val="000000"/>
                      <w:highlight w:val="none"/>
                      <w:lang w:val="en-US" w:eastAsia="zh-CN"/>
                    </w:rPr>
                    <w:t>2</w:t>
                  </w:r>
                </w:p>
              </w:tc>
              <w:tc>
                <w:tcPr>
                  <w:tcW w:w="720" w:type="dxa"/>
                  <w:vMerge w:val="restart"/>
                  <w:tcBorders>
                    <w:tl2br w:val="nil"/>
                    <w:tr2bl w:val="nil"/>
                  </w:tcBorders>
                  <w:noWrap w:val="0"/>
                  <w:vAlign w:val="center"/>
                </w:tcPr>
                <w:p>
                  <w:pPr>
                    <w:widowControl/>
                    <w:adjustRightInd w:val="0"/>
                    <w:snapToGrid w:val="0"/>
                    <w:jc w:val="center"/>
                    <w:rPr>
                      <w:rFonts w:hint="default" w:eastAsia="宋体"/>
                      <w:color w:val="000000"/>
                      <w:szCs w:val="21"/>
                      <w:highlight w:val="none"/>
                      <w:lang w:val="en-US" w:eastAsia="zh-CN"/>
                    </w:rPr>
                  </w:pPr>
                  <w:r>
                    <w:rPr>
                      <w:rFonts w:hint="eastAsia"/>
                      <w:color w:val="000000"/>
                      <w:szCs w:val="21"/>
                      <w:highlight w:val="none"/>
                      <w:lang w:val="en-US" w:eastAsia="zh-CN"/>
                    </w:rPr>
                    <w:t>降尘用水</w:t>
                  </w:r>
                </w:p>
              </w:tc>
              <w:tc>
                <w:tcPr>
                  <w:tcW w:w="1575"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color w:val="000000"/>
                      <w:kern w:val="2"/>
                      <w:sz w:val="21"/>
                      <w:szCs w:val="21"/>
                      <w:highlight w:val="none"/>
                      <w:lang w:val="en-US" w:eastAsia="zh-CN" w:bidi="ar-SA"/>
                    </w:rPr>
                  </w:pPr>
                  <w:r>
                    <w:rPr>
                      <w:color w:val="000000"/>
                      <w:sz w:val="21"/>
                      <w:highlight w:val="none"/>
                    </w:rPr>
                    <w:t>采场洒水</w:t>
                  </w:r>
                </w:p>
              </w:tc>
              <w:tc>
                <w:tcPr>
                  <w:tcW w:w="907" w:type="dxa"/>
                  <w:tcBorders>
                    <w:tl2br w:val="nil"/>
                    <w:tr2bl w:val="nil"/>
                  </w:tcBorders>
                  <w:noWrap w:val="0"/>
                  <w:vAlign w:val="center"/>
                </w:tcPr>
                <w:p>
                  <w:pPr>
                    <w:pStyle w:val="81"/>
                    <w:snapToGrid w:val="0"/>
                    <w:spacing w:before="0" w:after="0"/>
                    <w:rPr>
                      <w:color w:val="000000"/>
                      <w:highlight w:val="none"/>
                    </w:rPr>
                  </w:pPr>
                  <w:r>
                    <w:rPr>
                      <w:color w:val="000000"/>
                      <w:highlight w:val="none"/>
                    </w:rPr>
                    <w:t>/</w:t>
                  </w:r>
                </w:p>
              </w:tc>
              <w:tc>
                <w:tcPr>
                  <w:tcW w:w="1215"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2L/m</w:t>
                  </w:r>
                  <w:r>
                    <w:rPr>
                      <w:rFonts w:hint="eastAsia"/>
                      <w:color w:val="000000"/>
                      <w:highlight w:val="none"/>
                      <w:vertAlign w:val="superscript"/>
                      <w:lang w:val="en-US" w:eastAsia="zh-CN"/>
                    </w:rPr>
                    <w:t>2</w:t>
                  </w:r>
                  <w:r>
                    <w:rPr>
                      <w:rFonts w:hint="eastAsia"/>
                      <w:color w:val="000000"/>
                      <w:highlight w:val="none"/>
                      <w:vertAlign w:val="baseline"/>
                      <w:lang w:val="en-US" w:eastAsia="zh-CN"/>
                    </w:rPr>
                    <w:t>.d</w:t>
                  </w:r>
                </w:p>
              </w:tc>
              <w:tc>
                <w:tcPr>
                  <w:tcW w:w="973"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1.75</w:t>
                  </w:r>
                </w:p>
              </w:tc>
              <w:tc>
                <w:tcPr>
                  <w:tcW w:w="999" w:type="dxa"/>
                  <w:tcBorders>
                    <w:tl2br w:val="nil"/>
                    <w:tr2bl w:val="nil"/>
                  </w:tcBorders>
                  <w:noWrap w:val="0"/>
                  <w:vAlign w:val="center"/>
                </w:tcPr>
                <w:p>
                  <w:pPr>
                    <w:pStyle w:val="81"/>
                    <w:snapToGrid w:val="0"/>
                    <w:spacing w:before="0" w:after="0"/>
                    <w:rPr>
                      <w:color w:val="000000"/>
                      <w:highlight w:val="none"/>
                    </w:rPr>
                  </w:pPr>
                  <w:r>
                    <w:rPr>
                      <w:rFonts w:hint="eastAsia"/>
                      <w:color w:val="000000"/>
                      <w:highlight w:val="none"/>
                      <w:lang w:val="en-US" w:eastAsia="zh-CN"/>
                    </w:rPr>
                    <w:t>300</w:t>
                  </w:r>
                </w:p>
              </w:tc>
              <w:tc>
                <w:tcPr>
                  <w:tcW w:w="937"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jc w:val="center"/>
              </w:trPr>
              <w:tc>
                <w:tcPr>
                  <w:tcW w:w="651" w:type="dxa"/>
                  <w:vMerge w:val="continue"/>
                  <w:tcBorders>
                    <w:tl2br w:val="nil"/>
                    <w:tr2bl w:val="nil"/>
                  </w:tcBorders>
                  <w:noWrap w:val="0"/>
                  <w:vAlign w:val="center"/>
                </w:tcPr>
                <w:p>
                  <w:pPr>
                    <w:pStyle w:val="81"/>
                    <w:snapToGrid w:val="0"/>
                    <w:spacing w:before="0" w:after="0"/>
                    <w:rPr>
                      <w:color w:val="000000"/>
                      <w:highlight w:val="none"/>
                    </w:rPr>
                  </w:pPr>
                </w:p>
              </w:tc>
              <w:tc>
                <w:tcPr>
                  <w:tcW w:w="720" w:type="dxa"/>
                  <w:vMerge w:val="continue"/>
                  <w:tcBorders>
                    <w:tl2br w:val="nil"/>
                    <w:tr2bl w:val="nil"/>
                  </w:tcBorders>
                  <w:noWrap w:val="0"/>
                  <w:vAlign w:val="center"/>
                </w:tcPr>
                <w:p>
                  <w:pPr>
                    <w:widowControl/>
                    <w:adjustRightInd w:val="0"/>
                    <w:snapToGrid w:val="0"/>
                    <w:jc w:val="center"/>
                    <w:rPr>
                      <w:color w:val="000000"/>
                      <w:szCs w:val="21"/>
                      <w:highlight w:val="none"/>
                    </w:rPr>
                  </w:pPr>
                </w:p>
              </w:tc>
              <w:tc>
                <w:tcPr>
                  <w:tcW w:w="1575"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color w:val="000000"/>
                      <w:kern w:val="2"/>
                      <w:sz w:val="21"/>
                      <w:szCs w:val="21"/>
                      <w:highlight w:val="none"/>
                      <w:lang w:val="en-US" w:eastAsia="zh-CN" w:bidi="ar-SA"/>
                    </w:rPr>
                  </w:pPr>
                  <w:r>
                    <w:rPr>
                      <w:rFonts w:hint="eastAsia"/>
                      <w:color w:val="000000"/>
                      <w:kern w:val="2"/>
                      <w:sz w:val="21"/>
                      <w:szCs w:val="21"/>
                      <w:highlight w:val="none"/>
                      <w:lang w:val="en-US" w:eastAsia="zh-CN" w:bidi="ar-SA"/>
                    </w:rPr>
                    <w:t>砂石加工洒水</w:t>
                  </w:r>
                </w:p>
              </w:tc>
              <w:tc>
                <w:tcPr>
                  <w:tcW w:w="907" w:type="dxa"/>
                  <w:tcBorders>
                    <w:tl2br w:val="nil"/>
                    <w:tr2bl w:val="nil"/>
                  </w:tcBorders>
                  <w:noWrap w:val="0"/>
                  <w:vAlign w:val="center"/>
                </w:tcPr>
                <w:p>
                  <w:pPr>
                    <w:pStyle w:val="81"/>
                    <w:snapToGrid w:val="0"/>
                    <w:spacing w:before="0" w:after="0"/>
                    <w:rPr>
                      <w:color w:val="000000"/>
                      <w:highlight w:val="none"/>
                    </w:rPr>
                  </w:pPr>
                  <w:r>
                    <w:rPr>
                      <w:color w:val="000000"/>
                      <w:highlight w:val="none"/>
                    </w:rPr>
                    <w:t>/</w:t>
                  </w:r>
                </w:p>
              </w:tc>
              <w:tc>
                <w:tcPr>
                  <w:tcW w:w="1215" w:type="dxa"/>
                  <w:tcBorders>
                    <w:tl2br w:val="nil"/>
                    <w:tr2bl w:val="nil"/>
                  </w:tcBorders>
                  <w:noWrap w:val="0"/>
                  <w:vAlign w:val="center"/>
                </w:tcPr>
                <w:p>
                  <w:pPr>
                    <w:pStyle w:val="81"/>
                    <w:snapToGrid w:val="0"/>
                    <w:spacing w:before="0" w:after="0"/>
                    <w:rPr>
                      <w:color w:val="000000"/>
                      <w:highlight w:val="none"/>
                    </w:rPr>
                  </w:pPr>
                  <w:r>
                    <w:rPr>
                      <w:color w:val="000000"/>
                      <w:highlight w:val="none"/>
                    </w:rPr>
                    <w:t>/</w:t>
                  </w:r>
                </w:p>
              </w:tc>
              <w:tc>
                <w:tcPr>
                  <w:tcW w:w="973"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1.728</w:t>
                  </w:r>
                </w:p>
              </w:tc>
              <w:tc>
                <w:tcPr>
                  <w:tcW w:w="999" w:type="dxa"/>
                  <w:tcBorders>
                    <w:tl2br w:val="nil"/>
                    <w:tr2bl w:val="nil"/>
                  </w:tcBorders>
                  <w:noWrap w:val="0"/>
                  <w:vAlign w:val="center"/>
                </w:tcPr>
                <w:p>
                  <w:pPr>
                    <w:pStyle w:val="81"/>
                    <w:snapToGrid w:val="0"/>
                    <w:spacing w:before="0" w:after="0"/>
                    <w:rPr>
                      <w:color w:val="000000"/>
                      <w:highlight w:val="none"/>
                    </w:rPr>
                  </w:pPr>
                  <w:r>
                    <w:rPr>
                      <w:rFonts w:hint="eastAsia"/>
                      <w:color w:val="000000"/>
                      <w:highlight w:val="none"/>
                      <w:lang w:val="en-US" w:eastAsia="zh-CN"/>
                    </w:rPr>
                    <w:t>300</w:t>
                  </w:r>
                </w:p>
              </w:tc>
              <w:tc>
                <w:tcPr>
                  <w:tcW w:w="937"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518.4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jc w:val="center"/>
              </w:trPr>
              <w:tc>
                <w:tcPr>
                  <w:tcW w:w="651" w:type="dxa"/>
                  <w:vMerge w:val="continue"/>
                  <w:tcBorders>
                    <w:tl2br w:val="nil"/>
                    <w:tr2bl w:val="nil"/>
                  </w:tcBorders>
                  <w:noWrap w:val="0"/>
                  <w:vAlign w:val="center"/>
                </w:tcPr>
                <w:p>
                  <w:pPr>
                    <w:pStyle w:val="81"/>
                    <w:snapToGrid w:val="0"/>
                    <w:spacing w:before="0" w:after="0"/>
                    <w:rPr>
                      <w:color w:val="000000"/>
                      <w:highlight w:val="none"/>
                    </w:rPr>
                  </w:pPr>
                </w:p>
              </w:tc>
              <w:tc>
                <w:tcPr>
                  <w:tcW w:w="720" w:type="dxa"/>
                  <w:vMerge w:val="continue"/>
                  <w:tcBorders>
                    <w:tl2br w:val="nil"/>
                    <w:tr2bl w:val="nil"/>
                  </w:tcBorders>
                  <w:noWrap w:val="0"/>
                  <w:vAlign w:val="center"/>
                </w:tcPr>
                <w:p>
                  <w:pPr>
                    <w:widowControl/>
                    <w:adjustRightInd w:val="0"/>
                    <w:snapToGrid w:val="0"/>
                    <w:jc w:val="center"/>
                    <w:rPr>
                      <w:color w:val="000000"/>
                      <w:szCs w:val="21"/>
                      <w:highlight w:val="none"/>
                    </w:rPr>
                  </w:pPr>
                </w:p>
              </w:tc>
              <w:tc>
                <w:tcPr>
                  <w:tcW w:w="1575"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color w:val="000000"/>
                      <w:sz w:val="21"/>
                      <w:highlight w:val="none"/>
                    </w:rPr>
                  </w:pPr>
                  <w:r>
                    <w:rPr>
                      <w:color w:val="000000"/>
                      <w:sz w:val="21"/>
                      <w:highlight w:val="none"/>
                    </w:rPr>
                    <w:t>道路洒水</w:t>
                  </w:r>
                </w:p>
              </w:tc>
              <w:tc>
                <w:tcPr>
                  <w:tcW w:w="907" w:type="dxa"/>
                  <w:tcBorders>
                    <w:tl2br w:val="nil"/>
                    <w:tr2bl w:val="nil"/>
                  </w:tcBorders>
                  <w:noWrap w:val="0"/>
                  <w:vAlign w:val="center"/>
                </w:tcPr>
                <w:p>
                  <w:pPr>
                    <w:pStyle w:val="81"/>
                    <w:snapToGrid w:val="0"/>
                    <w:spacing w:before="0" w:after="0"/>
                    <w:ind w:right="0" w:rightChars="0"/>
                    <w:rPr>
                      <w:color w:val="000000"/>
                      <w:highlight w:val="none"/>
                    </w:rPr>
                  </w:pPr>
                  <w:r>
                    <w:rPr>
                      <w:color w:val="000000"/>
                      <w:highlight w:val="none"/>
                    </w:rPr>
                    <w:t>/</w:t>
                  </w:r>
                </w:p>
              </w:tc>
              <w:tc>
                <w:tcPr>
                  <w:tcW w:w="1215" w:type="dxa"/>
                  <w:tcBorders>
                    <w:tl2br w:val="nil"/>
                    <w:tr2bl w:val="nil"/>
                  </w:tcBorders>
                  <w:noWrap w:val="0"/>
                  <w:vAlign w:val="center"/>
                </w:tcPr>
                <w:p>
                  <w:pPr>
                    <w:pStyle w:val="81"/>
                    <w:snapToGrid w:val="0"/>
                    <w:spacing w:before="0" w:after="0"/>
                    <w:ind w:right="0" w:rightChars="0"/>
                    <w:rPr>
                      <w:color w:val="000000"/>
                      <w:highlight w:val="none"/>
                    </w:rPr>
                  </w:pPr>
                  <w:r>
                    <w:rPr>
                      <w:color w:val="000000"/>
                      <w:highlight w:val="none"/>
                    </w:rPr>
                    <w:t>/</w:t>
                  </w:r>
                </w:p>
              </w:tc>
              <w:tc>
                <w:tcPr>
                  <w:tcW w:w="973" w:type="dxa"/>
                  <w:tcBorders>
                    <w:tl2br w:val="nil"/>
                    <w:tr2bl w:val="nil"/>
                  </w:tcBorders>
                  <w:noWrap w:val="0"/>
                  <w:vAlign w:val="center"/>
                </w:tcPr>
                <w:p>
                  <w:pPr>
                    <w:pStyle w:val="81"/>
                    <w:snapToGrid w:val="0"/>
                    <w:spacing w:before="0" w:after="0"/>
                    <w:rPr>
                      <w:rFonts w:hint="default"/>
                      <w:color w:val="000000"/>
                      <w:highlight w:val="none"/>
                      <w:lang w:val="en-US" w:eastAsia="zh-CN"/>
                    </w:rPr>
                  </w:pPr>
                  <w:r>
                    <w:rPr>
                      <w:rFonts w:hint="eastAsia"/>
                      <w:color w:val="000000"/>
                      <w:highlight w:val="none"/>
                      <w:lang w:val="en-US" w:eastAsia="zh-CN"/>
                    </w:rPr>
                    <w:t>12</w:t>
                  </w:r>
                </w:p>
              </w:tc>
              <w:tc>
                <w:tcPr>
                  <w:tcW w:w="999" w:type="dxa"/>
                  <w:tcBorders>
                    <w:tl2br w:val="nil"/>
                    <w:tr2bl w:val="nil"/>
                  </w:tcBorders>
                  <w:noWrap w:val="0"/>
                  <w:vAlign w:val="center"/>
                </w:tcPr>
                <w:p>
                  <w:pPr>
                    <w:pStyle w:val="81"/>
                    <w:snapToGrid w:val="0"/>
                    <w:spacing w:before="0" w:after="0"/>
                    <w:rPr>
                      <w:rFonts w:hint="default"/>
                      <w:color w:val="000000"/>
                      <w:highlight w:val="none"/>
                      <w:lang w:val="en-US" w:eastAsia="zh-CN"/>
                    </w:rPr>
                  </w:pPr>
                  <w:r>
                    <w:rPr>
                      <w:rFonts w:hint="eastAsia"/>
                      <w:color w:val="000000"/>
                      <w:highlight w:val="none"/>
                      <w:lang w:val="en-US" w:eastAsia="zh-CN"/>
                    </w:rPr>
                    <w:t>300</w:t>
                  </w:r>
                </w:p>
              </w:tc>
              <w:tc>
                <w:tcPr>
                  <w:tcW w:w="937" w:type="dxa"/>
                  <w:tcBorders>
                    <w:tl2br w:val="nil"/>
                    <w:tr2bl w:val="nil"/>
                  </w:tcBorders>
                  <w:noWrap w:val="0"/>
                  <w:vAlign w:val="center"/>
                </w:tcPr>
                <w:p>
                  <w:pPr>
                    <w:pStyle w:val="81"/>
                    <w:snapToGrid w:val="0"/>
                    <w:spacing w:before="0" w:after="0"/>
                    <w:rPr>
                      <w:rFonts w:hint="default"/>
                      <w:color w:val="000000"/>
                      <w:highlight w:val="none"/>
                      <w:lang w:val="en-US" w:eastAsia="zh-CN"/>
                    </w:rPr>
                  </w:pPr>
                  <w:r>
                    <w:rPr>
                      <w:rFonts w:hint="eastAsia"/>
                      <w:color w:val="000000"/>
                      <w:highlight w:val="none"/>
                      <w:lang w:val="en-US"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651" w:type="dxa"/>
                  <w:tcBorders>
                    <w:tl2br w:val="nil"/>
                    <w:tr2bl w:val="nil"/>
                  </w:tcBorders>
                  <w:noWrap w:val="0"/>
                  <w:vAlign w:val="center"/>
                </w:tcPr>
                <w:p>
                  <w:pPr>
                    <w:pStyle w:val="81"/>
                    <w:snapToGrid w:val="0"/>
                    <w:spacing w:before="0" w:after="0"/>
                    <w:rPr>
                      <w:color w:val="000000"/>
                      <w:highlight w:val="none"/>
                    </w:rPr>
                  </w:pPr>
                  <w:r>
                    <w:rPr>
                      <w:rFonts w:hint="eastAsia"/>
                      <w:color w:val="000000"/>
                      <w:highlight w:val="none"/>
                      <w:lang w:val="en-US" w:eastAsia="zh-CN"/>
                    </w:rPr>
                    <w:t>3</w:t>
                  </w:r>
                </w:p>
              </w:tc>
              <w:tc>
                <w:tcPr>
                  <w:tcW w:w="720" w:type="dxa"/>
                  <w:tcBorders>
                    <w:tl2br w:val="nil"/>
                    <w:tr2bl w:val="nil"/>
                  </w:tcBorders>
                  <w:noWrap w:val="0"/>
                  <w:vAlign w:val="center"/>
                </w:tcPr>
                <w:p>
                  <w:pPr>
                    <w:widowControl/>
                    <w:adjustRightInd w:val="0"/>
                    <w:snapToGrid w:val="0"/>
                    <w:jc w:val="center"/>
                    <w:rPr>
                      <w:rFonts w:hint="default" w:eastAsia="宋体"/>
                      <w:color w:val="000000"/>
                      <w:szCs w:val="21"/>
                      <w:highlight w:val="none"/>
                      <w:lang w:val="en-US" w:eastAsia="zh-CN"/>
                    </w:rPr>
                  </w:pPr>
                  <w:r>
                    <w:rPr>
                      <w:rFonts w:hint="eastAsia"/>
                      <w:color w:val="000000"/>
                      <w:szCs w:val="21"/>
                      <w:highlight w:val="none"/>
                      <w:lang w:val="en-US" w:eastAsia="zh-CN"/>
                    </w:rPr>
                    <w:t>筛分用水</w:t>
                  </w:r>
                </w:p>
              </w:tc>
              <w:tc>
                <w:tcPr>
                  <w:tcW w:w="1575"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rPr>
                    <w:t>洗砂用水</w:t>
                  </w:r>
                </w:p>
              </w:tc>
              <w:tc>
                <w:tcPr>
                  <w:tcW w:w="907" w:type="dxa"/>
                  <w:tcBorders>
                    <w:tl2br w:val="nil"/>
                    <w:tr2bl w:val="nil"/>
                  </w:tcBorders>
                  <w:noWrap w:val="0"/>
                  <w:vAlign w:val="center"/>
                </w:tcPr>
                <w:p>
                  <w:pPr>
                    <w:pStyle w:val="81"/>
                    <w:snapToGrid w:val="0"/>
                    <w:spacing w:before="0" w:after="0"/>
                    <w:rPr>
                      <w:color w:val="000000"/>
                      <w:highlight w:val="none"/>
                    </w:rPr>
                  </w:pPr>
                  <w:r>
                    <w:rPr>
                      <w:color w:val="000000"/>
                      <w:highlight w:val="none"/>
                    </w:rPr>
                    <w:t>/</w:t>
                  </w:r>
                </w:p>
              </w:tc>
              <w:tc>
                <w:tcPr>
                  <w:tcW w:w="1215" w:type="dxa"/>
                  <w:tcBorders>
                    <w:tl2br w:val="nil"/>
                    <w:tr2bl w:val="nil"/>
                  </w:tcBorders>
                  <w:noWrap w:val="0"/>
                  <w:vAlign w:val="center"/>
                </w:tcPr>
                <w:p>
                  <w:pPr>
                    <w:pStyle w:val="81"/>
                    <w:snapToGrid w:val="0"/>
                    <w:spacing w:before="0" w:after="0"/>
                    <w:rPr>
                      <w:color w:val="000000"/>
                      <w:highlight w:val="none"/>
                    </w:rPr>
                  </w:pPr>
                  <w:r>
                    <w:rPr>
                      <w:color w:val="000000"/>
                      <w:highlight w:val="none"/>
                    </w:rPr>
                    <w:t>/</w:t>
                  </w:r>
                </w:p>
              </w:tc>
              <w:tc>
                <w:tcPr>
                  <w:tcW w:w="973"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44.16</w:t>
                  </w:r>
                </w:p>
              </w:tc>
              <w:tc>
                <w:tcPr>
                  <w:tcW w:w="999" w:type="dxa"/>
                  <w:tcBorders>
                    <w:tl2br w:val="nil"/>
                    <w:tr2bl w:val="nil"/>
                  </w:tcBorders>
                  <w:noWrap w:val="0"/>
                  <w:vAlign w:val="center"/>
                </w:tcPr>
                <w:p>
                  <w:pPr>
                    <w:pStyle w:val="81"/>
                    <w:snapToGrid w:val="0"/>
                    <w:spacing w:before="0" w:after="0"/>
                    <w:rPr>
                      <w:color w:val="000000"/>
                      <w:highlight w:val="none"/>
                    </w:rPr>
                  </w:pPr>
                  <w:r>
                    <w:rPr>
                      <w:rFonts w:hint="eastAsia"/>
                      <w:color w:val="000000"/>
                      <w:highlight w:val="none"/>
                      <w:lang w:val="en-US" w:eastAsia="zh-CN"/>
                    </w:rPr>
                    <w:t>300</w:t>
                  </w:r>
                </w:p>
              </w:tc>
              <w:tc>
                <w:tcPr>
                  <w:tcW w:w="937"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13248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2" w:hRule="atLeast"/>
                <w:jc w:val="center"/>
              </w:trPr>
              <w:tc>
                <w:tcPr>
                  <w:tcW w:w="651"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4</w:t>
                  </w:r>
                </w:p>
              </w:tc>
              <w:tc>
                <w:tcPr>
                  <w:tcW w:w="720" w:type="dxa"/>
                  <w:tcBorders>
                    <w:tl2br w:val="nil"/>
                    <w:tr2bl w:val="nil"/>
                  </w:tcBorders>
                  <w:noWrap w:val="0"/>
                  <w:vAlign w:val="center"/>
                </w:tcPr>
                <w:p>
                  <w:pPr>
                    <w:widowControl/>
                    <w:adjustRightInd w:val="0"/>
                    <w:snapToGrid w:val="0"/>
                    <w:jc w:val="center"/>
                    <w:rPr>
                      <w:color w:val="000000"/>
                      <w:szCs w:val="21"/>
                      <w:highlight w:val="none"/>
                    </w:rPr>
                  </w:pPr>
                  <w:r>
                    <w:rPr>
                      <w:rFonts w:hint="default"/>
                      <w:szCs w:val="21"/>
                      <w:highlight w:val="none"/>
                    </w:rPr>
                    <w:t>车辆冲洗用水</w:t>
                  </w:r>
                </w:p>
              </w:tc>
              <w:tc>
                <w:tcPr>
                  <w:tcW w:w="1575"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cs="Times New Roman"/>
                      <w:color w:val="000000"/>
                      <w:kern w:val="2"/>
                      <w:sz w:val="21"/>
                      <w:szCs w:val="21"/>
                      <w:highlight w:val="none"/>
                      <w:lang w:val="en-US" w:eastAsia="zh-CN" w:bidi="ar-SA"/>
                    </w:rPr>
                  </w:pPr>
                  <w:r>
                    <w:rPr>
                      <w:rFonts w:hint="default"/>
                      <w:szCs w:val="21"/>
                      <w:highlight w:val="none"/>
                    </w:rPr>
                    <w:t>车辆冲洗用水</w:t>
                  </w:r>
                </w:p>
              </w:tc>
              <w:tc>
                <w:tcPr>
                  <w:tcW w:w="907" w:type="dxa"/>
                  <w:tcBorders>
                    <w:tl2br w:val="nil"/>
                    <w:tr2bl w:val="nil"/>
                  </w:tcBorders>
                  <w:noWrap w:val="0"/>
                  <w:vAlign w:val="center"/>
                </w:tcPr>
                <w:p>
                  <w:pPr>
                    <w:pStyle w:val="81"/>
                    <w:snapToGrid w:val="0"/>
                    <w:spacing w:before="0" w:after="0"/>
                    <w:ind w:right="0" w:rightChars="0"/>
                    <w:rPr>
                      <w:color w:val="000000"/>
                      <w:highlight w:val="none"/>
                    </w:rPr>
                  </w:pPr>
                  <w:r>
                    <w:rPr>
                      <w:color w:val="000000"/>
                      <w:highlight w:val="none"/>
                    </w:rPr>
                    <w:t>/</w:t>
                  </w:r>
                </w:p>
              </w:tc>
              <w:tc>
                <w:tcPr>
                  <w:tcW w:w="1215" w:type="dxa"/>
                  <w:tcBorders>
                    <w:tl2br w:val="nil"/>
                    <w:tr2bl w:val="nil"/>
                  </w:tcBorders>
                  <w:noWrap w:val="0"/>
                  <w:vAlign w:val="center"/>
                </w:tcPr>
                <w:p>
                  <w:pPr>
                    <w:pStyle w:val="81"/>
                    <w:snapToGrid w:val="0"/>
                    <w:spacing w:before="0" w:after="0"/>
                    <w:ind w:right="0" w:rightChars="0"/>
                    <w:rPr>
                      <w:color w:val="000000"/>
                      <w:highlight w:val="none"/>
                    </w:rPr>
                  </w:pPr>
                  <w:r>
                    <w:rPr>
                      <w:color w:val="000000"/>
                      <w:highlight w:val="none"/>
                    </w:rPr>
                    <w:t>/</w:t>
                  </w:r>
                </w:p>
              </w:tc>
              <w:tc>
                <w:tcPr>
                  <w:tcW w:w="973"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0.8</w:t>
                  </w:r>
                </w:p>
              </w:tc>
              <w:tc>
                <w:tcPr>
                  <w:tcW w:w="999" w:type="dxa"/>
                  <w:tcBorders>
                    <w:tl2br w:val="nil"/>
                    <w:tr2bl w:val="nil"/>
                  </w:tcBorders>
                  <w:noWrap w:val="0"/>
                  <w:vAlign w:val="center"/>
                </w:tcPr>
                <w:p>
                  <w:pPr>
                    <w:pStyle w:val="81"/>
                    <w:snapToGrid w:val="0"/>
                    <w:spacing w:before="0" w:after="0"/>
                    <w:rPr>
                      <w:color w:val="000000"/>
                      <w:highlight w:val="none"/>
                    </w:rPr>
                  </w:pPr>
                  <w:r>
                    <w:rPr>
                      <w:rFonts w:hint="eastAsia"/>
                      <w:color w:val="000000"/>
                      <w:highlight w:val="none"/>
                      <w:lang w:val="en-US" w:eastAsia="zh-CN"/>
                    </w:rPr>
                    <w:t>300</w:t>
                  </w:r>
                </w:p>
              </w:tc>
              <w:tc>
                <w:tcPr>
                  <w:tcW w:w="937"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068" w:type="dxa"/>
                  <w:gridSpan w:val="5"/>
                  <w:tcBorders>
                    <w:tl2br w:val="nil"/>
                    <w:tr2bl w:val="nil"/>
                  </w:tcBorders>
                  <w:noWrap w:val="0"/>
                  <w:vAlign w:val="center"/>
                </w:tcPr>
                <w:p>
                  <w:pPr>
                    <w:pStyle w:val="81"/>
                    <w:snapToGrid w:val="0"/>
                    <w:spacing w:before="0" w:after="0"/>
                    <w:rPr>
                      <w:color w:val="000000"/>
                      <w:highlight w:val="none"/>
                    </w:rPr>
                  </w:pPr>
                  <w:r>
                    <w:rPr>
                      <w:color w:val="000000"/>
                      <w:highlight w:val="none"/>
                    </w:rPr>
                    <w:t>合计</w:t>
                  </w:r>
                </w:p>
              </w:tc>
              <w:tc>
                <w:tcPr>
                  <w:tcW w:w="973"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61.698</w:t>
                  </w:r>
                </w:p>
              </w:tc>
              <w:tc>
                <w:tcPr>
                  <w:tcW w:w="999" w:type="dxa"/>
                  <w:tcBorders>
                    <w:tl2br w:val="nil"/>
                    <w:tr2bl w:val="nil"/>
                  </w:tcBorders>
                  <w:noWrap w:val="0"/>
                  <w:vAlign w:val="center"/>
                </w:tcPr>
                <w:p>
                  <w:pPr>
                    <w:pStyle w:val="81"/>
                    <w:snapToGrid w:val="0"/>
                    <w:spacing w:before="0" w:after="0"/>
                    <w:rPr>
                      <w:color w:val="000000"/>
                      <w:highlight w:val="none"/>
                    </w:rPr>
                  </w:pPr>
                  <w:r>
                    <w:rPr>
                      <w:color w:val="000000"/>
                      <w:highlight w:val="none"/>
                    </w:rPr>
                    <w:t>/</w:t>
                  </w:r>
                </w:p>
              </w:tc>
              <w:tc>
                <w:tcPr>
                  <w:tcW w:w="937" w:type="dxa"/>
                  <w:tcBorders>
                    <w:tl2br w:val="nil"/>
                    <w:tr2bl w:val="nil"/>
                  </w:tcBorders>
                  <w:noWrap w:val="0"/>
                  <w:vAlign w:val="center"/>
                </w:tcPr>
                <w:p>
                  <w:pPr>
                    <w:pStyle w:val="81"/>
                    <w:snapToGrid w:val="0"/>
                    <w:spacing w:before="0" w:after="0"/>
                    <w:rPr>
                      <w:rFonts w:hint="default" w:eastAsia="宋体"/>
                      <w:color w:val="000000"/>
                      <w:highlight w:val="none"/>
                      <w:lang w:val="en-US" w:eastAsia="zh-CN"/>
                    </w:rPr>
                  </w:pPr>
                  <w:r>
                    <w:rPr>
                      <w:rFonts w:hint="eastAsia"/>
                      <w:color w:val="000000"/>
                      <w:highlight w:val="none"/>
                      <w:lang w:val="en-US" w:eastAsia="zh-CN"/>
                    </w:rPr>
                    <w:t>18389.4</w:t>
                  </w:r>
                </w:p>
              </w:tc>
            </w:tr>
          </w:tbl>
          <w:p>
            <w:pPr>
              <w:adjustRightInd w:val="0"/>
              <w:snapToGrid w:val="0"/>
              <w:spacing w:line="360" w:lineRule="auto"/>
              <w:ind w:left="482"/>
              <w:rPr>
                <w:b/>
                <w:sz w:val="24"/>
                <w:highlight w:val="none"/>
              </w:rPr>
            </w:pPr>
            <w:r>
              <w:rPr>
                <w:rFonts w:hint="eastAsia"/>
                <w:b/>
                <w:sz w:val="24"/>
                <w:highlight w:val="none"/>
                <w:lang w:val="en-US" w:eastAsia="zh-CN"/>
              </w:rPr>
              <w:t>8.2</w:t>
            </w:r>
            <w:r>
              <w:rPr>
                <w:b/>
                <w:sz w:val="24"/>
                <w:highlight w:val="none"/>
              </w:rPr>
              <w:t>排水</w:t>
            </w:r>
          </w:p>
          <w:p>
            <w:pPr>
              <w:adjustRightInd w:val="0"/>
              <w:snapToGrid w:val="0"/>
              <w:spacing w:line="360" w:lineRule="auto"/>
              <w:ind w:firstLine="480" w:firstLineChars="200"/>
              <w:rPr>
                <w:sz w:val="24"/>
                <w:highlight w:val="none"/>
              </w:rPr>
            </w:pPr>
            <w:r>
              <w:rPr>
                <w:sz w:val="24"/>
                <w:highlight w:val="none"/>
              </w:rPr>
              <w:t>（1）工作人员生活废水</w:t>
            </w:r>
          </w:p>
          <w:p>
            <w:pPr>
              <w:adjustRightInd w:val="0"/>
              <w:snapToGrid w:val="0"/>
              <w:spacing w:line="360" w:lineRule="auto"/>
              <w:ind w:firstLine="480" w:firstLineChars="200"/>
              <w:rPr>
                <w:sz w:val="24"/>
                <w:highlight w:val="none"/>
              </w:rPr>
            </w:pPr>
            <w:r>
              <w:rPr>
                <w:rFonts w:hint="eastAsia"/>
                <w:sz w:val="24"/>
                <w:highlight w:val="none"/>
                <w:lang w:val="en-US" w:eastAsia="zh-CN"/>
              </w:rPr>
              <w:t>本项目建设环保厕所，员工洗漱废水进入化粪池处理后</w:t>
            </w:r>
            <w:r>
              <w:rPr>
                <w:rFonts w:hint="eastAsia"/>
                <w:sz w:val="24"/>
                <w:highlight w:val="none"/>
                <w:lang w:eastAsia="zh-CN"/>
              </w:rPr>
              <w:t>，拉运到污水处理厂处理；</w:t>
            </w:r>
            <w:r>
              <w:rPr>
                <w:rFonts w:hint="eastAsia"/>
                <w:sz w:val="24"/>
                <w:highlight w:val="none"/>
                <w:lang w:val="en-US" w:eastAsia="zh-CN"/>
              </w:rPr>
              <w:t>洗砂</w:t>
            </w:r>
            <w:r>
              <w:rPr>
                <w:sz w:val="24"/>
                <w:highlight w:val="none"/>
              </w:rPr>
              <w:t>生产废水</w:t>
            </w:r>
            <w:r>
              <w:rPr>
                <w:rFonts w:hint="eastAsia"/>
                <w:sz w:val="24"/>
                <w:highlight w:val="none"/>
                <w:lang w:val="en-US" w:eastAsia="zh-CN"/>
              </w:rPr>
              <w:t>循环使用，不</w:t>
            </w:r>
            <w:r>
              <w:rPr>
                <w:sz w:val="24"/>
                <w:highlight w:val="none"/>
              </w:rPr>
              <w:t>外排。</w:t>
            </w:r>
          </w:p>
          <w:p>
            <w:pPr>
              <w:adjustRightInd w:val="0"/>
              <w:snapToGrid w:val="0"/>
              <w:spacing w:line="360" w:lineRule="auto"/>
              <w:ind w:firstLine="480" w:firstLineChars="200"/>
              <w:rPr>
                <w:rFonts w:hint="eastAsia" w:eastAsia="宋体"/>
                <w:sz w:val="24"/>
                <w:highlight w:val="none"/>
                <w:lang w:val="en-US" w:eastAsia="zh-CN"/>
              </w:rPr>
            </w:pPr>
            <w:r>
              <w:rPr>
                <w:sz w:val="24"/>
                <w:highlight w:val="none"/>
              </w:rPr>
              <w:t>（2）采区排水</w:t>
            </w:r>
            <w:r>
              <w:rPr>
                <w:rFonts w:hint="eastAsia"/>
                <w:sz w:val="24"/>
                <w:highlight w:val="none"/>
                <w:lang w:val="en-US" w:eastAsia="zh-CN"/>
              </w:rPr>
              <w:t xml:space="preserve"> </w:t>
            </w:r>
          </w:p>
          <w:p>
            <w:pPr>
              <w:widowControl/>
              <w:adjustRightInd w:val="0"/>
              <w:snapToGrid w:val="0"/>
              <w:spacing w:line="360" w:lineRule="auto"/>
              <w:ind w:firstLine="480" w:firstLineChars="200"/>
              <w:jc w:val="left"/>
              <w:rPr>
                <w:rFonts w:hAnsi="宋体"/>
                <w:color w:val="000000"/>
                <w:kern w:val="0"/>
                <w:sz w:val="24"/>
                <w:highlight w:val="none"/>
              </w:rPr>
            </w:pPr>
            <w:r>
              <w:rPr>
                <w:rFonts w:hAnsi="宋体"/>
                <w:color w:val="000000"/>
                <w:kern w:val="0"/>
                <w:sz w:val="24"/>
                <w:highlight w:val="none"/>
              </w:rPr>
              <w:t>矿区</w:t>
            </w:r>
            <w:r>
              <w:rPr>
                <w:rFonts w:hint="default" w:ascii="Times New Roman" w:hAnsi="Times New Roman" w:cs="Times New Roman"/>
                <w:sz w:val="24"/>
                <w:szCs w:val="24"/>
                <w:highlight w:val="none"/>
              </w:rPr>
              <w:t>露天采场、运输道路等洒水抑尘</w:t>
            </w:r>
            <w:r>
              <w:rPr>
                <w:rFonts w:hint="eastAsia" w:cs="Times New Roman"/>
                <w:sz w:val="24"/>
                <w:szCs w:val="24"/>
                <w:highlight w:val="none"/>
                <w:lang w:eastAsia="zh-CN"/>
              </w:rPr>
              <w:t>，</w:t>
            </w:r>
            <w:r>
              <w:rPr>
                <w:rFonts w:hint="default" w:ascii="Times New Roman" w:hAnsi="Times New Roman" w:cs="Times New Roman"/>
                <w:sz w:val="24"/>
                <w:szCs w:val="24"/>
                <w:highlight w:val="none"/>
              </w:rPr>
              <w:t>各区域降尘用水</w:t>
            </w:r>
            <w:r>
              <w:rPr>
                <w:rFonts w:hint="eastAsia" w:cs="Times New Roman"/>
                <w:sz w:val="24"/>
                <w:szCs w:val="24"/>
                <w:highlight w:val="none"/>
                <w:lang w:eastAsia="zh-CN"/>
              </w:rPr>
              <w:t>，</w:t>
            </w:r>
            <w:r>
              <w:rPr>
                <w:rFonts w:hint="default" w:ascii="Times New Roman" w:hAnsi="Times New Roman" w:cs="Times New Roman"/>
                <w:sz w:val="24"/>
                <w:szCs w:val="24"/>
                <w:highlight w:val="none"/>
              </w:rPr>
              <w:t>全部自然蒸发</w:t>
            </w:r>
            <w:r>
              <w:rPr>
                <w:rFonts w:hint="default" w:ascii="Times New Roman" w:hAnsi="Times New Roman" w:eastAsia="宋体" w:cs="Times New Roman"/>
                <w:kern w:val="2"/>
                <w:sz w:val="24"/>
                <w:szCs w:val="24"/>
                <w:highlight w:val="none"/>
                <w:lang w:val="en-US" w:eastAsia="zh-CN" w:bidi="ar-SA"/>
              </w:rPr>
              <w:t>，不外排</w:t>
            </w:r>
            <w:r>
              <w:rPr>
                <w:rFonts w:hAnsi="宋体"/>
                <w:color w:val="000000"/>
                <w:kern w:val="0"/>
                <w:sz w:val="24"/>
                <w:highlight w:val="none"/>
              </w:rPr>
              <w:t>。</w:t>
            </w:r>
          </w:p>
          <w:p>
            <w:pPr>
              <w:adjustRightInd w:val="0"/>
              <w:snapToGrid w:val="0"/>
              <w:spacing w:line="360" w:lineRule="auto"/>
              <w:ind w:firstLine="480" w:firstLineChars="200"/>
              <w:jc w:val="left"/>
              <w:rPr>
                <w:rFonts w:hint="default" w:ascii="Times New Roman" w:hAnsi="Times New Roman" w:cs="Times New Roman"/>
                <w:b/>
                <w:color w:val="000000" w:themeColor="text1"/>
                <w:sz w:val="24"/>
                <w:highlight w:val="none"/>
                <w14:textFill>
                  <w14:solidFill>
                    <w14:schemeClr w14:val="tx1"/>
                  </w14:solidFill>
                </w14:textFill>
              </w:rPr>
            </w:pPr>
            <w:r>
              <w:rPr>
                <w:rFonts w:hint="default"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val="en-US" w:eastAsia="zh-CN"/>
                <w14:textFill>
                  <w14:solidFill>
                    <w14:schemeClr w14:val="tx1"/>
                  </w14:solidFill>
                </w14:textFill>
              </w:rPr>
              <w:t>3</w:t>
            </w:r>
            <w:r>
              <w:rPr>
                <w:rFonts w:hint="default" w:ascii="Times New Roman" w:hAnsi="Times New Roman"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14:textFill>
                  <w14:solidFill>
                    <w14:schemeClr w14:val="tx1"/>
                  </w14:solidFill>
                </w14:textFill>
              </w:rPr>
              <w:t>水平衡</w:t>
            </w:r>
          </w:p>
          <w:p>
            <w:pPr>
              <w:adjustRightInd w:val="0"/>
              <w:snapToGrid w:val="0"/>
              <w:spacing w:line="360" w:lineRule="auto"/>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本项目给排水平衡表见表</w:t>
            </w:r>
            <w:r>
              <w:rPr>
                <w:rFonts w:hint="eastAsia"/>
                <w:color w:val="000000" w:themeColor="text1"/>
                <w:sz w:val="24"/>
                <w:highlight w:val="none"/>
                <w:lang w:val="en-US" w:eastAsia="zh-CN"/>
                <w14:textFill>
                  <w14:solidFill>
                    <w14:schemeClr w14:val="tx1"/>
                  </w14:solidFill>
                </w14:textFill>
              </w:rPr>
              <w:t>2-8</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图</w:t>
            </w:r>
            <w:r>
              <w:rPr>
                <w:rFonts w:hint="eastAsia"/>
                <w:color w:val="000000" w:themeColor="text1"/>
                <w:sz w:val="24"/>
                <w:highlight w:val="none"/>
                <w:lang w:val="en-US" w:eastAsia="zh-CN"/>
                <w14:textFill>
                  <w14:solidFill>
                    <w14:schemeClr w14:val="tx1"/>
                  </w14:solidFill>
                </w14:textFill>
              </w:rPr>
              <w:t>2-2</w:t>
            </w:r>
            <w:r>
              <w:rPr>
                <w:rFonts w:ascii="宋体" w:hAnsi="宋体"/>
                <w:color w:val="000000" w:themeColor="text1"/>
                <w:sz w:val="24"/>
                <w:highlight w:val="none"/>
                <w14:textFill>
                  <w14:solidFill>
                    <w14:schemeClr w14:val="tx1"/>
                  </w14:solidFill>
                </w14:textFill>
              </w:rPr>
              <w:t>。</w:t>
            </w:r>
          </w:p>
          <w:p>
            <w:pPr>
              <w:keepNext w:val="0"/>
              <w:keepLines w:val="0"/>
              <w:suppressLineNumbers w:val="0"/>
              <w:adjustRightInd w:val="0"/>
              <w:snapToGrid w:val="0"/>
              <w:spacing w:before="0" w:beforeAutospacing="0" w:after="0" w:afterAutospacing="0" w:line="360" w:lineRule="auto"/>
              <w:ind w:left="0" w:right="0" w:firstLine="482"/>
              <w:rPr>
                <w:rFonts w:hint="default"/>
                <w:b/>
                <w:color w:val="000000" w:themeColor="text1"/>
                <w:sz w:val="24"/>
                <w:highlight w:val="none"/>
                <w14:textFill>
                  <w14:solidFill>
                    <w14:schemeClr w14:val="tx1"/>
                  </w14:solidFill>
                </w14:textFill>
              </w:rPr>
            </w:pPr>
            <w:r>
              <w:rPr>
                <w:rFonts w:hint="default" w:hAnsi="宋体"/>
                <w:b/>
                <w:color w:val="000000" w:themeColor="text1"/>
                <w:sz w:val="24"/>
                <w:highlight w:val="none"/>
                <w14:textFill>
                  <w14:solidFill>
                    <w14:schemeClr w14:val="tx1"/>
                  </w14:solidFill>
                </w14:textFill>
              </w:rPr>
              <w:t>表</w:t>
            </w:r>
            <w:r>
              <w:rPr>
                <w:rFonts w:hint="eastAsia"/>
                <w:b/>
                <w:color w:val="000000" w:themeColor="text1"/>
                <w:sz w:val="24"/>
                <w:highlight w:val="none"/>
                <w:lang w:val="en-US" w:eastAsia="zh-CN"/>
                <w14:textFill>
                  <w14:solidFill>
                    <w14:schemeClr w14:val="tx1"/>
                  </w14:solidFill>
                </w14:textFill>
              </w:rPr>
              <w:t>2-8</w:t>
            </w:r>
            <w:r>
              <w:rPr>
                <w:rFonts w:hint="default"/>
                <w:b/>
                <w:color w:val="000000" w:themeColor="text1"/>
                <w:sz w:val="24"/>
                <w:highlight w:val="none"/>
                <w14:textFill>
                  <w14:solidFill>
                    <w14:schemeClr w14:val="tx1"/>
                  </w14:solidFill>
                </w14:textFill>
              </w:rPr>
              <w:t xml:space="preserve">             </w:t>
            </w:r>
            <w:r>
              <w:rPr>
                <w:rFonts w:hint="default" w:hAnsi="宋体"/>
                <w:b/>
                <w:color w:val="000000" w:themeColor="text1"/>
                <w:sz w:val="24"/>
                <w:highlight w:val="none"/>
                <w14:textFill>
                  <w14:solidFill>
                    <w14:schemeClr w14:val="tx1"/>
                  </w14:solidFill>
                </w14:textFill>
              </w:rPr>
              <w:t>本项目给排水情况一览表</w:t>
            </w:r>
            <w:r>
              <w:rPr>
                <w:rFonts w:hint="default"/>
                <w:b/>
                <w:color w:val="000000" w:themeColor="text1"/>
                <w:sz w:val="24"/>
                <w:highlight w:val="none"/>
                <w14:textFill>
                  <w14:solidFill>
                    <w14:schemeClr w14:val="tx1"/>
                  </w14:solidFill>
                </w14:textFill>
              </w:rPr>
              <w:t xml:space="preserve">            </w:t>
            </w:r>
            <w:r>
              <w:rPr>
                <w:rFonts w:hint="default" w:hAnsi="宋体"/>
                <w:b/>
                <w:color w:val="000000" w:themeColor="text1"/>
                <w:sz w:val="24"/>
                <w:highlight w:val="none"/>
                <w14:textFill>
                  <w14:solidFill>
                    <w14:schemeClr w14:val="tx1"/>
                  </w14:solidFill>
                </w14:textFill>
              </w:rPr>
              <w:t>单位：</w:t>
            </w:r>
            <w:r>
              <w:rPr>
                <w:rFonts w:hint="default"/>
                <w:b/>
                <w:color w:val="000000" w:themeColor="text1"/>
                <w:sz w:val="24"/>
                <w:highlight w:val="none"/>
                <w14:textFill>
                  <w14:solidFill>
                    <w14:schemeClr w14:val="tx1"/>
                  </w14:solidFill>
                </w14:textFill>
              </w:rPr>
              <w:t>m</w:t>
            </w:r>
            <w:r>
              <w:rPr>
                <w:rFonts w:hint="default"/>
                <w:b/>
                <w:color w:val="000000" w:themeColor="text1"/>
                <w:sz w:val="24"/>
                <w:highlight w:val="none"/>
                <w:vertAlign w:val="superscript"/>
                <w14:textFill>
                  <w14:solidFill>
                    <w14:schemeClr w14:val="tx1"/>
                  </w14:solidFill>
                </w14:textFill>
              </w:rPr>
              <w:t>3</w:t>
            </w:r>
            <w:r>
              <w:rPr>
                <w:rFonts w:hint="default"/>
                <w:b/>
                <w:color w:val="000000" w:themeColor="text1"/>
                <w:sz w:val="24"/>
                <w:highlight w:val="none"/>
                <w14:textFill>
                  <w14:solidFill>
                    <w14:schemeClr w14:val="tx1"/>
                  </w14:solidFill>
                </w14:textFill>
              </w:rPr>
              <w:t>/d</w:t>
            </w:r>
          </w:p>
          <w:tbl>
            <w:tblPr>
              <w:tblStyle w:val="28"/>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5"/>
              <w:gridCol w:w="1261"/>
              <w:gridCol w:w="1097"/>
              <w:gridCol w:w="1097"/>
              <w:gridCol w:w="1097"/>
              <w:gridCol w:w="1099"/>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73" w:type="pct"/>
                  <w:gridSpan w:val="2"/>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项目</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总水量</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新鲜水量</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循环水量</w:t>
                  </w:r>
                </w:p>
              </w:tc>
              <w:tc>
                <w:tcPr>
                  <w:tcW w:w="686"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散失水量</w:t>
                  </w:r>
                </w:p>
              </w:tc>
              <w:tc>
                <w:tcPr>
                  <w:tcW w:w="682"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73" w:type="pct"/>
                  <w:gridSpan w:val="2"/>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生活用水</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0.9</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0.9</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w:t>
                  </w:r>
                </w:p>
              </w:tc>
              <w:tc>
                <w:tcPr>
                  <w:tcW w:w="686" w:type="pct"/>
                  <w:vAlign w:val="center"/>
                </w:tcPr>
                <w:p>
                  <w:pPr>
                    <w:keepNext w:val="0"/>
                    <w:keepLines w:val="0"/>
                    <w:suppressLineNumbers w:val="0"/>
                    <w:spacing w:before="0" w:beforeAutospacing="0" w:after="0" w:afterAutospacing="0"/>
                    <w:ind w:left="0" w:right="0"/>
                    <w:jc w:val="center"/>
                    <w:rPr>
                      <w:rFonts w:hint="eastAsia" w:eastAsia="宋体"/>
                      <w:color w:val="000000" w:themeColor="text1"/>
                      <w:szCs w:val="21"/>
                      <w:highlight w:val="none"/>
                      <w:lang w:eastAsia="zh-CN"/>
                      <w14:textFill>
                        <w14:solidFill>
                          <w14:schemeClr w14:val="tx1"/>
                        </w14:solidFill>
                      </w14:textFill>
                    </w:rPr>
                  </w:pPr>
                  <w:r>
                    <w:rPr>
                      <w:rFonts w:hint="default"/>
                      <w:color w:val="000000" w:themeColor="text1"/>
                      <w:szCs w:val="21"/>
                      <w:highlight w:val="none"/>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18</w:t>
                  </w:r>
                </w:p>
              </w:tc>
              <w:tc>
                <w:tcPr>
                  <w:tcW w:w="682"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14:textFill>
                        <w14:solidFill>
                          <w14:schemeClr w14:val="tx1"/>
                        </w14:solidFill>
                      </w14:textFill>
                    </w:rPr>
                    <w:t>0.</w:t>
                  </w:r>
                  <w:r>
                    <w:rPr>
                      <w:rFonts w:hint="eastAsia"/>
                      <w:color w:val="000000" w:themeColor="text1"/>
                      <w:szCs w:val="21"/>
                      <w:highlight w:val="none"/>
                      <w:lang w:val="en-US" w:eastAsia="zh-CN"/>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73" w:type="pct"/>
                  <w:gridSpan w:val="2"/>
                  <w:vAlign w:val="center"/>
                </w:tcPr>
                <w:p>
                  <w:pPr>
                    <w:keepNext w:val="0"/>
                    <w:keepLines w:val="0"/>
                    <w:suppressLineNumbers w:val="0"/>
                    <w:spacing w:before="0" w:beforeAutospacing="0" w:after="0" w:afterAutospacing="0"/>
                    <w:ind w:left="0" w:right="0"/>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食堂用水</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0.36</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0.36</w:t>
                  </w:r>
                </w:p>
              </w:tc>
              <w:tc>
                <w:tcPr>
                  <w:tcW w:w="685" w:type="pct"/>
                  <w:vAlign w:val="center"/>
                </w:tcPr>
                <w:p>
                  <w:pPr>
                    <w:keepNext w:val="0"/>
                    <w:keepLines w:val="0"/>
                    <w:suppressLineNumbers w:val="0"/>
                    <w:spacing w:before="0" w:beforeAutospacing="0" w:after="0" w:afterAutospacing="0"/>
                    <w:ind w:left="0" w:right="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686"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0.072</w:t>
                  </w:r>
                </w:p>
              </w:tc>
              <w:tc>
                <w:tcPr>
                  <w:tcW w:w="682"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73" w:type="pct"/>
                  <w:gridSpan w:val="2"/>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筛分用水</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153.6</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44.16</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109.44</w:t>
                  </w:r>
                </w:p>
              </w:tc>
              <w:tc>
                <w:tcPr>
                  <w:tcW w:w="686"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44.16</w:t>
                  </w:r>
                </w:p>
              </w:tc>
              <w:tc>
                <w:tcPr>
                  <w:tcW w:w="682"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784" w:type="pct"/>
                  <w:vMerge w:val="restar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降尘用水</w:t>
                  </w:r>
                </w:p>
              </w:tc>
              <w:tc>
                <w:tcPr>
                  <w:tcW w:w="788"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道路洒水</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12</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12</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w:t>
                  </w:r>
                </w:p>
              </w:tc>
              <w:tc>
                <w:tcPr>
                  <w:tcW w:w="686"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12</w:t>
                  </w:r>
                </w:p>
              </w:tc>
              <w:tc>
                <w:tcPr>
                  <w:tcW w:w="682"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784" w:type="pct"/>
                  <w:vMerge w:val="continue"/>
                  <w:vAlign w:val="center"/>
                </w:tcPr>
                <w:p>
                  <w:pPr>
                    <w:keepNext w:val="0"/>
                    <w:keepLines w:val="0"/>
                    <w:widowControl/>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p>
              </w:tc>
              <w:tc>
                <w:tcPr>
                  <w:tcW w:w="788"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采区</w:t>
                  </w:r>
                  <w:r>
                    <w:rPr>
                      <w:rFonts w:hint="default"/>
                      <w:color w:val="000000" w:themeColor="text1"/>
                      <w:szCs w:val="21"/>
                      <w:highlight w:val="none"/>
                      <w14:textFill>
                        <w14:solidFill>
                          <w14:schemeClr w14:val="tx1"/>
                        </w14:solidFill>
                      </w14:textFill>
                    </w:rPr>
                    <w:t>洒水</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default"/>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75</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1.75</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w:t>
                  </w:r>
                </w:p>
              </w:tc>
              <w:tc>
                <w:tcPr>
                  <w:tcW w:w="686"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1.75</w:t>
                  </w:r>
                </w:p>
              </w:tc>
              <w:tc>
                <w:tcPr>
                  <w:tcW w:w="682"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784" w:type="pct"/>
                  <w:vMerge w:val="continue"/>
                  <w:vAlign w:val="center"/>
                </w:tcPr>
                <w:p>
                  <w:pPr>
                    <w:keepNext w:val="0"/>
                    <w:keepLines w:val="0"/>
                    <w:widowControl/>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p>
              </w:tc>
              <w:tc>
                <w:tcPr>
                  <w:tcW w:w="788"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加工</w:t>
                  </w:r>
                  <w:r>
                    <w:rPr>
                      <w:rFonts w:hint="default"/>
                      <w:color w:val="000000" w:themeColor="text1"/>
                      <w:szCs w:val="21"/>
                      <w:highlight w:val="none"/>
                      <w14:textFill>
                        <w14:solidFill>
                          <w14:schemeClr w14:val="tx1"/>
                        </w14:solidFill>
                      </w14:textFill>
                    </w:rPr>
                    <w:t>喷水</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1.728</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1.728</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w:t>
                  </w:r>
                </w:p>
              </w:tc>
              <w:tc>
                <w:tcPr>
                  <w:tcW w:w="686"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1.728</w:t>
                  </w:r>
                </w:p>
              </w:tc>
              <w:tc>
                <w:tcPr>
                  <w:tcW w:w="682"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 w:hRule="atLeast"/>
                <w:jc w:val="center"/>
              </w:trPr>
              <w:tc>
                <w:tcPr>
                  <w:tcW w:w="1573" w:type="pct"/>
                  <w:gridSpan w:val="2"/>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车辆冲洗用水</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0.8</w:t>
                  </w:r>
                </w:p>
              </w:tc>
              <w:tc>
                <w:tcPr>
                  <w:tcW w:w="685"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0.8</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686"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0.8</w:t>
                  </w:r>
                </w:p>
              </w:tc>
              <w:tc>
                <w:tcPr>
                  <w:tcW w:w="682" w:type="pct"/>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1573" w:type="pct"/>
                  <w:gridSpan w:val="2"/>
                  <w:vAlign w:val="center"/>
                </w:tcPr>
                <w:p>
                  <w:pPr>
                    <w:keepNext w:val="0"/>
                    <w:keepLines w:val="0"/>
                    <w:suppressLineNumbers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w:t>合计</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171.138</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61.698</w:t>
                  </w:r>
                </w:p>
              </w:tc>
              <w:tc>
                <w:tcPr>
                  <w:tcW w:w="685"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109.44</w:t>
                  </w:r>
                </w:p>
              </w:tc>
              <w:tc>
                <w:tcPr>
                  <w:tcW w:w="686"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60.69</w:t>
                  </w:r>
                </w:p>
              </w:tc>
              <w:tc>
                <w:tcPr>
                  <w:tcW w:w="682" w:type="pct"/>
                  <w:vAlign w:val="center"/>
                </w:tcPr>
                <w:p>
                  <w:pPr>
                    <w:keepNext w:val="0"/>
                    <w:keepLines w:val="0"/>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1.008</w:t>
                  </w:r>
                </w:p>
              </w:tc>
            </w:tr>
          </w:tbl>
          <w:p>
            <w:pPr>
              <w:keepNext w:val="0"/>
              <w:keepLines w:val="0"/>
              <w:suppressLineNumbers w:val="0"/>
              <w:spacing w:before="24" w:beforeAutospacing="0" w:after="0" w:afterAutospacing="0"/>
              <w:ind w:left="0" w:right="0"/>
              <w:rPr>
                <w:rFonts w:hint="default"/>
                <w:b/>
                <w:color w:val="000000" w:themeColor="text1"/>
                <w:szCs w:val="21"/>
                <w:highlight w:val="none"/>
                <w14:textFill>
                  <w14:solidFill>
                    <w14:schemeClr w14:val="tx1"/>
                  </w14:solidFill>
                </w14:textFill>
              </w:rPr>
            </w:pPr>
            <w:r>
              <w:rPr>
                <w:rFonts w:hint="default"/>
                <w:b/>
                <w:color w:val="000000" w:themeColor="text1"/>
                <w:szCs w:val="21"/>
                <w:highlight w:val="none"/>
                <w14:textFill>
                  <w14:solidFill>
                    <w14:schemeClr w14:val="tx1"/>
                  </w14:solidFill>
                </w14:textFill>
              </w:rPr>
              <w:t>备注：筛分用水</w:t>
            </w:r>
            <w:r>
              <w:rPr>
                <w:rFonts w:hint="eastAsia"/>
                <w:b/>
                <w:color w:val="000000" w:themeColor="text1"/>
                <w:szCs w:val="21"/>
                <w:highlight w:val="none"/>
                <w:lang w:val="en-US" w:eastAsia="zh-CN"/>
                <w14:textFill>
                  <w14:solidFill>
                    <w14:schemeClr w14:val="tx1"/>
                  </w14:solidFill>
                </w14:textFill>
              </w:rPr>
              <w:t>44.16</w:t>
            </w:r>
            <w:r>
              <w:rPr>
                <w:rFonts w:hint="default"/>
                <w:b/>
                <w:color w:val="000000" w:themeColor="text1"/>
                <w:szCs w:val="21"/>
                <w:highlight w:val="none"/>
                <w14:textFill>
                  <w14:solidFill>
                    <w14:schemeClr w14:val="tx1"/>
                  </w14:solidFill>
                </w14:textFill>
              </w:rPr>
              <w:t>+</w:t>
            </w:r>
            <w:r>
              <w:rPr>
                <w:rFonts w:hint="eastAsia"/>
                <w:b/>
                <w:color w:val="000000" w:themeColor="text1"/>
                <w:szCs w:val="21"/>
                <w:highlight w:val="none"/>
                <w:lang w:val="en-US" w:eastAsia="zh-CN"/>
                <w14:textFill>
                  <w14:solidFill>
                    <w14:schemeClr w14:val="tx1"/>
                  </w14:solidFill>
                </w14:textFill>
              </w:rPr>
              <w:t>109.44</w:t>
            </w:r>
            <w:r>
              <w:rPr>
                <w:rFonts w:hint="default"/>
                <w:b/>
                <w:color w:val="000000" w:themeColor="text1"/>
                <w:szCs w:val="21"/>
                <w:highlight w:val="none"/>
                <w14:textFill>
                  <w14:solidFill>
                    <w14:schemeClr w14:val="tx1"/>
                  </w14:solidFill>
                </w14:textFill>
              </w:rPr>
              <w:t>=</w:t>
            </w:r>
            <w:r>
              <w:rPr>
                <w:rFonts w:hint="eastAsia"/>
                <w:b/>
                <w:color w:val="000000" w:themeColor="text1"/>
                <w:szCs w:val="21"/>
                <w:highlight w:val="none"/>
                <w:lang w:val="en-US" w:eastAsia="zh-CN"/>
                <w14:textFill>
                  <w14:solidFill>
                    <w14:schemeClr w14:val="tx1"/>
                  </w14:solidFill>
                </w14:textFill>
              </w:rPr>
              <w:t>153.6</w:t>
            </w:r>
            <w:r>
              <w:rPr>
                <w:rFonts w:hint="default"/>
                <w:b/>
                <w:color w:val="000000" w:themeColor="text1"/>
                <w:szCs w:val="21"/>
                <w:highlight w:val="none"/>
                <w14:textFill>
                  <w14:solidFill>
                    <w14:schemeClr w14:val="tx1"/>
                  </w14:solidFill>
                </w14:textFill>
              </w:rPr>
              <w:t>m</w:t>
            </w:r>
            <w:r>
              <w:rPr>
                <w:rFonts w:hint="default"/>
                <w:b/>
                <w:color w:val="000000" w:themeColor="text1"/>
                <w:szCs w:val="21"/>
                <w:highlight w:val="none"/>
                <w:vertAlign w:val="superscript"/>
                <w14:textFill>
                  <w14:solidFill>
                    <w14:schemeClr w14:val="tx1"/>
                  </w14:solidFill>
                </w14:textFill>
              </w:rPr>
              <w:t>3</w:t>
            </w:r>
            <w:r>
              <w:rPr>
                <w:rFonts w:hint="default"/>
                <w:b/>
                <w:color w:val="000000" w:themeColor="text1"/>
                <w:szCs w:val="21"/>
                <w:highlight w:val="none"/>
                <w14:textFill>
                  <w14:solidFill>
                    <w14:schemeClr w14:val="tx1"/>
                  </w14:solidFill>
                </w14:textFill>
              </w:rPr>
              <w:t>/d。散失</w:t>
            </w:r>
            <w:r>
              <w:rPr>
                <w:rFonts w:hint="eastAsia"/>
                <w:b/>
                <w:color w:val="000000" w:themeColor="text1"/>
                <w:szCs w:val="21"/>
                <w:highlight w:val="none"/>
                <w:lang w:val="en-US" w:eastAsia="zh-CN"/>
                <w14:textFill>
                  <w14:solidFill>
                    <w14:schemeClr w14:val="tx1"/>
                  </w14:solidFill>
                </w14:textFill>
              </w:rPr>
              <w:t>36.48</w:t>
            </w:r>
            <w:r>
              <w:rPr>
                <w:rFonts w:hint="default"/>
                <w:b/>
                <w:color w:val="000000" w:themeColor="text1"/>
                <w:szCs w:val="21"/>
                <w:highlight w:val="none"/>
                <w14:textFill>
                  <w14:solidFill>
                    <w14:schemeClr w14:val="tx1"/>
                  </w14:solidFill>
                </w14:textFill>
              </w:rPr>
              <w:t>m</w:t>
            </w:r>
            <w:r>
              <w:rPr>
                <w:rFonts w:hint="default"/>
                <w:b/>
                <w:color w:val="000000" w:themeColor="text1"/>
                <w:szCs w:val="21"/>
                <w:highlight w:val="none"/>
                <w:vertAlign w:val="superscript"/>
                <w14:textFill>
                  <w14:solidFill>
                    <w14:schemeClr w14:val="tx1"/>
                  </w14:solidFill>
                </w14:textFill>
              </w:rPr>
              <w:t>3</w:t>
            </w:r>
            <w:r>
              <w:rPr>
                <w:rFonts w:hint="default"/>
                <w:b/>
                <w:color w:val="000000" w:themeColor="text1"/>
                <w:szCs w:val="21"/>
                <w:highlight w:val="none"/>
                <w14:textFill>
                  <w14:solidFill>
                    <w14:schemeClr w14:val="tx1"/>
                  </w14:solidFill>
                </w14:textFill>
              </w:rPr>
              <w:t>/d为物料带走，散失</w:t>
            </w:r>
            <w:r>
              <w:rPr>
                <w:rFonts w:hint="eastAsia"/>
                <w:b/>
                <w:color w:val="000000" w:themeColor="text1"/>
                <w:szCs w:val="21"/>
                <w:highlight w:val="none"/>
                <w:lang w:val="en-US" w:eastAsia="zh-CN"/>
                <w14:textFill>
                  <w14:solidFill>
                    <w14:schemeClr w14:val="tx1"/>
                  </w14:solidFill>
                </w14:textFill>
              </w:rPr>
              <w:t>7.68</w:t>
            </w:r>
            <w:r>
              <w:rPr>
                <w:rFonts w:hint="default"/>
                <w:b/>
                <w:color w:val="000000" w:themeColor="text1"/>
                <w:szCs w:val="21"/>
                <w:highlight w:val="none"/>
                <w14:textFill>
                  <w14:solidFill>
                    <w14:schemeClr w14:val="tx1"/>
                  </w14:solidFill>
                </w14:textFill>
              </w:rPr>
              <w:t>m</w:t>
            </w:r>
            <w:r>
              <w:rPr>
                <w:rFonts w:hint="default"/>
                <w:b/>
                <w:color w:val="000000" w:themeColor="text1"/>
                <w:szCs w:val="21"/>
                <w:highlight w:val="none"/>
                <w:vertAlign w:val="superscript"/>
                <w14:textFill>
                  <w14:solidFill>
                    <w14:schemeClr w14:val="tx1"/>
                  </w14:solidFill>
                </w14:textFill>
              </w:rPr>
              <w:t>3</w:t>
            </w:r>
            <w:r>
              <w:rPr>
                <w:rFonts w:hint="default"/>
                <w:b/>
                <w:color w:val="000000" w:themeColor="text1"/>
                <w:szCs w:val="21"/>
                <w:highlight w:val="none"/>
                <w14:textFill>
                  <w14:solidFill>
                    <w14:schemeClr w14:val="tx1"/>
                  </w14:solidFill>
                </w14:textFill>
              </w:rPr>
              <w:t>/d为损耗或者污泥带走。</w:t>
            </w:r>
          </w:p>
          <w:p>
            <w:pPr>
              <w:pStyle w:val="35"/>
              <w:rPr>
                <w:rFonts w:hint="default"/>
                <w:b/>
                <w:color w:val="000000" w:themeColor="text1"/>
                <w:szCs w:val="21"/>
                <w:highlight w:val="none"/>
                <w14:textFill>
                  <w14:solidFill>
                    <w14:schemeClr w14:val="tx1"/>
                  </w14:solidFill>
                </w14:textFill>
              </w:rPr>
            </w:pPr>
          </w:p>
          <w:p>
            <w:pPr>
              <w:pStyle w:val="35"/>
              <w:rPr>
                <w:rFonts w:hint="default"/>
                <w:b/>
                <w:color w:val="000000" w:themeColor="text1"/>
                <w:szCs w:val="21"/>
                <w:highlight w:val="none"/>
                <w14:textFill>
                  <w14:solidFill>
                    <w14:schemeClr w14:val="tx1"/>
                  </w14:solidFill>
                </w14:textFill>
              </w:rPr>
            </w:pPr>
          </w:p>
          <w:p>
            <w:pPr>
              <w:pStyle w:val="35"/>
              <w:rPr>
                <w:rFonts w:hint="default"/>
                <w:b/>
                <w:color w:val="000000" w:themeColor="text1"/>
                <w:szCs w:val="21"/>
                <w:highlight w:val="none"/>
                <w14:textFill>
                  <w14:solidFill>
                    <w14:schemeClr w14:val="tx1"/>
                  </w14:solidFill>
                </w14:textFill>
              </w:rPr>
            </w:pPr>
          </w:p>
          <w:p>
            <w:pPr>
              <w:pStyle w:val="35"/>
              <w:rPr>
                <w:rFonts w:hint="default"/>
                <w:b/>
                <w:color w:val="000000" w:themeColor="text1"/>
                <w:szCs w:val="21"/>
                <w:highlight w:val="none"/>
                <w14:textFill>
                  <w14:solidFill>
                    <w14:schemeClr w14:val="tx1"/>
                  </w14:solidFill>
                </w14:textFill>
              </w:rPr>
            </w:pPr>
          </w:p>
          <w:p>
            <w:pPr>
              <w:pStyle w:val="35"/>
              <w:rPr>
                <w:rFonts w:hint="default"/>
                <w:b/>
                <w:color w:val="000000" w:themeColor="text1"/>
                <w:szCs w:val="21"/>
                <w:highlight w:val="none"/>
                <w14:textFill>
                  <w14:solidFill>
                    <w14:schemeClr w14:val="tx1"/>
                  </w14:solidFill>
                </w14:textFill>
              </w:rPr>
            </w:pPr>
          </w:p>
          <w:p>
            <w:pPr>
              <w:pStyle w:val="35"/>
              <w:rPr>
                <w:rFonts w:hint="default"/>
                <w:b/>
                <w:color w:val="000000" w:themeColor="text1"/>
                <w:szCs w:val="21"/>
                <w:highlight w:val="none"/>
                <w14:textFill>
                  <w14:solidFill>
                    <w14:schemeClr w14:val="tx1"/>
                  </w14:solidFill>
                </w14:textFill>
              </w:rPr>
            </w:pPr>
          </w:p>
          <w:p>
            <w:pPr>
              <w:pStyle w:val="35"/>
              <w:rPr>
                <w:rFonts w:hint="default"/>
                <w:b/>
                <w:color w:val="000000" w:themeColor="text1"/>
                <w:szCs w:val="21"/>
                <w:highlight w:val="none"/>
                <w14:textFill>
                  <w14:solidFill>
                    <w14:schemeClr w14:val="tx1"/>
                  </w14:solidFill>
                </w14:textFill>
              </w:rPr>
            </w:pPr>
          </w:p>
          <w:p>
            <w:pPr>
              <w:pStyle w:val="35"/>
              <w:rPr>
                <w:rFonts w:hint="default"/>
                <w:b/>
                <w:color w:val="000000" w:themeColor="text1"/>
                <w:szCs w:val="21"/>
                <w:highlight w:val="none"/>
                <w14:textFill>
                  <w14:solidFill>
                    <w14:schemeClr w14:val="tx1"/>
                  </w14:solidFill>
                </w14:textFill>
              </w:rPr>
            </w:pPr>
          </w:p>
          <w:p>
            <w:pPr>
              <w:pStyle w:val="35"/>
              <w:rPr>
                <w:rFonts w:hint="default"/>
                <w:b/>
                <w:color w:val="000000" w:themeColor="text1"/>
                <w:szCs w:val="21"/>
                <w:highlight w:val="none"/>
                <w14:textFill>
                  <w14:solidFill>
                    <w14:schemeClr w14:val="tx1"/>
                  </w14:solidFill>
                </w14:textFill>
              </w:rPr>
            </w:pPr>
          </w:p>
          <w:p>
            <w:pPr>
              <w:pStyle w:val="35"/>
              <w:rPr>
                <w:rFonts w:hint="default"/>
                <w:b/>
                <w:color w:val="000000" w:themeColor="text1"/>
                <w:szCs w:val="21"/>
                <w:highlight w:val="none"/>
                <w14:textFill>
                  <w14:solidFill>
                    <w14:schemeClr w14:val="tx1"/>
                  </w14:solidFill>
                </w14:textFill>
              </w:rPr>
            </w:pPr>
          </w:p>
          <w:p>
            <w:pPr>
              <w:keepNext w:val="0"/>
              <w:keepLines w:val="0"/>
              <w:suppressLineNumbers w:val="0"/>
              <w:spacing w:before="0" w:beforeLines="50" w:beforeAutospacing="0" w:after="0" w:afterLines="50" w:afterAutospacing="0" w:line="360" w:lineRule="auto"/>
              <w:ind w:left="0" w:right="0" w:firstLine="480"/>
              <w:rPr>
                <w:rFonts w:hint="default"/>
                <w:b/>
                <w:color w:val="000000" w:themeColor="text1"/>
                <w:szCs w:val="2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1685925</wp:posOffset>
                      </wp:positionH>
                      <wp:positionV relativeFrom="paragraph">
                        <wp:posOffset>362585</wp:posOffset>
                      </wp:positionV>
                      <wp:extent cx="0" cy="243205"/>
                      <wp:effectExtent l="38100" t="0" r="38100" b="4445"/>
                      <wp:wrapNone/>
                      <wp:docPr id="59" name="直接箭头连接符 59"/>
                      <wp:cNvGraphicFramePr/>
                      <a:graphic xmlns:a="http://schemas.openxmlformats.org/drawingml/2006/main">
                        <a:graphicData uri="http://schemas.microsoft.com/office/word/2010/wordprocessingShape">
                          <wps:wsp>
                            <wps:cNvCnPr/>
                            <wps:spPr>
                              <a:xfrm>
                                <a:off x="0" y="0"/>
                                <a:ext cx="0" cy="2432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32.75pt;margin-top:28.55pt;height:19.15pt;width:0pt;z-index:251692032;mso-width-relative:page;mso-height-relative:page;" filled="f" stroked="t" coordsize="21600,21600" o:gfxdata="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91Jvb2QAAAAkBAAAPAAAAAAAAAAEAIAAAACIAAABkcnMv&#10;ZG93bnJldi54bWxQSwECFAAUAAAACACHTuJA/d5WIwICAADxAwAADgAAAAAAAAABACAAAAAoAQAA&#10;ZHJzL2Uyb0RvYy54bWxQSwUGAAAAAAYABgBZAQAAnAU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4657725</wp:posOffset>
                      </wp:positionH>
                      <wp:positionV relativeFrom="paragraph">
                        <wp:posOffset>364490</wp:posOffset>
                      </wp:positionV>
                      <wp:extent cx="0" cy="243205"/>
                      <wp:effectExtent l="4445" t="0" r="14605" b="4445"/>
                      <wp:wrapNone/>
                      <wp:docPr id="13" name="直接箭头连接符 13"/>
                      <wp:cNvGraphicFramePr/>
                      <a:graphic xmlns:a="http://schemas.openxmlformats.org/drawingml/2006/main">
                        <a:graphicData uri="http://schemas.microsoft.com/office/word/2010/wordprocessingShape">
                          <wps:wsp>
                            <wps:cNvCnPr/>
                            <wps:spPr>
                              <a:xfrm flipV="1">
                                <a:off x="0" y="0"/>
                                <a:ext cx="0" cy="2432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66.75pt;margin-top:28.7pt;height:19.15pt;width:0pt;z-index:251687936;mso-width-relative:page;mso-height-relative:page;" filled="f" stroked="t" coordsize="21600,21600" o:gfxdata="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jINwrXAAAACQEAAA8AAAAAAAAAAQAgAAAAIgAAAGRycy9kb3du&#10;cmV2LnhtbFBLAQIUABQAAAAIAIdO4kA8eZDOAAIAAPcDAAAOAAAAAAAAAAEAIAAAACYBAABkcnMv&#10;ZTJvRG9jLnhtbFBLBQYAAAAABgAGAFkBAACYBQAAAAA=&#10;">
                      <v:fill on="f" focussize="0,0"/>
                      <v:stroke color="#000000" joinstyle="round"/>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1677670</wp:posOffset>
                      </wp:positionH>
                      <wp:positionV relativeFrom="paragraph">
                        <wp:posOffset>372745</wp:posOffset>
                      </wp:positionV>
                      <wp:extent cx="2981325" cy="635"/>
                      <wp:effectExtent l="0" t="0" r="0" b="0"/>
                      <wp:wrapNone/>
                      <wp:docPr id="20" name="直接箭头连接符 20"/>
                      <wp:cNvGraphicFramePr/>
                      <a:graphic xmlns:a="http://schemas.openxmlformats.org/drawingml/2006/main">
                        <a:graphicData uri="http://schemas.microsoft.com/office/word/2010/wordprocessingShape">
                          <wps:wsp>
                            <wps:cNvCnPr/>
                            <wps:spPr>
                              <a:xfrm flipH="1">
                                <a:off x="0" y="0"/>
                                <a:ext cx="298132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32.1pt;margin-top:29.35pt;height:0.05pt;width:234.75pt;z-index:251688960;mso-width-relative:page;mso-height-relative:page;" filled="f" stroked="t" coordsize="21600,21600" o:gfxdata="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XM039cAAAAJAQAADwAAAAAAAAABACAAAAAiAAAAZHJz&#10;L2Rvd25yZXYueG1sUEsBAhQAFAAAAAgAh07iQN6F6OwFAgAA+gMAAA4AAAAAAAAAAQAgAAAAJgEA&#10;AGRycy9lMm9Eb2MueG1sUEsFBgAAAAAGAAYAWQEAAJ0FAAAAAA==&#10;">
                      <v:fill on="f" focussize="0,0"/>
                      <v:stroke color="#000000" joinstyle="round"/>
                      <v:imagedata o:title=""/>
                      <o:lock v:ext="edit" aspectratio="f"/>
                    </v:shape>
                  </w:pict>
                </mc:Fallback>
              </mc:AlternateContent>
            </w:r>
            <w:r>
              <w:rPr>
                <w:rFonts w:hint="default"/>
                <w:color w:val="000000" w:themeColor="text1"/>
                <w:szCs w:val="21"/>
                <w:highlight w:val="none"/>
                <w14:textFill>
                  <w14:solidFill>
                    <w14:schemeClr w14:val="tx1"/>
                  </w14:solidFill>
                </w14:textFill>
              </w:rPr>
              <mc:AlternateContent>
                <mc:Choice Requires="wps">
                  <w:drawing>
                    <wp:anchor distT="0" distB="0" distL="114300" distR="114300" simplePos="0" relativeHeight="251720704" behindDoc="0" locked="0" layoutInCell="1" allowOverlap="1">
                      <wp:simplePos x="0" y="0"/>
                      <wp:positionH relativeFrom="column">
                        <wp:posOffset>4777105</wp:posOffset>
                      </wp:positionH>
                      <wp:positionV relativeFrom="paragraph">
                        <wp:posOffset>140335</wp:posOffset>
                      </wp:positionV>
                      <wp:extent cx="504825" cy="25717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04825" cy="257175"/>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0.64</w:t>
                                  </w:r>
                                </w:p>
                              </w:txbxContent>
                            </wps:txbx>
                            <wps:bodyPr upright="1"/>
                          </wps:wsp>
                        </a:graphicData>
                      </a:graphic>
                    </wp:anchor>
                  </w:drawing>
                </mc:Choice>
                <mc:Fallback>
                  <w:pict>
                    <v:shape id="_x0000_s1026" o:spid="_x0000_s1026" o:spt="202" type="#_x0000_t202" style="position:absolute;left:0pt;margin-left:376.15pt;margin-top:11.05pt;height:20.25pt;width:39.75pt;z-index:251720704;mso-width-relative:page;mso-height-relative:page;" fillcolor="#FFFFFF" filled="t" stroked="f" coordsize="21600,21600" o:gfxdata="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&#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CAvc2AAAAAkBAAAPAAAAAAAAAAEAIAAAACIAAABk&#10;cnMvZG93bnJldi54bWxQSwECFAAUAAAACACHTuJA4vg2Nc0BAACVAwAADgAAAAAAAAABACAAAAAn&#10;AQAAZHJzL2Uyb0RvYy54bWxQSwUGAAAAAAYABgBZAQAAZgU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0.64</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3206750</wp:posOffset>
                      </wp:positionH>
                      <wp:positionV relativeFrom="paragraph">
                        <wp:posOffset>82550</wp:posOffset>
                      </wp:positionV>
                      <wp:extent cx="707390" cy="28384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07390" cy="283845"/>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109.44</w:t>
                                  </w:r>
                                </w:p>
                              </w:txbxContent>
                            </wps:txbx>
                            <wps:bodyPr upright="1"/>
                          </wps:wsp>
                        </a:graphicData>
                      </a:graphic>
                    </wp:anchor>
                  </w:drawing>
                </mc:Choice>
                <mc:Fallback>
                  <w:pict>
                    <v:shape id="_x0000_s1026" o:spid="_x0000_s1026" o:spt="202" type="#_x0000_t202" style="position:absolute;left:0pt;margin-left:252.5pt;margin-top:6.5pt;height:22.35pt;width:55.7pt;z-index:251686912;mso-width-relative:page;mso-height-relative:page;" fillcolor="#FFFFFF" filled="t" stroked="f" coordsize="21600,21600" o:gfxdata="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Mnw+NcAAAAJAQAADwAAAAAAAAABACAAAAAiAAAAZHJz&#10;L2Rvd25yZXYueG1sUEsBAhQAFAAAAAgAh07iQC4gpn7MAQAAlQMAAA4AAAAAAAAAAQAgAAAAJgEA&#10;AGRycy9lMm9Eb2MueG1sUEsFBgAAAAAGAAYAWQEAAGQFA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109.44</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333375</wp:posOffset>
                      </wp:positionH>
                      <wp:positionV relativeFrom="paragraph">
                        <wp:posOffset>378460</wp:posOffset>
                      </wp:positionV>
                      <wp:extent cx="635" cy="2972435"/>
                      <wp:effectExtent l="4445" t="0" r="13970" b="18415"/>
                      <wp:wrapNone/>
                      <wp:docPr id="15" name="直接箭头连接符 15"/>
                      <wp:cNvGraphicFramePr/>
                      <a:graphic xmlns:a="http://schemas.openxmlformats.org/drawingml/2006/main">
                        <a:graphicData uri="http://schemas.microsoft.com/office/word/2010/wordprocessingShape">
                          <wps:wsp>
                            <wps:cNvCnPr/>
                            <wps:spPr>
                              <a:xfrm flipV="1">
                                <a:off x="0" y="0"/>
                                <a:ext cx="635" cy="29724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6.25pt;margin-top:29.8pt;height:234.05pt;width:0.05pt;z-index:251676672;mso-width-relative:page;mso-height-relative:page;" filled="f" stroked="t" coordsize="21600,21600" o:gfxdata="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H8QhtUAAAAIAQAADwAAAAAAAAABACAAAAAiAAAAZHJzL2Rv&#10;d25yZXYueG1sUEsBAhQAFAAAAAgAh07iQELqX0UEAgAA+gMAAA4AAAAAAAAAAQAgAAAAJAEAAGRy&#10;cy9lMm9Eb2MueG1sUEsFBgAAAAAGAAYAWQEAAJoFAAAAAA==&#10;">
                      <v:fill on="f" focussize="0,0"/>
                      <v:stroke color="#000000" joinstyle="round"/>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1162050</wp:posOffset>
                      </wp:positionH>
                      <wp:positionV relativeFrom="paragraph">
                        <wp:posOffset>568325</wp:posOffset>
                      </wp:positionV>
                      <wp:extent cx="1019175" cy="28575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rPr>
                                    <w:t>筛分用水</w:t>
                                  </w:r>
                                </w:p>
                              </w:txbxContent>
                            </wps:txbx>
                            <wps:bodyPr upright="1"/>
                          </wps:wsp>
                        </a:graphicData>
                      </a:graphic>
                    </wp:anchor>
                  </w:drawing>
                </mc:Choice>
                <mc:Fallback>
                  <w:pict>
                    <v:shape id="_x0000_s1026" o:spid="_x0000_s1026" o:spt="202" type="#_x0000_t202" style="position:absolute;left:0pt;margin-left:91.5pt;margin-top:44.75pt;height:22.5pt;width:80.25pt;z-index:251666432;mso-width-relative:page;mso-height-relative:page;" fillcolor="#FFFFFF" filled="t" stroked="t" coordsize="21600,21600" o:gfxdata="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Fn1RbYAAAACgEAAA8AAAAAAAAAAQAgAAAA&#10;IgAAAGRycy9kb3ducmV2LnhtbFBLAQIUABQAAAAIAIdO4kAqY/gnCwIAADYEAAAOAAAAAAAAAAEA&#10;IAAAACcBAABkcnMvZTJvRG9jLnhtbFBLBQYAAAAABgAGAFkBAACkBQAAAAA=&#10;">
                      <v:fill on="t" focussize="0,0"/>
                      <v:stroke color="#000000" joinstyle="miter"/>
                      <v:imagedata o:title=""/>
                      <o:lock v:ext="edit" aspectratio="f"/>
                      <v:textbox>
                        <w:txbxContent>
                          <w:p>
                            <w:pPr>
                              <w:spacing w:before="24"/>
                              <w:jc w:val="center"/>
                            </w:pPr>
                            <w:r>
                              <w:rPr>
                                <w:rFonts w:hint="eastAsia"/>
                              </w:rPr>
                              <w:t>筛分用水</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1162050</wp:posOffset>
                      </wp:positionH>
                      <wp:positionV relativeFrom="paragraph">
                        <wp:posOffset>1915160</wp:posOffset>
                      </wp:positionV>
                      <wp:extent cx="1019175" cy="285750"/>
                      <wp:effectExtent l="4445" t="4445" r="5080" b="14605"/>
                      <wp:wrapNone/>
                      <wp:docPr id="14" name="文本框 14"/>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rPr>
                                    <w:t>生活用水</w:t>
                                  </w:r>
                                </w:p>
                              </w:txbxContent>
                            </wps:txbx>
                            <wps:bodyPr upright="1"/>
                          </wps:wsp>
                        </a:graphicData>
                      </a:graphic>
                    </wp:anchor>
                  </w:drawing>
                </mc:Choice>
                <mc:Fallback>
                  <w:pict>
                    <v:shape id="_x0000_s1026" o:spid="_x0000_s1026" o:spt="202" type="#_x0000_t202" style="position:absolute;left:0pt;margin-left:91.5pt;margin-top:150.8pt;height:22.5pt;width:80.25pt;z-index:251668480;mso-width-relative:page;mso-height-relative:page;" fillcolor="#FFFFFF" filled="t" stroked="t" coordsize="21600,21600" o:gfxdata="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4rQWLZAAAACwEAAA8AAAAAAAAAAQAg&#10;AAAAIgAAAGRycy9kb3ducmV2LnhtbFBLAQIUABQAAAAIAIdO4kAK+4eNDQIAADgEAAAOAAAAAAAA&#10;AAEAIAAAACgBAABkcnMvZTJvRG9jLnhtbFBLBQYAAAAABgAGAFkBAACnBQAAAAA=&#10;">
                      <v:fill on="t" focussize="0,0"/>
                      <v:stroke color="#000000" joinstyle="miter"/>
                      <v:imagedata o:title=""/>
                      <o:lock v:ext="edit" aspectratio="f"/>
                      <v:textbox>
                        <w:txbxContent>
                          <w:p>
                            <w:pPr>
                              <w:spacing w:before="24"/>
                              <w:jc w:val="center"/>
                            </w:pPr>
                            <w:r>
                              <w:rPr>
                                <w:rFonts w:hint="eastAsia"/>
                              </w:rPr>
                              <w:t>生活用水</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1162050</wp:posOffset>
                      </wp:positionH>
                      <wp:positionV relativeFrom="paragraph">
                        <wp:posOffset>1231900</wp:posOffset>
                      </wp:positionV>
                      <wp:extent cx="1019175" cy="28575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rPr>
                                    <w:t>车辆冲洗水</w:t>
                                  </w:r>
                                </w:p>
                              </w:txbxContent>
                            </wps:txbx>
                            <wps:bodyPr upright="1"/>
                          </wps:wsp>
                        </a:graphicData>
                      </a:graphic>
                    </wp:anchor>
                  </w:drawing>
                </mc:Choice>
                <mc:Fallback>
                  <w:pict>
                    <v:shape id="_x0000_s1026" o:spid="_x0000_s1026" o:spt="202" type="#_x0000_t202" style="position:absolute;left:0pt;margin-left:91.5pt;margin-top:97pt;height:22.5pt;width:80.25pt;z-index:251669504;mso-width-relative:page;mso-height-relative:page;" fillcolor="#FFFFFF" filled="t" stroked="t" coordsize="21600,21600" o:gfxdata="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LKdTdkAAAALAQAADwAAAAAAAAABACAA&#10;AAAiAAAAZHJzL2Rvd25yZXYueG1sUEsBAhQAFAAAAAgAh07iQCThNAwMAgAANgQAAA4AAAAAAAAA&#10;AQAgAAAAKAEAAGRycy9lMm9Eb2MueG1sUEsFBgAAAAAGAAYAWQEAAKYFAAAAAA==&#10;">
                      <v:fill on="t" focussize="0,0"/>
                      <v:stroke color="#000000" joinstyle="miter"/>
                      <v:imagedata o:title=""/>
                      <o:lock v:ext="edit" aspectratio="f"/>
                      <v:textbox>
                        <w:txbxContent>
                          <w:p>
                            <w:pPr>
                              <w:spacing w:before="24"/>
                              <w:jc w:val="center"/>
                            </w:pPr>
                            <w:r>
                              <w:rPr>
                                <w:rFonts w:hint="eastAsia"/>
                              </w:rPr>
                              <w:t>车辆冲洗水</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1162050</wp:posOffset>
                      </wp:positionH>
                      <wp:positionV relativeFrom="paragraph">
                        <wp:posOffset>3220085</wp:posOffset>
                      </wp:positionV>
                      <wp:extent cx="1038225" cy="295275"/>
                      <wp:effectExtent l="5080" t="4445" r="4445" b="5080"/>
                      <wp:wrapNone/>
                      <wp:docPr id="7" name="文本框 7"/>
                      <wp:cNvGraphicFramePr/>
                      <a:graphic xmlns:a="http://schemas.openxmlformats.org/drawingml/2006/main">
                        <a:graphicData uri="http://schemas.microsoft.com/office/word/2010/wordprocessingShape">
                          <wps:wsp>
                            <wps:cNvSpPr txBox="1"/>
                            <wps:spPr>
                              <a:xfrm>
                                <a:off x="0" y="0"/>
                                <a:ext cx="10382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rPr>
                                    <w:t>降尘用水</w:t>
                                  </w:r>
                                </w:p>
                              </w:txbxContent>
                            </wps:txbx>
                            <wps:bodyPr upright="1"/>
                          </wps:wsp>
                        </a:graphicData>
                      </a:graphic>
                    </wp:anchor>
                  </w:drawing>
                </mc:Choice>
                <mc:Fallback>
                  <w:pict>
                    <v:shape id="_x0000_s1026" o:spid="_x0000_s1026" o:spt="202" type="#_x0000_t202" style="position:absolute;left:0pt;margin-left:91.5pt;margin-top:253.55pt;height:23.25pt;width:81.75pt;z-index:251670528;mso-width-relative:page;mso-height-relative:page;" fillcolor="#FFFFFF" filled="t" stroked="t" coordsize="21600,21600" o:gfxdata="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5ESatoAAAALAQAADwAAAAAAAAABACAAAAAi&#10;AAAAZHJzL2Rvd25yZXYueG1sUEsBAhQAFAAAAAgAh07iQAV+mL4IAgAANgQAAA4AAAAAAAAAAQAg&#10;AAAAKQEAAGRycy9lMm9Eb2MueG1sUEsFBgAAAAAGAAYAWQEAAKMFAAAAAA==&#10;">
                      <v:fill on="t" focussize="0,0"/>
                      <v:stroke color="#000000" joinstyle="miter"/>
                      <v:imagedata o:title=""/>
                      <o:lock v:ext="edit" aspectratio="f"/>
                      <v:textbox>
                        <w:txbxContent>
                          <w:p>
                            <w:pPr>
                              <w:spacing w:before="24"/>
                              <w:jc w:val="center"/>
                            </w:pPr>
                            <w:r>
                              <w:rPr>
                                <w:rFonts w:hint="eastAsia"/>
                              </w:rPr>
                              <w:t>降尘用水</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2181225</wp:posOffset>
                      </wp:positionH>
                      <wp:positionV relativeFrom="paragraph">
                        <wp:posOffset>719455</wp:posOffset>
                      </wp:positionV>
                      <wp:extent cx="800100" cy="0"/>
                      <wp:effectExtent l="0" t="38100" r="0" b="38100"/>
                      <wp:wrapNone/>
                      <wp:docPr id="21" name="直接箭头连接符 21"/>
                      <wp:cNvGraphicFramePr/>
                      <a:graphic xmlns:a="http://schemas.openxmlformats.org/drawingml/2006/main">
                        <a:graphicData uri="http://schemas.microsoft.com/office/word/2010/wordprocessingShape">
                          <wps:wsp>
                            <wps:cNvCnPr/>
                            <wps:spPr>
                              <a:xfrm>
                                <a:off x="0" y="0"/>
                                <a:ext cx="8001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1.75pt;margin-top:56.65pt;height:0pt;width:63pt;z-index:251671552;mso-width-relative:page;mso-height-relative:page;" filled="f" stroked="t" coordsize="21600,21600" o:gfxdata="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Sl9OdkAAAALAQAADwAAAAAAAAABACAAAAAiAAAAZHJz&#10;L2Rvd25yZXYueG1sUEsBAhQAFAAAAAgAh07iQJHubuADAgAA8QMAAA4AAAAAAAAAAQAgAAAAKAEA&#10;AGRycy9lMm9Eb2MueG1sUEsFBgAAAAAGAAYAWQEAAJ0FA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333375</wp:posOffset>
                      </wp:positionH>
                      <wp:positionV relativeFrom="paragraph">
                        <wp:posOffset>2052955</wp:posOffset>
                      </wp:positionV>
                      <wp:extent cx="828675" cy="0"/>
                      <wp:effectExtent l="0" t="38100" r="9525" b="38100"/>
                      <wp:wrapNone/>
                      <wp:docPr id="42" name="直接箭头连接符 42"/>
                      <wp:cNvGraphicFramePr/>
                      <a:graphic xmlns:a="http://schemas.openxmlformats.org/drawingml/2006/main">
                        <a:graphicData uri="http://schemas.microsoft.com/office/word/2010/wordprocessingShape">
                          <wps:wsp>
                            <wps:cNvCnPr/>
                            <wps:spPr>
                              <a:xfrm>
                                <a:off x="0" y="0"/>
                                <a:ext cx="8286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25pt;margin-top:161.65pt;height:0pt;width:65.25pt;z-index:251672576;mso-width-relative:page;mso-height-relative:page;" filled="f" stroked="t" coordsize="21600,21600" o:gfxdata="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iNK3zZAAAACgEAAA8AAAAAAAAAAQAgAAAAIgAAAGRy&#10;cy9kb3ducmV2LnhtbFBLAQIUABQAAAAIAIdO4kBOV0giBAIAAPEDAAAOAAAAAAAAAAEAIAAAACgB&#10;AABkcnMvZTJvRG9jLnhtbFBLBQYAAAAABgAGAFkBAACeBQ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2200275</wp:posOffset>
                      </wp:positionH>
                      <wp:positionV relativeFrom="paragraph">
                        <wp:posOffset>2052955</wp:posOffset>
                      </wp:positionV>
                      <wp:extent cx="800100" cy="0"/>
                      <wp:effectExtent l="0" t="38100" r="0" b="38100"/>
                      <wp:wrapNone/>
                      <wp:docPr id="44" name="直接箭头连接符 44"/>
                      <wp:cNvGraphicFramePr/>
                      <a:graphic xmlns:a="http://schemas.openxmlformats.org/drawingml/2006/main">
                        <a:graphicData uri="http://schemas.microsoft.com/office/word/2010/wordprocessingShape">
                          <wps:wsp>
                            <wps:cNvCnPr/>
                            <wps:spPr>
                              <a:xfrm>
                                <a:off x="0" y="0"/>
                                <a:ext cx="8001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3.25pt;margin-top:161.65pt;height:0pt;width:63pt;z-index:251673600;mso-width-relative:page;mso-height-relative:page;" filled="f" stroked="t" coordsize="21600,21600" o:gfxdata="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&#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MQga2gAAAAsBAAAPAAAAAAAAAAEAIAAAACIAAABk&#10;cnMvZG93bnJldi54bWxQSwECFAAUAAAACACHTuJA3Jy8LQQCAADxAwAADgAAAAAAAAABACAAAAAp&#10;AQAAZHJzL2Uyb0RvYy54bWxQSwUGAAAAAAYABgBZAQAAnwU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333375</wp:posOffset>
                      </wp:positionH>
                      <wp:positionV relativeFrom="paragraph">
                        <wp:posOffset>719455</wp:posOffset>
                      </wp:positionV>
                      <wp:extent cx="828675" cy="0"/>
                      <wp:effectExtent l="0" t="38100" r="9525" b="38100"/>
                      <wp:wrapNone/>
                      <wp:docPr id="8" name="直接箭头连接符 8"/>
                      <wp:cNvGraphicFramePr/>
                      <a:graphic xmlns:a="http://schemas.openxmlformats.org/drawingml/2006/main">
                        <a:graphicData uri="http://schemas.microsoft.com/office/word/2010/wordprocessingShape">
                          <wps:wsp>
                            <wps:cNvCnPr/>
                            <wps:spPr>
                              <a:xfrm>
                                <a:off x="0" y="0"/>
                                <a:ext cx="8286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25pt;margin-top:56.65pt;height:0pt;width:65.25pt;z-index:251674624;mso-width-relative:page;mso-height-relative:page;" filled="f" stroked="t" coordsize="21600,21600" o:gfxdata="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gGf9cAAAAKAQAADwAAAAAAAAABACAAAAAiAAAAZHJzL2Rv&#10;d25yZXYueG1sUEsBAhQAFAAAAAgAh07iQDBzVP8CAgAA7wMAAA4AAAAAAAAAAQAgAAAAJgEAAGRy&#10;cy9lMm9Eb2MueG1sUEsFBgAAAAAGAAYAWQEAAJoFA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333375</wp:posOffset>
                      </wp:positionH>
                      <wp:positionV relativeFrom="paragraph">
                        <wp:posOffset>1393825</wp:posOffset>
                      </wp:positionV>
                      <wp:extent cx="828675" cy="0"/>
                      <wp:effectExtent l="0" t="38100" r="9525" b="38100"/>
                      <wp:wrapNone/>
                      <wp:docPr id="43" name="直接箭头连接符 43"/>
                      <wp:cNvGraphicFramePr/>
                      <a:graphic xmlns:a="http://schemas.openxmlformats.org/drawingml/2006/main">
                        <a:graphicData uri="http://schemas.microsoft.com/office/word/2010/wordprocessingShape">
                          <wps:wsp>
                            <wps:cNvCnPr/>
                            <wps:spPr>
                              <a:xfrm>
                                <a:off x="0" y="0"/>
                                <a:ext cx="8286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25pt;margin-top:109.75pt;height:0pt;width:65.25pt;z-index:251675648;mso-width-relative:page;mso-height-relative:page;" filled="f" stroked="t" coordsize="21600,21600" o:gfxdata="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k3yGXYAAAACgEAAA8AAAAAAAAAAQAgAAAAIgAAAGRy&#10;cy9kb3ducmV2LnhtbFBLAQIUABQAAAAIAIdO4kC8bmgRBQIAAPEDAAAOAAAAAAAAAAEAIAAAACcB&#10;AABkcnMvZTJvRG9jLnhtbFBLBQYAAAAABgAGAFkBAACeBQ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2085975</wp:posOffset>
                      </wp:positionH>
                      <wp:positionV relativeFrom="paragraph">
                        <wp:posOffset>900430</wp:posOffset>
                      </wp:positionV>
                      <wp:extent cx="828675" cy="285750"/>
                      <wp:effectExtent l="0" t="0" r="0" b="0"/>
                      <wp:wrapNone/>
                      <wp:docPr id="9" name="文本框 9"/>
                      <wp:cNvGraphicFramePr/>
                      <a:graphic xmlns:a="http://schemas.openxmlformats.org/drawingml/2006/main">
                        <a:graphicData uri="http://schemas.microsoft.com/office/word/2010/wordprocessingShape">
                          <wps:wsp>
                            <wps:cNvSpPr txBox="1"/>
                            <wps:spPr>
                              <a:xfrm>
                                <a:off x="0" y="0"/>
                                <a:ext cx="828675" cy="285750"/>
                              </a:xfrm>
                              <a:prstGeom prst="rect">
                                <a:avLst/>
                              </a:prstGeom>
                              <a:solidFill>
                                <a:srgbClr val="FFFFFF">
                                  <a:alpha val="0"/>
                                </a:srgbClr>
                              </a:solidFill>
                              <a:ln>
                                <a:noFill/>
                              </a:ln>
                            </wps:spPr>
                            <wps:txbx>
                              <w:txbxContent>
                                <w:p>
                                  <w:pPr>
                                    <w:spacing w:before="24"/>
                                    <w:jc w:val="center"/>
                                    <w:rPr>
                                      <w:rFonts w:hint="default" w:eastAsia="宋体"/>
                                      <w:szCs w:val="21"/>
                                      <w:lang w:val="en-US" w:eastAsia="zh-CN"/>
                                    </w:rPr>
                                  </w:pPr>
                                  <w:r>
                                    <w:rPr>
                                      <w:rFonts w:hint="eastAsia"/>
                                      <w:szCs w:val="21"/>
                                      <w:lang w:val="en-US" w:eastAsia="zh-CN"/>
                                    </w:rPr>
                                    <w:t>7.68</w:t>
                                  </w:r>
                                </w:p>
                              </w:txbxContent>
                            </wps:txbx>
                            <wps:bodyPr upright="1"/>
                          </wps:wsp>
                        </a:graphicData>
                      </a:graphic>
                    </wp:anchor>
                  </w:drawing>
                </mc:Choice>
                <mc:Fallback>
                  <w:pict>
                    <v:shape id="_x0000_s1026" o:spid="_x0000_s1026" o:spt="202" type="#_x0000_t202" style="position:absolute;left:0pt;margin-left:164.25pt;margin-top:70.9pt;height:22.5pt;width:65.25pt;z-index:251679744;mso-width-relative:page;mso-height-relative:page;" fillcolor="#FFFFFF" filled="t" stroked="f" coordsize="21600,21600" o:gfxdata="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1Vr8DYAAAACwEAAA8AAAAAAAAAAQAgAAAAIgAAAGRy&#10;cy9kb3ducmV2LnhtbFBLAQIUABQAAAAIAIdO4kDMUrjJzAEAAJMDAAAOAAAAAAAAAAEAIAAAACcB&#10;AABkcnMvZTJvRG9jLnhtbFBLBQYAAAAABgAGAFkBAABlBQAAAAA=&#10;">
                      <v:fill on="t" opacity="0f" focussize="0,0"/>
                      <v:stroke on="f"/>
                      <v:imagedata o:title=""/>
                      <o:lock v:ext="edit" aspectratio="f"/>
                      <v:textbox>
                        <w:txbxContent>
                          <w:p>
                            <w:pPr>
                              <w:spacing w:before="24"/>
                              <w:jc w:val="center"/>
                              <w:rPr>
                                <w:rFonts w:hint="default" w:eastAsia="宋体"/>
                                <w:szCs w:val="21"/>
                                <w:lang w:val="en-US" w:eastAsia="zh-CN"/>
                              </w:rPr>
                            </w:pPr>
                            <w:r>
                              <w:rPr>
                                <w:rFonts w:hint="eastAsia"/>
                                <w:szCs w:val="21"/>
                                <w:lang w:val="en-US" w:eastAsia="zh-CN"/>
                              </w:rPr>
                              <w:t>7.68</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2133600</wp:posOffset>
                      </wp:positionH>
                      <wp:positionV relativeFrom="paragraph">
                        <wp:posOffset>2223770</wp:posOffset>
                      </wp:positionV>
                      <wp:extent cx="933450" cy="28575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933450" cy="285750"/>
                              </a:xfrm>
                              <a:prstGeom prst="rect">
                                <a:avLst/>
                              </a:prstGeom>
                              <a:solidFill>
                                <a:srgbClr val="FFFFFF">
                                  <a:alpha val="0"/>
                                </a:srgbClr>
                              </a:solidFill>
                              <a:ln>
                                <a:noFill/>
                              </a:ln>
                            </wps:spPr>
                            <wps:txbx>
                              <w:txbxContent>
                                <w:p>
                                  <w:pPr>
                                    <w:spacing w:before="24"/>
                                    <w:jc w:val="center"/>
                                    <w:rPr>
                                      <w:rFonts w:hint="default" w:eastAsia="宋体"/>
                                      <w:szCs w:val="21"/>
                                      <w:lang w:val="en-US" w:eastAsia="zh-CN"/>
                                    </w:rPr>
                                  </w:pPr>
                                  <w:r>
                                    <w:rPr>
                                      <w:szCs w:val="21"/>
                                    </w:rPr>
                                    <w:t>0.</w:t>
                                  </w:r>
                                  <w:r>
                                    <w:rPr>
                                      <w:rFonts w:hint="eastAsia"/>
                                      <w:szCs w:val="21"/>
                                      <w:lang w:val="en-US" w:eastAsia="zh-CN"/>
                                    </w:rPr>
                                    <w:t>18</w:t>
                                  </w:r>
                                </w:p>
                              </w:txbxContent>
                            </wps:txbx>
                            <wps:bodyPr upright="1"/>
                          </wps:wsp>
                        </a:graphicData>
                      </a:graphic>
                    </wp:anchor>
                  </w:drawing>
                </mc:Choice>
                <mc:Fallback>
                  <w:pict>
                    <v:shape id="_x0000_s1026" o:spid="_x0000_s1026" o:spt="202" type="#_x0000_t202" style="position:absolute;left:0pt;margin-left:168pt;margin-top:175.1pt;height:22.5pt;width:73.5pt;z-index:251680768;mso-width-relative:page;mso-height-relative:page;" fillcolor="#FFFFFF" filled="t" stroked="f" coordsize="21600,21600" o:gfxdata="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xrc0nYAAAACwEAAA8AAAAAAAAAAQAgAAAAIgAAAGRy&#10;cy9kb3ducmV2LnhtbFBLAQIUABQAAAAIAIdO4kA54+BPzAEAAJUDAAAOAAAAAAAAAAEAIAAAACcB&#10;AABkcnMvZTJvRG9jLnhtbFBLBQYAAAAABgAGAFkBAABlBQAAAAA=&#10;">
                      <v:fill on="t" opacity="0f" focussize="0,0"/>
                      <v:stroke on="f"/>
                      <v:imagedata o:title=""/>
                      <o:lock v:ext="edit" aspectratio="f"/>
                      <v:textbox>
                        <w:txbxContent>
                          <w:p>
                            <w:pPr>
                              <w:spacing w:before="24"/>
                              <w:jc w:val="center"/>
                              <w:rPr>
                                <w:rFonts w:hint="default" w:eastAsia="宋体"/>
                                <w:szCs w:val="21"/>
                                <w:lang w:val="en-US" w:eastAsia="zh-CN"/>
                              </w:rPr>
                            </w:pPr>
                            <w:r>
                              <w:rPr>
                                <w:szCs w:val="21"/>
                              </w:rPr>
                              <w:t>0.</w:t>
                            </w:r>
                            <w:r>
                              <w:rPr>
                                <w:rFonts w:hint="eastAsia"/>
                                <w:szCs w:val="21"/>
                                <w:lang w:val="en-US" w:eastAsia="zh-CN"/>
                              </w:rPr>
                              <w:t>18</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-19050</wp:posOffset>
                      </wp:positionH>
                      <wp:positionV relativeFrom="paragraph">
                        <wp:posOffset>5080</wp:posOffset>
                      </wp:positionV>
                      <wp:extent cx="723900" cy="47625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rgbClr val="FFFFFF">
                                  <a:alpha val="0"/>
                                </a:srgbClr>
                              </a:solidFill>
                              <a:ln>
                                <a:noFill/>
                              </a:ln>
                            </wps:spPr>
                            <wps:txbx>
                              <w:txbxContent>
                                <w:p>
                                  <w:pPr>
                                    <w:spacing w:before="24"/>
                                    <w:jc w:val="center"/>
                                    <w:rPr>
                                      <w:rFonts w:hint="default" w:eastAsia="宋体"/>
                                      <w:b/>
                                      <w:szCs w:val="21"/>
                                      <w:lang w:val="en-US" w:eastAsia="zh-CN"/>
                                    </w:rPr>
                                  </w:pPr>
                                  <w:r>
                                    <w:rPr>
                                      <w:rFonts w:hint="eastAsia"/>
                                      <w:b/>
                                      <w:szCs w:val="21"/>
                                    </w:rPr>
                                    <w:t>新鲜水</w:t>
                                  </w:r>
                                  <w:r>
                                    <w:rPr>
                                      <w:rFonts w:hint="eastAsia"/>
                                      <w:b/>
                                      <w:szCs w:val="21"/>
                                      <w:lang w:val="en-US" w:eastAsia="zh-CN"/>
                                    </w:rPr>
                                    <w:t>61.698</w:t>
                                  </w:r>
                                </w:p>
                              </w:txbxContent>
                            </wps:txbx>
                            <wps:bodyPr upright="1"/>
                          </wps:wsp>
                        </a:graphicData>
                      </a:graphic>
                    </wp:anchor>
                  </w:drawing>
                </mc:Choice>
                <mc:Fallback>
                  <w:pict>
                    <v:shape id="_x0000_s1026" o:spid="_x0000_s1026" o:spt="202" type="#_x0000_t202" style="position:absolute;left:0pt;margin-left:-1.5pt;margin-top:0.4pt;height:37.5pt;width:57pt;z-index:251681792;mso-width-relative:page;mso-height-relative:page;" fillcolor="#FFFFFF" filled="t" stroked="f" coordsize="21600,21600" o:gfxdata="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kti4FdQAAAAGAQAADwAAAAAAAAABACAAAAAiAAAAZHJzL2Rv&#10;d25yZXYueG1sUEsBAhQAFAAAAAgAh07iQH4KOVjMAQAAlQMAAA4AAAAAAAAAAQAgAAAAIwEAAGRy&#10;cy9lMm9Eb2MueG1sUEsFBgAAAAAGAAYAWQEAAGEFAAAAAA==&#10;">
                      <v:fill on="t" opacity="0f" focussize="0,0"/>
                      <v:stroke on="f"/>
                      <v:imagedata o:title=""/>
                      <o:lock v:ext="edit" aspectratio="f"/>
                      <v:textbox>
                        <w:txbxContent>
                          <w:p>
                            <w:pPr>
                              <w:spacing w:before="24"/>
                              <w:jc w:val="center"/>
                              <w:rPr>
                                <w:rFonts w:hint="default" w:eastAsia="宋体"/>
                                <w:b/>
                                <w:szCs w:val="21"/>
                                <w:lang w:val="en-US" w:eastAsia="zh-CN"/>
                              </w:rPr>
                            </w:pPr>
                            <w:r>
                              <w:rPr>
                                <w:rFonts w:hint="eastAsia"/>
                                <w:b/>
                                <w:szCs w:val="21"/>
                              </w:rPr>
                              <w:t>新鲜水</w:t>
                            </w:r>
                            <w:r>
                              <w:rPr>
                                <w:rFonts w:hint="eastAsia"/>
                                <w:b/>
                                <w:szCs w:val="21"/>
                                <w:lang w:val="en-US" w:eastAsia="zh-CN"/>
                              </w:rPr>
                              <w:t>61.698</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2095500</wp:posOffset>
                      </wp:positionH>
                      <wp:positionV relativeFrom="paragraph">
                        <wp:posOffset>867410</wp:posOffset>
                      </wp:positionV>
                      <wp:extent cx="314325" cy="175895"/>
                      <wp:effectExtent l="2540" t="4445" r="6985" b="10160"/>
                      <wp:wrapNone/>
                      <wp:docPr id="48" name="直接箭头连接符 48"/>
                      <wp:cNvGraphicFramePr/>
                      <a:graphic xmlns:a="http://schemas.openxmlformats.org/drawingml/2006/main">
                        <a:graphicData uri="http://schemas.microsoft.com/office/word/2010/wordprocessingShape">
                          <wps:wsp>
                            <wps:cNvCnPr/>
                            <wps:spPr>
                              <a:xfrm>
                                <a:off x="0" y="0"/>
                                <a:ext cx="314325" cy="175895"/>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_x0000_s1026" o:spid="_x0000_s1026" o:spt="32" type="#_x0000_t32" style="position:absolute;left:0pt;margin-left:165pt;margin-top:68.3pt;height:13.85pt;width:24.75pt;z-index:251684864;mso-width-relative:page;mso-height-relative:page;" filled="f" stroked="t" coordsize="21600,21600" o:gfxdata="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w/XWbaAAAACwEAAA8AAAAAAAAAAQAgAAAA&#10;IgAAAGRycy9kb3ducmV2LnhtbFBLAQIUABQAAAAIAIdO4kBL6qMoCQIAAPcDAAAOAAAAAAAAAAEA&#10;IAAAACkBAABkcnMvZTJvRG9jLnhtbFBLBQYAAAAABgAGAFkBAACkBQAAAAA=&#10;">
                      <v:fill on="f" focussize="0,0"/>
                      <v:stroke color="#000000" joinstyle="round" dashstyle="longDash"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2095500</wp:posOffset>
                      </wp:positionH>
                      <wp:positionV relativeFrom="paragraph">
                        <wp:posOffset>2204720</wp:posOffset>
                      </wp:positionV>
                      <wp:extent cx="314325" cy="162560"/>
                      <wp:effectExtent l="1905" t="4445" r="7620" b="4445"/>
                      <wp:wrapNone/>
                      <wp:docPr id="49" name="直接箭头连接符 49"/>
                      <wp:cNvGraphicFramePr/>
                      <a:graphic xmlns:a="http://schemas.openxmlformats.org/drawingml/2006/main">
                        <a:graphicData uri="http://schemas.microsoft.com/office/word/2010/wordprocessingShape">
                          <wps:wsp>
                            <wps:cNvCnPr/>
                            <wps:spPr>
                              <a:xfrm>
                                <a:off x="0" y="0"/>
                                <a:ext cx="314325" cy="162560"/>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_x0000_s1026" o:spid="_x0000_s1026" o:spt="32" type="#_x0000_t32" style="position:absolute;left:0pt;margin-left:165pt;margin-top:173.6pt;height:12.8pt;width:24.75pt;z-index:251685888;mso-width-relative:page;mso-height-relative:page;" filled="f" stroked="t" coordsize="21600,21600" o:gfxdata="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fO7q3bAAAACwEAAA8AAAAAAAAAAQAg&#10;AAAAIgAAAGRycy9kb3ducmV2LnhtbFBLAQIUABQAAAAIAIdO4kAszoGQCwIAAPcDAAAOAAAAAAAA&#10;AAEAIAAAACoBAABkcnMvZTJvRG9jLnhtbFBLBQYAAAAABgAGAFkBAACnBQAAAAA=&#10;">
                      <v:fill on="f" focussize="0,0"/>
                      <v:stroke color="#000000" joinstyle="round" dashstyle="longDash"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333375</wp:posOffset>
                      </wp:positionH>
                      <wp:positionV relativeFrom="paragraph">
                        <wp:posOffset>3344545</wp:posOffset>
                      </wp:positionV>
                      <wp:extent cx="828675" cy="0"/>
                      <wp:effectExtent l="0" t="38100" r="9525" b="38100"/>
                      <wp:wrapNone/>
                      <wp:docPr id="53" name="直接箭头连接符 53"/>
                      <wp:cNvGraphicFramePr/>
                      <a:graphic xmlns:a="http://schemas.openxmlformats.org/drawingml/2006/main">
                        <a:graphicData uri="http://schemas.microsoft.com/office/word/2010/wordprocessingShape">
                          <wps:wsp>
                            <wps:cNvCnPr/>
                            <wps:spPr>
                              <a:xfrm>
                                <a:off x="0" y="0"/>
                                <a:ext cx="8286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25pt;margin-top:263.35pt;height:0pt;width:65.25pt;z-index:251694080;mso-width-relative:page;mso-height-relative:page;" filled="f" stroked="t" coordsize="21600,21600" o:gfxdata="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z0qIdgAAAAKAQAADwAAAAAAAAABACAAAAAiAAAAZHJz&#10;L2Rvd25yZXYueG1sUEsBAhQAFAAAAAgAh07iQLXd6EIEAgAA8QMAAA4AAAAAAAAAAQAgAAAAJwEA&#10;AGRycy9lMm9Eb2MueG1sUEsFBgAAAAAGAAYAWQEAAJ0FA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3028950</wp:posOffset>
                      </wp:positionH>
                      <wp:positionV relativeFrom="paragraph">
                        <wp:posOffset>3809365</wp:posOffset>
                      </wp:positionV>
                      <wp:extent cx="885825" cy="285750"/>
                      <wp:effectExtent l="4445" t="5080" r="5080" b="13970"/>
                      <wp:wrapNone/>
                      <wp:docPr id="11" name="文本框 11"/>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lang w:eastAsia="zh-CN"/>
                                    </w:rPr>
                                    <w:t>加工</w:t>
                                  </w:r>
                                  <w:r>
                                    <w:rPr>
                                      <w:rFonts w:hint="eastAsia"/>
                                    </w:rPr>
                                    <w:t>喷水</w:t>
                                  </w:r>
                                </w:p>
                              </w:txbxContent>
                            </wps:txbx>
                            <wps:bodyPr upright="1"/>
                          </wps:wsp>
                        </a:graphicData>
                      </a:graphic>
                    </wp:anchor>
                  </w:drawing>
                </mc:Choice>
                <mc:Fallback>
                  <w:pict>
                    <v:shape id="_x0000_s1026" o:spid="_x0000_s1026" o:spt="202" type="#_x0000_t202" style="position:absolute;left:0pt;margin-left:238.5pt;margin-top:299.95pt;height:22.5pt;width:69.75pt;z-index:251697152;mso-width-relative:page;mso-height-relative:page;" fillcolor="#FFFFFF" filled="t" stroked="t" coordsize="21600,21600" o:gfxdata="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30YBbbAAAACwEAAA8AAAAAAAAAAQAg&#10;AAAAIgAAAGRycy9kb3ducmV2LnhtbFBLAQIUABQAAAAIAIdO4kBDyFE3CwIAADcEAAAOAAAAAAAA&#10;AAEAIAAAACoBAABkcnMvZTJvRG9jLnhtbFBLBQYAAAAABgAGAFkBAACnBQAAAAA=&#10;">
                      <v:fill on="t" focussize="0,0"/>
                      <v:stroke color="#000000" joinstyle="miter"/>
                      <v:imagedata o:title=""/>
                      <o:lock v:ext="edit" aspectratio="f"/>
                      <v:textbox>
                        <w:txbxContent>
                          <w:p>
                            <w:pPr>
                              <w:spacing w:before="24"/>
                              <w:jc w:val="center"/>
                            </w:pPr>
                            <w:r>
                              <w:rPr>
                                <w:rFonts w:hint="eastAsia"/>
                                <w:lang w:eastAsia="zh-CN"/>
                              </w:rPr>
                              <w:t>加工</w:t>
                            </w:r>
                            <w:r>
                              <w:rPr>
                                <w:rFonts w:hint="eastAsia"/>
                              </w:rPr>
                              <w:t>喷水</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2200275</wp:posOffset>
                      </wp:positionH>
                      <wp:positionV relativeFrom="paragraph">
                        <wp:posOffset>3344545</wp:posOffset>
                      </wp:positionV>
                      <wp:extent cx="828675" cy="0"/>
                      <wp:effectExtent l="0" t="38100" r="9525" b="38100"/>
                      <wp:wrapNone/>
                      <wp:docPr id="25" name="直接箭头连接符 25"/>
                      <wp:cNvGraphicFramePr/>
                      <a:graphic xmlns:a="http://schemas.openxmlformats.org/drawingml/2006/main">
                        <a:graphicData uri="http://schemas.microsoft.com/office/word/2010/wordprocessingShape">
                          <wps:wsp>
                            <wps:cNvCnPr/>
                            <wps:spPr>
                              <a:xfrm>
                                <a:off x="0" y="0"/>
                                <a:ext cx="8286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73.25pt;margin-top:263.35pt;height:0pt;width:65.25pt;z-index:251698176;mso-width-relative:page;mso-height-relative:page;" filled="f" stroked="t" coordsize="21600,21600" o:gfxdata="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&#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MzAnTaAAAACwEAAA8AAAAAAAAAAQAgAAAAIgAAAGRy&#10;cy9kb3ducmV2LnhtbFBLAQIUABQAAAAIAIdO4kDnVtqJAwIAAPEDAAAOAAAAAAAAAAEAIAAAACkB&#10;AABkcnMvZTJvRG9jLnhtbFBLBQYAAAAABgAGAFkBAACeBQ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3914775</wp:posOffset>
                      </wp:positionH>
                      <wp:positionV relativeFrom="paragraph">
                        <wp:posOffset>3111500</wp:posOffset>
                      </wp:positionV>
                      <wp:extent cx="342900" cy="219710"/>
                      <wp:effectExtent l="2540" t="0" r="16510" b="8890"/>
                      <wp:wrapNone/>
                      <wp:docPr id="28" name="直接箭头连接符 28"/>
                      <wp:cNvGraphicFramePr/>
                      <a:graphic xmlns:a="http://schemas.openxmlformats.org/drawingml/2006/main">
                        <a:graphicData uri="http://schemas.microsoft.com/office/word/2010/wordprocessingShape">
                          <wps:wsp>
                            <wps:cNvCnPr/>
                            <wps:spPr>
                              <a:xfrm flipV="1">
                                <a:off x="0" y="0"/>
                                <a:ext cx="342900" cy="219710"/>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_x0000_s1026" o:spid="_x0000_s1026" o:spt="32" type="#_x0000_t32" style="position:absolute;left:0pt;flip:y;margin-left:308.25pt;margin-top:245pt;height:17.3pt;width:27pt;z-index:251701248;mso-width-relative:page;mso-height-relative:page;" filled="f" stroked="t" coordsize="21600,21600" o:gfxdata="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mft12gAAAAsBAAAPAAAA&#10;AAAAAAEAIAAAACIAAABkcnMvZG93bnJldi54bWxQSwECFAAUAAAACACHTuJAQbzdCRMCAAABBAAA&#10;DgAAAAAAAAABACAAAAApAQAAZHJzL2Uyb0RvYy54bWxQSwUGAAAAAAYABgBZAQAArgUAAAAA&#10;">
                      <v:fill on="f" focussize="0,0"/>
                      <v:stroke color="#000000" joinstyle="round" dashstyle="longDash"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3914775</wp:posOffset>
                      </wp:positionH>
                      <wp:positionV relativeFrom="paragraph">
                        <wp:posOffset>3732530</wp:posOffset>
                      </wp:positionV>
                      <wp:extent cx="342900" cy="219710"/>
                      <wp:effectExtent l="2540" t="0" r="16510" b="8890"/>
                      <wp:wrapNone/>
                      <wp:docPr id="29" name="直接箭头连接符 29"/>
                      <wp:cNvGraphicFramePr/>
                      <a:graphic xmlns:a="http://schemas.openxmlformats.org/drawingml/2006/main">
                        <a:graphicData uri="http://schemas.microsoft.com/office/word/2010/wordprocessingShape">
                          <wps:wsp>
                            <wps:cNvCnPr/>
                            <wps:spPr>
                              <a:xfrm flipV="1">
                                <a:off x="0" y="0"/>
                                <a:ext cx="342900" cy="219710"/>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_x0000_s1026" o:spid="_x0000_s1026" o:spt="32" type="#_x0000_t32" style="position:absolute;left:0pt;flip:y;margin-left:308.25pt;margin-top:293.9pt;height:17.3pt;width:27pt;z-index:251702272;mso-width-relative:page;mso-height-relative:page;" filled="f" stroked="t" coordsize="21600,21600" o:gfxdata="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VmJ5fbAAAACwEAAA8A&#10;AAAAAAAAAQAgAAAAIgAAAGRycy9kb3ducmV2LnhtbFBLAQIUABQAAAAIAIdO4kBIiOTAFAIAAAEE&#10;AAAOAAAAAAAAAAEAIAAAACoBAABkcnMvZTJvRG9jLnhtbFBLBQYAAAAABgAGAFkBAACwBQAAAAA=&#10;">
                      <v:fill on="f" focussize="0,0"/>
                      <v:stroke color="#000000" joinstyle="round" dashstyle="longDash"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504825</wp:posOffset>
                      </wp:positionH>
                      <wp:positionV relativeFrom="paragraph">
                        <wp:posOffset>1839595</wp:posOffset>
                      </wp:positionV>
                      <wp:extent cx="466725" cy="25717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466725" cy="257175"/>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color w:val="000000"/>
                                      <w:szCs w:val="21"/>
                                    </w:rPr>
                                    <w:t>0.</w:t>
                                  </w:r>
                                  <w:r>
                                    <w:rPr>
                                      <w:rFonts w:hint="eastAsia"/>
                                      <w:color w:val="000000"/>
                                      <w:szCs w:val="21"/>
                                      <w:lang w:val="en-US" w:eastAsia="zh-CN"/>
                                    </w:rPr>
                                    <w:t>9</w:t>
                                  </w:r>
                                </w:p>
                              </w:txbxContent>
                            </wps:txbx>
                            <wps:bodyPr upright="1"/>
                          </wps:wsp>
                        </a:graphicData>
                      </a:graphic>
                    </wp:anchor>
                  </w:drawing>
                </mc:Choice>
                <mc:Fallback>
                  <w:pict>
                    <v:shape id="_x0000_s1026" o:spid="_x0000_s1026" o:spt="202" type="#_x0000_t202" style="position:absolute;left:0pt;margin-left:39.75pt;margin-top:144.85pt;height:20.25pt;width:36.75pt;z-index:251704320;mso-width-relative:page;mso-height-relative:page;" fillcolor="#FFFFFF" filled="t" stroked="f" coordsize="21600,21600" o:gfxdata="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Q/s/n2QAAAAoBAAAPAAAAAAAAAAEAIAAAACIA&#10;AABkcnMvZG93bnJldi54bWxQSwECFAAUAAAACACHTuJAS98bu88BAACVAwAADgAAAAAAAAABACAA&#10;AAAoAQAAZHJzL2Uyb0RvYy54bWxQSwUGAAAAAAYABgBZAQAAaQUAAAAA&#10;">
                      <v:fill on="t" opacity="0f" focussize="0,0"/>
                      <v:stroke on="f"/>
                      <v:imagedata o:title=""/>
                      <o:lock v:ext="edit" aspectratio="f"/>
                      <v:textbox>
                        <w:txbxContent>
                          <w:p>
                            <w:pPr>
                              <w:spacing w:before="24"/>
                              <w:rPr>
                                <w:rFonts w:hint="default" w:eastAsia="宋体"/>
                                <w:szCs w:val="21"/>
                                <w:lang w:val="en-US" w:eastAsia="zh-CN"/>
                              </w:rPr>
                            </w:pPr>
                            <w:r>
                              <w:rPr>
                                <w:color w:val="000000"/>
                                <w:szCs w:val="21"/>
                              </w:rPr>
                              <w:t>0.</w:t>
                            </w:r>
                            <w:r>
                              <w:rPr>
                                <w:rFonts w:hint="eastAsia"/>
                                <w:color w:val="000000"/>
                                <w:szCs w:val="21"/>
                                <w:lang w:val="en-US" w:eastAsia="zh-CN"/>
                              </w:rPr>
                              <w:t>9</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504825</wp:posOffset>
                      </wp:positionH>
                      <wp:positionV relativeFrom="paragraph">
                        <wp:posOffset>1180465</wp:posOffset>
                      </wp:positionV>
                      <wp:extent cx="495300" cy="257175"/>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rgbClr val="FFFFFF">
                                  <a:alpha val="0"/>
                                </a:srgbClr>
                              </a:solidFill>
                              <a:ln>
                                <a:noFill/>
                              </a:ln>
                            </wps:spPr>
                            <wps:txbx>
                              <w:txbxContent>
                                <w:p>
                                  <w:pPr>
                                    <w:spacing w:before="24"/>
                                    <w:rPr>
                                      <w:szCs w:val="21"/>
                                    </w:rPr>
                                  </w:pPr>
                                  <w:r>
                                    <w:rPr>
                                      <w:color w:val="000000"/>
                                      <w:szCs w:val="21"/>
                                    </w:rPr>
                                    <w:t>0.8</w:t>
                                  </w:r>
                                </w:p>
                              </w:txbxContent>
                            </wps:txbx>
                            <wps:bodyPr upright="1"/>
                          </wps:wsp>
                        </a:graphicData>
                      </a:graphic>
                    </wp:anchor>
                  </w:drawing>
                </mc:Choice>
                <mc:Fallback>
                  <w:pict>
                    <v:shape id="_x0000_s1026" o:spid="_x0000_s1026" o:spt="202" type="#_x0000_t202" style="position:absolute;left:0pt;margin-left:39.75pt;margin-top:92.95pt;height:20.25pt;width:39pt;z-index:251705344;mso-width-relative:page;mso-height-relative:page;" fillcolor="#FFFFFF" filled="t" stroked="f" coordsize="21600,21600" o:gfxdata="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&#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gMeI2AAAAAoBAAAPAAAAAAAAAAEAIAAAACIAAABk&#10;cnMvZG93bnJldi54bWxQSwECFAAUAAAACACHTuJArguRdM0BAACVAwAADgAAAAAAAAABACAAAAAn&#10;AQAAZHJzL2Uyb0RvYy54bWxQSwUGAAAAAAYABgBZAQAAZgUAAAAA&#10;">
                      <v:fill on="t" opacity="0f" focussize="0,0"/>
                      <v:stroke on="f"/>
                      <v:imagedata o:title=""/>
                      <o:lock v:ext="edit" aspectratio="f"/>
                      <v:textbox>
                        <w:txbxContent>
                          <w:p>
                            <w:pPr>
                              <w:spacing w:before="24"/>
                              <w:rPr>
                                <w:szCs w:val="21"/>
                              </w:rPr>
                            </w:pPr>
                            <w:r>
                              <w:rPr>
                                <w:color w:val="000000"/>
                                <w:szCs w:val="21"/>
                              </w:rPr>
                              <w:t>0.8</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504825</wp:posOffset>
                      </wp:positionH>
                      <wp:positionV relativeFrom="paragraph">
                        <wp:posOffset>525780</wp:posOffset>
                      </wp:positionV>
                      <wp:extent cx="495300" cy="25654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495300" cy="256540"/>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44.16</w:t>
                                  </w:r>
                                </w:p>
                              </w:txbxContent>
                            </wps:txbx>
                            <wps:bodyPr upright="1"/>
                          </wps:wsp>
                        </a:graphicData>
                      </a:graphic>
                    </wp:anchor>
                  </w:drawing>
                </mc:Choice>
                <mc:Fallback>
                  <w:pict>
                    <v:shape id="_x0000_s1026" o:spid="_x0000_s1026" o:spt="202" type="#_x0000_t202" style="position:absolute;left:0pt;margin-left:39.75pt;margin-top:41.4pt;height:20.2pt;width:39pt;z-index:251706368;mso-width-relative:page;mso-height-relative:page;" fillcolor="#FFFFFF" filled="t" stroked="f" coordsize="21600,21600" o:gfxdata="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yTYpNYAAAAJAQAADwAAAAAAAAABACAAAAAiAAAAZHJz&#10;L2Rvd25yZXYueG1sUEsBAhQAFAAAAAgAh07iQBaOXJHNAQAAlQMAAA4AAAAAAAAAAQAgAAAAJQEA&#10;AGRycy9lMm9Eb2MueG1sUEsFBgAAAAAGAAYAWQEAAGQFA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44.16</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4191000</wp:posOffset>
                      </wp:positionH>
                      <wp:positionV relativeFrom="paragraph">
                        <wp:posOffset>2380615</wp:posOffset>
                      </wp:positionV>
                      <wp:extent cx="504825" cy="25717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04825" cy="257175"/>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szCs w:val="21"/>
                                      <w:lang w:val="en-US" w:eastAsia="zh-CN"/>
                                    </w:rPr>
                                    <w:t>12</w:t>
                                  </w:r>
                                </w:p>
                              </w:txbxContent>
                            </wps:txbx>
                            <wps:bodyPr upright="1"/>
                          </wps:wsp>
                        </a:graphicData>
                      </a:graphic>
                    </wp:anchor>
                  </w:drawing>
                </mc:Choice>
                <mc:Fallback>
                  <w:pict>
                    <v:shape id="_x0000_s1026" o:spid="_x0000_s1026" o:spt="202" type="#_x0000_t202" style="position:absolute;left:0pt;margin-left:330pt;margin-top:187.45pt;height:20.25pt;width:39.75pt;z-index:251707392;mso-width-relative:page;mso-height-relative:page;" fillcolor="#FFFFFF" filled="t" stroked="f" coordsize="21600,21600" o:gfxdata="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YqBVs2wAAAAsBAAAPAAAAAAAAAAEAIAAAACIA&#10;AABkcnMvZG93bnJldi54bWxQSwECFAAUAAAACACHTuJAyj9bYc0BAACVAwAADgAAAAAAAAABACAA&#10;AAAqAQAAZHJzL2Uyb0RvYy54bWxQSwUGAAAAAAYABgBZAQAAaQUAAAAA&#10;">
                      <v:fill on="t" opacity="0f" focussize="0,0"/>
                      <v:stroke on="f"/>
                      <v:imagedata o:title=""/>
                      <o:lock v:ext="edit" aspectratio="f"/>
                      <v:textbox>
                        <w:txbxContent>
                          <w:p>
                            <w:pPr>
                              <w:spacing w:before="24"/>
                              <w:rPr>
                                <w:rFonts w:hint="default" w:eastAsia="宋体"/>
                                <w:szCs w:val="21"/>
                                <w:lang w:val="en-US" w:eastAsia="zh-CN"/>
                              </w:rPr>
                            </w:pPr>
                            <w:r>
                              <w:rPr>
                                <w:rFonts w:hint="eastAsia"/>
                                <w:szCs w:val="21"/>
                                <w:lang w:val="en-US" w:eastAsia="zh-CN"/>
                              </w:rPr>
                              <w:t>12</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4171950</wp:posOffset>
                      </wp:positionH>
                      <wp:positionV relativeFrom="paragraph">
                        <wp:posOffset>3596005</wp:posOffset>
                      </wp:positionV>
                      <wp:extent cx="495300" cy="25717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1.728</w:t>
                                  </w:r>
                                </w:p>
                              </w:txbxContent>
                            </wps:txbx>
                            <wps:bodyPr upright="1"/>
                          </wps:wsp>
                        </a:graphicData>
                      </a:graphic>
                    </wp:anchor>
                  </w:drawing>
                </mc:Choice>
                <mc:Fallback>
                  <w:pict>
                    <v:shape id="_x0000_s1026" o:spid="_x0000_s1026" o:spt="202" type="#_x0000_t202" style="position:absolute;left:0pt;margin-left:328.5pt;margin-top:283.15pt;height:20.25pt;width:39pt;z-index:251709440;mso-width-relative:page;mso-height-relative:page;" fillcolor="#FFFFFF" filled="t" stroked="f" coordsize="21600,21600" o:gfxdata="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gBEMtkAAAALAQAADwAAAAAAAAABACAAAAAiAAAA&#10;ZHJzL2Rvd25yZXYueG1sUEsBAhQAFAAAAAgAh07iQEKhEaLNAQAAlQMAAA4AAAAAAAAAAQAgAAAA&#10;KAEAAGRycy9lMm9Eb2MueG1sUEsFBgAAAAAGAAYAWQEAAGcFA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1.728</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2362200</wp:posOffset>
                      </wp:positionH>
                      <wp:positionV relativeFrom="paragraph">
                        <wp:posOffset>1569085</wp:posOffset>
                      </wp:positionV>
                      <wp:extent cx="504825" cy="25717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504825" cy="257175"/>
                              </a:xfrm>
                              <a:prstGeom prst="rect">
                                <a:avLst/>
                              </a:prstGeom>
                              <a:solidFill>
                                <a:srgbClr val="FFFFFF">
                                  <a:alpha val="0"/>
                                </a:srgbClr>
                              </a:solidFill>
                              <a:ln>
                                <a:noFill/>
                              </a:ln>
                            </wps:spPr>
                            <wps:txbx>
                              <w:txbxContent>
                                <w:p>
                                  <w:pPr>
                                    <w:spacing w:before="24"/>
                                    <w:rPr>
                                      <w:szCs w:val="21"/>
                                    </w:rPr>
                                  </w:pPr>
                                  <w:r>
                                    <w:rPr>
                                      <w:color w:val="000000"/>
                                      <w:szCs w:val="21"/>
                                    </w:rPr>
                                    <w:t>0.16</w:t>
                                  </w:r>
                                </w:p>
                              </w:txbxContent>
                            </wps:txbx>
                            <wps:bodyPr upright="1"/>
                          </wps:wsp>
                        </a:graphicData>
                      </a:graphic>
                    </wp:anchor>
                  </w:drawing>
                </mc:Choice>
                <mc:Fallback>
                  <w:pict>
                    <v:shape id="_x0000_s1026" o:spid="_x0000_s1026" o:spt="202" type="#_x0000_t202" style="position:absolute;left:0pt;margin-left:186pt;margin-top:123.55pt;height:20.25pt;width:39.75pt;z-index:251710464;mso-width-relative:page;mso-height-relative:page;" fillcolor="#FFFFFF" filled="t" stroked="f" coordsize="21600,21600" o:gfxdata="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D/nnz2gAAAAsBAAAPAAAAAAAAAAEAIAAAACIA&#10;AABkcnMvZG93bnJldi54bWxQSwECFAAUAAAACACHTuJAMO9XaM4BAACVAwAADgAAAAAAAAABACAA&#10;AAApAQAAZHJzL2Uyb0RvYy54bWxQSwUGAAAAAAYABgBZAQAAaQUAAAAA&#10;">
                      <v:fill on="t" opacity="0f" focussize="0,0"/>
                      <v:stroke on="f"/>
                      <v:imagedata o:title=""/>
                      <o:lock v:ext="edit" aspectratio="f"/>
                      <v:textbox>
                        <w:txbxContent>
                          <w:p>
                            <w:pPr>
                              <w:spacing w:before="24"/>
                              <w:rPr>
                                <w:szCs w:val="21"/>
                              </w:rPr>
                            </w:pPr>
                            <w:r>
                              <w:rPr>
                                <w:color w:val="000000"/>
                                <w:szCs w:val="21"/>
                              </w:rPr>
                              <w:t>0.16</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2096135</wp:posOffset>
                      </wp:positionH>
                      <wp:positionV relativeFrom="paragraph">
                        <wp:posOffset>1530985</wp:posOffset>
                      </wp:positionV>
                      <wp:extent cx="314325" cy="175895"/>
                      <wp:effectExtent l="2540" t="4445" r="6985" b="10160"/>
                      <wp:wrapNone/>
                      <wp:docPr id="33" name="直接箭头连接符 33"/>
                      <wp:cNvGraphicFramePr/>
                      <a:graphic xmlns:a="http://schemas.openxmlformats.org/drawingml/2006/main">
                        <a:graphicData uri="http://schemas.microsoft.com/office/word/2010/wordprocessingShape">
                          <wps:wsp>
                            <wps:cNvCnPr/>
                            <wps:spPr>
                              <a:xfrm>
                                <a:off x="0" y="0"/>
                                <a:ext cx="314325" cy="175895"/>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_x0000_s1026" o:spid="_x0000_s1026" o:spt="32" type="#_x0000_t32" style="position:absolute;left:0pt;margin-left:165.05pt;margin-top:120.55pt;height:13.85pt;width:24.75pt;z-index:251712512;mso-width-relative:page;mso-height-relative:page;" filled="f" stroked="t" coordsize="21600,21600" o:gfxdata="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q462HaAAAACwEAAA8AAAAAAAAAAQAgAAAA&#10;IgAAAGRycy9kb3ducmV2LnhtbFBLAQIUABQAAAAIAIdO4kC2/5otCQIAAPcDAAAOAAAAAAAAAAEA&#10;IAAAACkBAABkcnMvZTJvRG9jLnhtbFBLBQYAAAAABgAGAFkBAACkBQAAAAA=&#10;">
                      <v:fill on="f" focussize="0,0"/>
                      <v:stroke color="#000000" joinstyle="round" dashstyle="longDash"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2133600</wp:posOffset>
                      </wp:positionH>
                      <wp:positionV relativeFrom="paragraph">
                        <wp:posOffset>1848485</wp:posOffset>
                      </wp:positionV>
                      <wp:extent cx="933450" cy="28575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933450" cy="285750"/>
                              </a:xfrm>
                              <a:prstGeom prst="rect">
                                <a:avLst/>
                              </a:prstGeom>
                              <a:solidFill>
                                <a:srgbClr val="FFFFFF">
                                  <a:alpha val="0"/>
                                </a:srgbClr>
                              </a:solidFill>
                              <a:ln>
                                <a:noFill/>
                              </a:ln>
                            </wps:spPr>
                            <wps:txbx>
                              <w:txbxContent>
                                <w:p>
                                  <w:pPr>
                                    <w:spacing w:before="24"/>
                                    <w:jc w:val="center"/>
                                    <w:rPr>
                                      <w:rFonts w:hint="default" w:eastAsia="宋体"/>
                                      <w:szCs w:val="21"/>
                                      <w:lang w:val="en-US" w:eastAsia="zh-CN"/>
                                    </w:rPr>
                                  </w:pPr>
                                  <w:r>
                                    <w:rPr>
                                      <w:szCs w:val="21"/>
                                    </w:rPr>
                                    <w:t>0.</w:t>
                                  </w:r>
                                  <w:r>
                                    <w:rPr>
                                      <w:rFonts w:hint="eastAsia"/>
                                      <w:szCs w:val="21"/>
                                      <w:lang w:val="en-US" w:eastAsia="zh-CN"/>
                                    </w:rPr>
                                    <w:t>72</w:t>
                                  </w:r>
                                </w:p>
                              </w:txbxContent>
                            </wps:txbx>
                            <wps:bodyPr upright="1"/>
                          </wps:wsp>
                        </a:graphicData>
                      </a:graphic>
                    </wp:anchor>
                  </w:drawing>
                </mc:Choice>
                <mc:Fallback>
                  <w:pict>
                    <v:shape id="_x0000_s1026" o:spid="_x0000_s1026" o:spt="202" type="#_x0000_t202" style="position:absolute;left:0pt;margin-left:168pt;margin-top:145.55pt;height:22.5pt;width:73.5pt;z-index:251716608;mso-width-relative:page;mso-height-relative:page;" fillcolor="#FFFFFF" filled="t" stroked="f" coordsize="21600,21600" o:gfxdata="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HmQTYAAAACwEAAA8AAAAAAAAAAQAgAAAAIgAAAGRy&#10;cy9kb3ducmV2LnhtbFBLAQIUABQAAAAIAIdO4kBpbTvnzAEAAJUDAAAOAAAAAAAAAAEAIAAAACcB&#10;AABkcnMvZTJvRG9jLnhtbFBLBQYAAAAABgAGAFkBAABlBQAAAAA=&#10;">
                      <v:fill on="t" opacity="0f" focussize="0,0"/>
                      <v:stroke on="f"/>
                      <v:imagedata o:title=""/>
                      <o:lock v:ext="edit" aspectratio="f"/>
                      <v:textbox>
                        <w:txbxContent>
                          <w:p>
                            <w:pPr>
                              <w:spacing w:before="24"/>
                              <w:jc w:val="center"/>
                              <w:rPr>
                                <w:rFonts w:hint="default" w:eastAsia="宋体"/>
                                <w:szCs w:val="21"/>
                                <w:lang w:val="en-US" w:eastAsia="zh-CN"/>
                              </w:rPr>
                            </w:pPr>
                            <w:r>
                              <w:rPr>
                                <w:szCs w:val="21"/>
                              </w:rPr>
                              <w:t>0.</w:t>
                            </w:r>
                            <w:r>
                              <w:rPr>
                                <w:rFonts w:hint="eastAsia"/>
                                <w:szCs w:val="21"/>
                                <w:lang w:val="en-US" w:eastAsia="zh-CN"/>
                              </w:rPr>
                              <w:t>72</w:t>
                            </w:r>
                          </w:p>
                        </w:txbxContent>
                      </v:textbox>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sz w:val="24"/>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3794125</wp:posOffset>
                      </wp:positionH>
                      <wp:positionV relativeFrom="paragraph">
                        <wp:posOffset>187960</wp:posOffset>
                      </wp:positionV>
                      <wp:extent cx="611505" cy="27432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611505" cy="274320"/>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109.44</w:t>
                                  </w:r>
                                </w:p>
                              </w:txbxContent>
                            </wps:txbx>
                            <wps:bodyPr upright="1"/>
                          </wps:wsp>
                        </a:graphicData>
                      </a:graphic>
                    </wp:anchor>
                  </w:drawing>
                </mc:Choice>
                <mc:Fallback>
                  <w:pict>
                    <v:shape id="_x0000_s1026" o:spid="_x0000_s1026" o:spt="202" type="#_x0000_t202" style="position:absolute;left:0pt;margin-left:298.75pt;margin-top:14.8pt;height:21.6pt;width:48.15pt;z-index:251717632;mso-width-relative:page;mso-height-relative:page;" fillcolor="#FFFFFF" filled="t" stroked="f" coordsize="21600,21600" o:gfxdata="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SfHV2QAAAAkBAAAPAAAAAAAAAAEAIAAAACIAAABk&#10;cnMvZG93bnJldi54bWxQSwECFAAUAAAACACHTuJAEZw0j8wBAACVAwAADgAAAAAAAAABACAAAAAo&#10;AQAAZHJzL2Uyb0RvYy54bWxQSwUGAAAAAAYABgBZAQAAZgU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109.44</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2258695</wp:posOffset>
                      </wp:positionH>
                      <wp:positionV relativeFrom="paragraph">
                        <wp:posOffset>142875</wp:posOffset>
                      </wp:positionV>
                      <wp:extent cx="608330" cy="25717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608330" cy="257175"/>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145.92</w:t>
                                  </w:r>
                                </w:p>
                              </w:txbxContent>
                            </wps:txbx>
                            <wps:bodyPr upright="1"/>
                          </wps:wsp>
                        </a:graphicData>
                      </a:graphic>
                    </wp:anchor>
                  </w:drawing>
                </mc:Choice>
                <mc:Fallback>
                  <w:pict>
                    <v:shape id="_x0000_s1026" o:spid="_x0000_s1026" o:spt="202" type="#_x0000_t202" style="position:absolute;left:0pt;margin-left:177.85pt;margin-top:11.25pt;height:20.25pt;width:47.9pt;z-index:251678720;mso-width-relative:page;mso-height-relative:page;" fillcolor="#FFFFFF" filled="t" stroked="f" coordsize="21600,21600" o:gfxdata="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Tmw6D2AAAAAkBAAAPAAAAAAAAAAEAIAAAACIAAABk&#10;cnMvZG93bnJldi54bWxQSwECFAAUAAAACACHTuJAaq2les0BAACVAwAADgAAAAAAAAABACAAAAAn&#10;AQAAZHJzL2Uyb0RvYy54bWxQSwUGAAAAAAYABgBZAQAAZgU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145.92</w:t>
                            </w:r>
                          </w:p>
                        </w:txbxContent>
                      </v:textbox>
                    </v:shape>
                  </w:pict>
                </mc:Fallback>
              </mc:AlternateContent>
            </w:r>
            <w:r>
              <w:rPr>
                <w:rFonts w:hint="default"/>
                <w:color w:val="000000" w:themeColor="text1"/>
                <w:szCs w:val="21"/>
                <w:highlight w:val="none"/>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4758055</wp:posOffset>
                      </wp:positionH>
                      <wp:positionV relativeFrom="paragraph">
                        <wp:posOffset>33020</wp:posOffset>
                      </wp:positionV>
                      <wp:extent cx="342900" cy="219710"/>
                      <wp:effectExtent l="2540" t="0" r="16510" b="8890"/>
                      <wp:wrapNone/>
                      <wp:docPr id="34" name="直接箭头连接符 34"/>
                      <wp:cNvGraphicFramePr/>
                      <a:graphic xmlns:a="http://schemas.openxmlformats.org/drawingml/2006/main">
                        <a:graphicData uri="http://schemas.microsoft.com/office/word/2010/wordprocessingShape">
                          <wps:wsp>
                            <wps:cNvCnPr/>
                            <wps:spPr>
                              <a:xfrm flipV="1">
                                <a:off x="0" y="0"/>
                                <a:ext cx="342900" cy="219710"/>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_x0000_s1026" o:spid="_x0000_s1026" o:spt="32" type="#_x0000_t32" style="position:absolute;left:0pt;flip:y;margin-left:374.65pt;margin-top:2.6pt;height:17.3pt;width:27pt;z-index:251719680;mso-width-relative:page;mso-height-relative:page;" filled="f" stroked="t" coordsize="21600,21600" o:gfxdata="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s1SarYAAAACAEAAA8AAAAA&#10;AAAAAQAgAAAAIgAAAGRycy9kb3ducmV2LnhtbFBLAQIUABQAAAAIAIdO4kB6XrIdFAIAAAEEAAAO&#10;AAAAAAAAAAEAIAAAACcBAABkcnMvZTJvRG9jLnhtbFBLBQYAAAAABgAGAFkBAACtBQAAAAA=&#10;">
                      <v:fill on="f" focussize="0,0"/>
                      <v:stroke color="#000000" joinstyle="round" dashstyle="longDash" endarrow="block"/>
                      <v:imagedata o:title=""/>
                      <o:lock v:ext="edit" aspectratio="f"/>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4362450</wp:posOffset>
                      </wp:positionH>
                      <wp:positionV relativeFrom="paragraph">
                        <wp:posOffset>-5715</wp:posOffset>
                      </wp:positionV>
                      <wp:extent cx="885825" cy="285750"/>
                      <wp:effectExtent l="4445" t="5080" r="5080" b="13970"/>
                      <wp:wrapNone/>
                      <wp:docPr id="37" name="文本框 37"/>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rPr>
                                    <w:t>沉淀池</w:t>
                                  </w:r>
                                </w:p>
                              </w:txbxContent>
                            </wps:txbx>
                            <wps:bodyPr upright="1"/>
                          </wps:wsp>
                        </a:graphicData>
                      </a:graphic>
                    </wp:anchor>
                  </w:drawing>
                </mc:Choice>
                <mc:Fallback>
                  <w:pict>
                    <v:shape id="_x0000_s1026" o:spid="_x0000_s1026" o:spt="202" type="#_x0000_t202" style="position:absolute;left:0pt;margin-left:343.5pt;margin-top:-0.45pt;height:22.5pt;width:69.75pt;z-index:251667456;mso-width-relative:page;mso-height-relative:page;" fillcolor="#FFFFFF" filled="t" stroked="t" coordsize="21600,21600" o:gfxdata="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96Jv9kAAAAIAQAADwAAAAAAAAABACAA&#10;AAAiAAAAZHJzL2Rvd25yZXYueG1sUEsBAhQAFAAAAAgAh07iQHNlxZUMAgAANwQAAA4AAAAAAAAA&#10;AQAgAAAAKAEAAGRycy9lMm9Eb2MueG1sUEsFBgAAAAAGAAYAWQEAAKYFAAAAAA==&#10;">
                      <v:fill on="t" focussize="0,0"/>
                      <v:stroke color="#000000" joinstyle="miter"/>
                      <v:imagedata o:title=""/>
                      <o:lock v:ext="edit" aspectratio="f"/>
                      <v:textbox>
                        <w:txbxContent>
                          <w:p>
                            <w:pPr>
                              <w:spacing w:before="24"/>
                              <w:jc w:val="center"/>
                            </w:pPr>
                            <w:r>
                              <w:rPr>
                                <w:rFonts w:hint="eastAsia"/>
                              </w:rPr>
                              <w:t>沉淀池</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3867150</wp:posOffset>
                      </wp:positionH>
                      <wp:positionV relativeFrom="paragraph">
                        <wp:posOffset>137160</wp:posOffset>
                      </wp:positionV>
                      <wp:extent cx="495300" cy="0"/>
                      <wp:effectExtent l="0" t="38100" r="0" b="38100"/>
                      <wp:wrapNone/>
                      <wp:docPr id="38" name="直接箭头连接符 38"/>
                      <wp:cNvGraphicFramePr/>
                      <a:graphic xmlns:a="http://schemas.openxmlformats.org/drawingml/2006/main">
                        <a:graphicData uri="http://schemas.microsoft.com/office/word/2010/wordprocessingShape">
                          <wps:wsp>
                            <wps:cNvCnPr/>
                            <wps:spPr>
                              <a:xfrm>
                                <a:off x="0" y="0"/>
                                <a:ext cx="4953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04.5pt;margin-top:10.8pt;height:0pt;width:39pt;z-index:251693056;mso-width-relative:page;mso-height-relative:page;" filled="f" stroked="t" coordsize="21600,21600" o:gfxdata="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BWaFvYAAAACQEAAA8AAAAAAAAAAQAgAAAAIgAAAGRy&#10;cy9kb3ducmV2LnhtbFBLAQIUABQAAAAIAIdO4kAqBZO1BQIAAPEDAAAOAAAAAAAAAAEAIAAAACcB&#10;AABkcnMvZTJvRG9jLnhtbFBLBQYAAAAABgAGAFkBAACeBQAAAAA=&#10;">
                      <v:fill on="f" focussize="0,0"/>
                      <v:stroke color="#000000" joinstyle="round" endarrow="block"/>
                      <v:imagedata o:title=""/>
                      <o:lock v:ext="edit" aspectratio="f"/>
                    </v:shape>
                  </w:pict>
                </mc:Fallback>
              </mc:AlternateContent>
            </w:r>
            <w:r>
              <w:rPr>
                <w:rFonts w:hint="default"/>
                <w:color w:val="000000" w:themeColor="text1"/>
                <w:szCs w:val="21"/>
                <w:highlight w:val="none"/>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2981325</wp:posOffset>
                      </wp:positionH>
                      <wp:positionV relativeFrom="paragraph">
                        <wp:posOffset>12065</wp:posOffset>
                      </wp:positionV>
                      <wp:extent cx="885825" cy="285750"/>
                      <wp:effectExtent l="4445" t="5080" r="5080" b="13970"/>
                      <wp:wrapNone/>
                      <wp:docPr id="39" name="文本框 39"/>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rPr>
                                    <w:t>洗砂用水</w:t>
                                  </w:r>
                                </w:p>
                              </w:txbxContent>
                            </wps:txbx>
                            <wps:bodyPr upright="1"/>
                          </wps:wsp>
                        </a:graphicData>
                      </a:graphic>
                    </wp:anchor>
                  </w:drawing>
                </mc:Choice>
                <mc:Fallback>
                  <w:pict>
                    <v:shape id="_x0000_s1026" o:spid="_x0000_s1026" o:spt="202" type="#_x0000_t202" style="position:absolute;left:0pt;margin-left:234.75pt;margin-top:0.95pt;height:22.5pt;width:69.75pt;z-index:251718656;mso-width-relative:page;mso-height-relative:page;" fillcolor="#FFFFFF" filled="t" stroked="t" coordsize="21600,21600" o:gfxdata="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e3G31QAAAAgBAAAPAAAAAAAAAAEAIAAAACIA&#10;AABkcnMvZG93bnJldi54bWxQSwECFAAUAAAACACHTuJAYN0FFgwCAAA3BAAADgAAAAAAAAABACAA&#10;AAAkAQAAZHJzL2Uyb0RvYy54bWxQSwUGAAAAAAYABgBZAQAAogUAAAAA&#10;">
                      <v:fill on="t" focussize="0,0"/>
                      <v:stroke color="#000000" joinstyle="miter"/>
                      <v:imagedata o:title=""/>
                      <o:lock v:ext="edit" aspectratio="f"/>
                      <v:textbox>
                        <w:txbxContent>
                          <w:p>
                            <w:pPr>
                              <w:spacing w:before="24"/>
                              <w:jc w:val="center"/>
                            </w:pPr>
                            <w:r>
                              <w:rPr>
                                <w:rFonts w:hint="eastAsia"/>
                              </w:rPr>
                              <w:t>洗砂用水</w:t>
                            </w:r>
                          </w:p>
                        </w:txbxContent>
                      </v:textbox>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rFonts w:hint="default"/>
                <w:color w:val="000000" w:themeColor="text1"/>
                <w:szCs w:val="21"/>
                <w:highlight w:val="none"/>
                <w14:textFill>
                  <w14:solidFill>
                    <w14:schemeClr w14:val="tx1"/>
                  </w14:solidFill>
                </w14:textFill>
              </w:rPr>
              <mc:AlternateContent>
                <mc:Choice Requires="wps">
                  <w:drawing>
                    <wp:anchor distT="0" distB="0" distL="114300" distR="114300" simplePos="0" relativeHeight="251722752" behindDoc="0" locked="0" layoutInCell="1" allowOverlap="1">
                      <wp:simplePos x="0" y="0"/>
                      <wp:positionH relativeFrom="column">
                        <wp:posOffset>3654425</wp:posOffset>
                      </wp:positionH>
                      <wp:positionV relativeFrom="paragraph">
                        <wp:posOffset>95885</wp:posOffset>
                      </wp:positionV>
                      <wp:extent cx="504825" cy="25717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504825" cy="257175"/>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36.48</w:t>
                                  </w:r>
                                </w:p>
                              </w:txbxContent>
                            </wps:txbx>
                            <wps:bodyPr upright="1"/>
                          </wps:wsp>
                        </a:graphicData>
                      </a:graphic>
                    </wp:anchor>
                  </w:drawing>
                </mc:Choice>
                <mc:Fallback>
                  <w:pict>
                    <v:shape id="_x0000_s1026" o:spid="_x0000_s1026" o:spt="202" type="#_x0000_t202" style="position:absolute;left:0pt;margin-left:287.75pt;margin-top:7.55pt;height:20.25pt;width:39.75pt;z-index:251722752;mso-width-relative:page;mso-height-relative:page;" fillcolor="#FFFFFF" filled="t" stroked="f" coordsize="21600,21600" o:gfxdata="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SGGtbWAAAACQEAAA8AAAAAAAAAAQAgAAAAIgAAAGRy&#10;cy9kb3ducmV2LnhtbFBLAQIUABQAAAAIAIdO4kD686/xzgEAAJUDAAAOAAAAAAAAAAEAIAAAACUB&#10;AABkcnMvZTJvRG9jLnhtbFBLBQYAAAAABgAGAFkBAABlBQ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36.48</w:t>
                            </w:r>
                          </w:p>
                        </w:txbxContent>
                      </v:textbox>
                    </v:shape>
                  </w:pict>
                </mc:Fallback>
              </mc:AlternateContent>
            </w:r>
            <w:r>
              <w:rPr>
                <w:rFonts w:hint="default"/>
                <w:color w:val="000000" w:themeColor="text1"/>
                <w:szCs w:val="21"/>
                <w:highlight w:val="none"/>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3387725</wp:posOffset>
                      </wp:positionH>
                      <wp:positionV relativeFrom="paragraph">
                        <wp:posOffset>53340</wp:posOffset>
                      </wp:positionV>
                      <wp:extent cx="314325" cy="175895"/>
                      <wp:effectExtent l="2540" t="4445" r="6985" b="10160"/>
                      <wp:wrapNone/>
                      <wp:docPr id="62" name="直接箭头连接符 62"/>
                      <wp:cNvGraphicFramePr/>
                      <a:graphic xmlns:a="http://schemas.openxmlformats.org/drawingml/2006/main">
                        <a:graphicData uri="http://schemas.microsoft.com/office/word/2010/wordprocessingShape">
                          <wps:wsp>
                            <wps:cNvCnPr/>
                            <wps:spPr>
                              <a:xfrm>
                                <a:off x="0" y="0"/>
                                <a:ext cx="314325" cy="175895"/>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_x0000_s1026" o:spid="_x0000_s1026" o:spt="32" type="#_x0000_t32" style="position:absolute;left:0pt;margin-left:266.75pt;margin-top:4.2pt;height:13.85pt;width:24.75pt;z-index:251721728;mso-width-relative:page;mso-height-relative:page;" filled="f" stroked="t" coordsize="21600,21600" o:gfxdata="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vSyx62AAAAAgBAAAPAAAAAAAAAAEAIAAAACIA&#10;AABkcnMvZG93bnJldi54bWxQSwECFAAUAAAACACHTuJAgHfr1QkCAAD3AwAADgAAAAAAAAABACAA&#10;AAAnAQAAZHJzL2Uyb0RvYy54bWxQSwUGAAAAAAYABgBZAQAAogUAAAAA&#10;">
                      <v:fill on="f" focussize="0,0"/>
                      <v:stroke color="#000000" joinstyle="round" dashstyle="longDash"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4657725</wp:posOffset>
                      </wp:positionH>
                      <wp:positionV relativeFrom="paragraph">
                        <wp:posOffset>52705</wp:posOffset>
                      </wp:positionV>
                      <wp:extent cx="0" cy="450215"/>
                      <wp:effectExtent l="38100" t="0" r="38100" b="6985"/>
                      <wp:wrapNone/>
                      <wp:docPr id="66" name="直接箭头连接符 66"/>
                      <wp:cNvGraphicFramePr/>
                      <a:graphic xmlns:a="http://schemas.openxmlformats.org/drawingml/2006/main">
                        <a:graphicData uri="http://schemas.microsoft.com/office/word/2010/wordprocessingShape">
                          <wps:wsp>
                            <wps:cNvCnPr/>
                            <wps:spPr>
                              <a:xfrm flipV="1">
                                <a:off x="0" y="0"/>
                                <a:ext cx="0" cy="45021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66.75pt;margin-top:4.15pt;height:35.45pt;width:0pt;z-index:251683840;mso-width-relative:page;mso-height-relative:page;" filled="f" stroked="t" coordsize="21600,21600" o:gfxdata="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hvF2tcAAAAIAQAADwAAAAAAAAABACAAAAAiAAAA&#10;ZHJzL2Rvd25yZXYueG1sUEsBAhQAFAAAAAgAh07iQPazqf0IAgAA+wMAAA4AAAAAAAAAAQAgAAAA&#10;JgEAAGRycy9lMm9Eb2MueG1sUEsFBgAAAAAGAAYAWQEAAKAFAAAAAA==&#10;">
                      <v:fill on="f" focussize="0,0"/>
                      <v:stroke color="#000000" joinstyle="round" endarrow="block"/>
                      <v:imagedata o:title=""/>
                      <o:lock v:ext="edit" aspectratio="f"/>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3206750</wp:posOffset>
                      </wp:positionH>
                      <wp:positionV relativeFrom="paragraph">
                        <wp:posOffset>53975</wp:posOffset>
                      </wp:positionV>
                      <wp:extent cx="495300" cy="25717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rgbClr val="FFFFFF">
                                  <a:alpha val="0"/>
                                </a:srgbClr>
                              </a:solidFill>
                              <a:ln>
                                <a:noFill/>
                              </a:ln>
                            </wps:spPr>
                            <wps:txbx>
                              <w:txbxContent>
                                <w:p>
                                  <w:pPr>
                                    <w:spacing w:before="24"/>
                                    <w:rPr>
                                      <w:szCs w:val="21"/>
                                    </w:rPr>
                                  </w:pPr>
                                  <w:r>
                                    <w:rPr>
                                      <w:color w:val="000000"/>
                                      <w:szCs w:val="21"/>
                                    </w:rPr>
                                    <w:t>0.64</w:t>
                                  </w:r>
                                </w:p>
                              </w:txbxContent>
                            </wps:txbx>
                            <wps:bodyPr upright="1"/>
                          </wps:wsp>
                        </a:graphicData>
                      </a:graphic>
                    </wp:anchor>
                  </w:drawing>
                </mc:Choice>
                <mc:Fallback>
                  <w:pict>
                    <v:shape id="_x0000_s1026" o:spid="_x0000_s1026" o:spt="202" type="#_x0000_t202" style="position:absolute;left:0pt;margin-left:252.5pt;margin-top:4.25pt;height:20.25pt;width:39pt;z-index:251711488;mso-width-relative:page;mso-height-relative:page;" fillcolor="#FFFFFF" filled="t" stroked="f" coordsize="21600,21600" o:gfxdata="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xaYyrWAAAACAEAAA8AAAAAAAAAAQAgAAAAIgAAAGRy&#10;cy9kb3ducmV2LnhtbFBLAQIUABQAAAAIAIdO4kABdHYtzgEAAJUDAAAOAAAAAAAAAAEAIAAAACUB&#10;AABkcnMvZTJvRG9jLnhtbFBLBQYAAAAABgAGAFkBAABlBQAAAAA=&#10;">
                      <v:fill on="t" opacity="0f" focussize="0,0"/>
                      <v:stroke on="f"/>
                      <v:imagedata o:title=""/>
                      <o:lock v:ext="edit" aspectratio="f"/>
                      <v:textbox>
                        <w:txbxContent>
                          <w:p>
                            <w:pPr>
                              <w:spacing w:before="24"/>
                              <w:rPr>
                                <w:szCs w:val="21"/>
                              </w:rPr>
                            </w:pPr>
                            <w:r>
                              <w:rPr>
                                <w:color w:val="000000"/>
                                <w:szCs w:val="21"/>
                              </w:rPr>
                              <w:t>0.64</w:t>
                            </w:r>
                          </w:p>
                        </w:txbxContent>
                      </v:textbox>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2181225</wp:posOffset>
                      </wp:positionH>
                      <wp:positionV relativeFrom="paragraph">
                        <wp:posOffset>12700</wp:posOffset>
                      </wp:positionV>
                      <wp:extent cx="2486025" cy="0"/>
                      <wp:effectExtent l="0" t="0" r="0" b="0"/>
                      <wp:wrapNone/>
                      <wp:docPr id="84" name="直接箭头连接符 84"/>
                      <wp:cNvGraphicFramePr/>
                      <a:graphic xmlns:a="http://schemas.openxmlformats.org/drawingml/2006/main">
                        <a:graphicData uri="http://schemas.microsoft.com/office/word/2010/wordprocessingShape">
                          <wps:wsp>
                            <wps:cNvCnPr/>
                            <wps:spPr>
                              <a:xfrm>
                                <a:off x="0" y="0"/>
                                <a:ext cx="24860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1.75pt;margin-top:1pt;height:0pt;width:195.75pt;z-index:251689984;mso-width-relative:page;mso-height-relative:page;" filled="f" stroked="t" coordsize="21600,21600" o:gfxdata="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RcKl9UAAAAHAQAADwAAAAAAAAABACAAAAAiAAAAZHJzL2Rvd25yZXYu&#10;eG1sUEsBAhQAFAAAAAgAh07iQJHjJbb+AQAA7gMAAA4AAAAAAAAAAQAgAAAAJAEAAGRycy9lMm9E&#10;b2MueG1sUEsFBgAAAAAGAAYAWQEAAJQFAAAAAA==&#10;">
                      <v:fill on="f" focussize="0,0"/>
                      <v:stroke color="#000000" joinstyle="round"/>
                      <v:imagedata o:title=""/>
                      <o:lock v:ext="edit" aspectratio="f"/>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sz w:val="24"/>
              </w:rPr>
              <mc:AlternateContent>
                <mc:Choice Requires="wps">
                  <w:drawing>
                    <wp:anchor distT="0" distB="0" distL="114300" distR="114300" simplePos="0" relativeHeight="251732992" behindDoc="0" locked="0" layoutInCell="1" allowOverlap="1">
                      <wp:simplePos x="0" y="0"/>
                      <wp:positionH relativeFrom="column">
                        <wp:posOffset>4504690</wp:posOffset>
                      </wp:positionH>
                      <wp:positionV relativeFrom="paragraph">
                        <wp:posOffset>14605</wp:posOffset>
                      </wp:positionV>
                      <wp:extent cx="659765" cy="367665"/>
                      <wp:effectExtent l="0" t="0" r="0" b="0"/>
                      <wp:wrapNone/>
                      <wp:docPr id="69" name="文本框 69"/>
                      <wp:cNvGraphicFramePr/>
                      <a:graphic xmlns:a="http://schemas.openxmlformats.org/drawingml/2006/main">
                        <a:graphicData uri="http://schemas.microsoft.com/office/word/2010/wordprocessingShape">
                          <wps:wsp>
                            <wps:cNvSpPr txBox="1"/>
                            <wps:spPr>
                              <a:xfrm>
                                <a:off x="5913755" y="3319780"/>
                                <a:ext cx="659765" cy="3676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t>拉运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4.7pt;margin-top:1.15pt;height:28.95pt;width:51.95pt;z-index:251732992;mso-width-relative:page;mso-height-relative:page;" filled="f" stroked="f" coordsize="21600,21600" o:gfxdata="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M7E52gAAAAgBAAAPAAAAAAAAAAEA&#10;IAAAACIAAABkcnMvZG93bnJldi54bWxQSwECFAAUAAAACACHTuJAhI5DZEYCAABzBAAADgAAAAAA&#10;AAABACAAAAApAQAAZHJzL2Uyb0RvYy54bWxQSwUGAAAAAAYABgBZAQAA4QUAAAAA&#10;">
                      <v:fill on="f" focussize="0,0"/>
                      <v:stroke on="f" weight="0.5pt"/>
                      <v:imagedata o:title=""/>
                      <o:lock v:ext="edit" aspectratio="f"/>
                      <v:textbox>
                        <w:txbxContent>
                          <w:p>
                            <w:pPr>
                              <w:rPr>
                                <w:rFonts w:hint="eastAsia" w:eastAsia="宋体"/>
                                <w:lang w:eastAsia="zh-CN"/>
                              </w:rPr>
                            </w:pPr>
                            <w:r>
                              <w:rPr>
                                <w:rFonts w:hint="eastAsia"/>
                                <w:lang w:eastAsia="zh-CN"/>
                              </w:rPr>
                              <w:t>拉运</w:t>
                            </w:r>
                          </w:p>
                        </w:txbxContent>
                      </v:textbox>
                    </v:shape>
                  </w:pict>
                </mc:Fallback>
              </mc:AlternateContent>
            </w:r>
            <w:r>
              <w:rPr>
                <w:sz w:val="24"/>
              </w:rPr>
              <mc:AlternateContent>
                <mc:Choice Requires="wps">
                  <w:drawing>
                    <wp:anchor distT="0" distB="0" distL="114300" distR="114300" simplePos="0" relativeHeight="251731968" behindDoc="0" locked="0" layoutInCell="1" allowOverlap="1">
                      <wp:simplePos x="0" y="0"/>
                      <wp:positionH relativeFrom="column">
                        <wp:posOffset>3951605</wp:posOffset>
                      </wp:positionH>
                      <wp:positionV relativeFrom="paragraph">
                        <wp:posOffset>166370</wp:posOffset>
                      </wp:positionV>
                      <wp:extent cx="509905" cy="5715"/>
                      <wp:effectExtent l="0" t="37465" r="4445" b="33020"/>
                      <wp:wrapNone/>
                      <wp:docPr id="68" name="直接箭头连接符 68"/>
                      <wp:cNvGraphicFramePr/>
                      <a:graphic xmlns:a="http://schemas.openxmlformats.org/drawingml/2006/main">
                        <a:graphicData uri="http://schemas.microsoft.com/office/word/2010/wordprocessingShape">
                          <wps:wsp>
                            <wps:cNvCnPr>
                              <a:stCxn id="85" idx="3"/>
                            </wps:cNvCnPr>
                            <wps:spPr>
                              <a:xfrm flipV="1">
                                <a:off x="5230495" y="3449320"/>
                                <a:ext cx="509905" cy="5715"/>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11.15pt;margin-top:13.1pt;height:0.45pt;width:40.15pt;z-index:251731968;mso-width-relative:page;mso-height-relative:page;" filled="f" stroked="t" coordsize="21600,21600" o:gfxdata="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kGJT82AAAAAkBAAAPAAAAAAAAAAEAIAAAACIAAABkcnMvZG93bnJldi54&#10;bWxQSwECFAAUAAAACACHTuJAjrKEfTMCAAA1BAAADgAAAAAAAAABACAAAAAnAQAAZHJzL2Uyb0Rv&#10;Yy54bWxQSwUGAAAAAAYABgBZAQAAzAUAAAAA&#10;">
                      <v:fill on="f" focussize="0,0"/>
                      <v:stroke color="#000000 [3213]"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2922905</wp:posOffset>
                      </wp:positionH>
                      <wp:positionV relativeFrom="paragraph">
                        <wp:posOffset>24130</wp:posOffset>
                      </wp:positionV>
                      <wp:extent cx="1028700" cy="295275"/>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rgbClr val="FFFFFF">
                                  <a:alpha val="0"/>
                                </a:srgbClr>
                              </a:solidFill>
                              <a:ln>
                                <a:noFill/>
                              </a:ln>
                            </wps:spPr>
                            <wps:txbx>
                              <w:txbxContent>
                                <w:p>
                                  <w:pPr>
                                    <w:spacing w:before="24"/>
                                    <w:jc w:val="center"/>
                                    <w:rPr>
                                      <w:rFonts w:hint="eastAsia" w:eastAsia="宋体"/>
                                      <w:lang w:eastAsia="zh-CN"/>
                                    </w:rPr>
                                  </w:pPr>
                                  <w:r>
                                    <w:rPr>
                                      <w:rFonts w:hint="eastAsia"/>
                                      <w:lang w:eastAsia="zh-CN"/>
                                    </w:rPr>
                                    <w:t>化粪池</w:t>
                                  </w:r>
                                </w:p>
                              </w:txbxContent>
                            </wps:txbx>
                            <wps:bodyPr upright="1"/>
                          </wps:wsp>
                        </a:graphicData>
                      </a:graphic>
                    </wp:anchor>
                  </w:drawing>
                </mc:Choice>
                <mc:Fallback>
                  <w:pict>
                    <v:shape id="_x0000_s1026" o:spid="_x0000_s1026" o:spt="202" type="#_x0000_t202" style="position:absolute;left:0pt;margin-left:230.15pt;margin-top:1.9pt;height:23.25pt;width:81pt;z-index:251677696;mso-width-relative:page;mso-height-relative:page;" fillcolor="#FFFFFF" filled="t" stroked="f" coordsize="21600,21600" o:gfxdata="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6Rg1AAAAAgBAAAPAAAAAAAAAAEAIAAAACIAAABkcnMv&#10;ZG93bnJldi54bWxQSwECFAAUAAAACACHTuJA0tEnKc4BAACWAwAADgAAAAAAAAABACAAAAAjAQAA&#10;ZHJzL2Uyb0RvYy54bWxQSwUGAAAAAAYABgBZAQAAYwUAAAAA&#10;">
                      <v:fill on="t" opacity="0f" focussize="0,0"/>
                      <v:stroke on="f"/>
                      <v:imagedata o:title=""/>
                      <o:lock v:ext="edit" aspectratio="f"/>
                      <v:textbox>
                        <w:txbxContent>
                          <w:p>
                            <w:pPr>
                              <w:spacing w:before="24"/>
                              <w:jc w:val="center"/>
                              <w:rPr>
                                <w:rFonts w:hint="eastAsia" w:eastAsia="宋体"/>
                                <w:lang w:eastAsia="zh-CN"/>
                              </w:rPr>
                            </w:pPr>
                            <w:r>
                              <w:rPr>
                                <w:rFonts w:hint="eastAsia"/>
                                <w:lang w:eastAsia="zh-CN"/>
                              </w:rPr>
                              <w:t>化粪池</w:t>
                            </w:r>
                          </w:p>
                        </w:txbxContent>
                      </v:textbox>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492760</wp:posOffset>
                      </wp:positionH>
                      <wp:positionV relativeFrom="paragraph">
                        <wp:posOffset>238760</wp:posOffset>
                      </wp:positionV>
                      <wp:extent cx="466725" cy="257175"/>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466725" cy="257175"/>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color w:val="000000"/>
                                      <w:szCs w:val="21"/>
                                    </w:rPr>
                                    <w:t>0</w:t>
                                  </w:r>
                                  <w:r>
                                    <w:rPr>
                                      <w:rFonts w:hint="eastAsia"/>
                                      <w:color w:val="000000"/>
                                      <w:szCs w:val="21"/>
                                      <w:lang w:val="en-US" w:eastAsia="zh-CN"/>
                                    </w:rPr>
                                    <w:t>.36</w:t>
                                  </w:r>
                                </w:p>
                              </w:txbxContent>
                            </wps:txbx>
                            <wps:bodyPr upright="1"/>
                          </wps:wsp>
                        </a:graphicData>
                      </a:graphic>
                    </wp:anchor>
                  </w:drawing>
                </mc:Choice>
                <mc:Fallback>
                  <w:pict>
                    <v:shape id="_x0000_s1026" o:spid="_x0000_s1026" o:spt="202" type="#_x0000_t202" style="position:absolute;left:0pt;margin-left:38.8pt;margin-top:18.8pt;height:20.25pt;width:36.75pt;z-index:251723776;mso-width-relative:page;mso-height-relative:page;" fillcolor="#FFFFFF" filled="t" stroked="f" coordsize="21600,21600" o:gfxdata="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i/ouXWAAAACAEAAA8AAAAAAAAAAQAgAAAAIgAAAGRy&#10;cy9kb3ducmV2LnhtbFBLAQIUABQAAAAIAIdO4kCImhaMzgEAAJUDAAAOAAAAAAAAAAEAIAAAACUB&#10;AABkcnMvZTJvRG9jLnhtbFBLBQYAAAAABgAGAFkBAABlBQAAAAA=&#10;">
                      <v:fill on="t" opacity="0f" focussize="0,0"/>
                      <v:stroke on="f"/>
                      <v:imagedata o:title=""/>
                      <o:lock v:ext="edit" aspectratio="f"/>
                      <v:textbox>
                        <w:txbxContent>
                          <w:p>
                            <w:pPr>
                              <w:spacing w:before="24"/>
                              <w:rPr>
                                <w:rFonts w:hint="default" w:eastAsia="宋体"/>
                                <w:szCs w:val="21"/>
                                <w:lang w:val="en-US" w:eastAsia="zh-CN"/>
                              </w:rPr>
                            </w:pPr>
                            <w:r>
                              <w:rPr>
                                <w:color w:val="000000"/>
                                <w:szCs w:val="21"/>
                              </w:rPr>
                              <w:t>0</w:t>
                            </w:r>
                            <w:r>
                              <w:rPr>
                                <w:rFonts w:hint="eastAsia"/>
                                <w:color w:val="000000"/>
                                <w:szCs w:val="21"/>
                                <w:lang w:val="en-US" w:eastAsia="zh-CN"/>
                              </w:rPr>
                              <w:t>.36</w:t>
                            </w:r>
                          </w:p>
                        </w:txbxContent>
                      </v:textbox>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30944" behindDoc="0" locked="0" layoutInCell="1" allowOverlap="1">
                      <wp:simplePos x="0" y="0"/>
                      <wp:positionH relativeFrom="column">
                        <wp:posOffset>2277110</wp:posOffset>
                      </wp:positionH>
                      <wp:positionV relativeFrom="paragraph">
                        <wp:posOffset>176530</wp:posOffset>
                      </wp:positionV>
                      <wp:extent cx="933450" cy="28575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933450" cy="285750"/>
                              </a:xfrm>
                              <a:prstGeom prst="rect">
                                <a:avLst/>
                              </a:prstGeom>
                              <a:solidFill>
                                <a:srgbClr val="FFFFFF">
                                  <a:alpha val="0"/>
                                </a:srgbClr>
                              </a:solidFill>
                              <a:ln>
                                <a:noFill/>
                              </a:ln>
                            </wps:spPr>
                            <wps:txbx>
                              <w:txbxContent>
                                <w:p>
                                  <w:pPr>
                                    <w:spacing w:before="24"/>
                                    <w:jc w:val="center"/>
                                    <w:rPr>
                                      <w:rFonts w:hint="default" w:eastAsia="宋体"/>
                                      <w:szCs w:val="21"/>
                                      <w:lang w:val="en-US" w:eastAsia="zh-CN"/>
                                    </w:rPr>
                                  </w:pPr>
                                  <w:r>
                                    <w:rPr>
                                      <w:szCs w:val="21"/>
                                    </w:rPr>
                                    <w:t>0.</w:t>
                                  </w:r>
                                  <w:r>
                                    <w:rPr>
                                      <w:rFonts w:hint="eastAsia"/>
                                      <w:szCs w:val="21"/>
                                      <w:lang w:val="en-US" w:eastAsia="zh-CN"/>
                                    </w:rPr>
                                    <w:t>288</w:t>
                                  </w:r>
                                </w:p>
                              </w:txbxContent>
                            </wps:txbx>
                            <wps:bodyPr upright="1"/>
                          </wps:wsp>
                        </a:graphicData>
                      </a:graphic>
                    </wp:anchor>
                  </w:drawing>
                </mc:Choice>
                <mc:Fallback>
                  <w:pict>
                    <v:shape id="_x0000_s1026" o:spid="_x0000_s1026" o:spt="202" type="#_x0000_t202" style="position:absolute;left:0pt;margin-left:179.3pt;margin-top:13.9pt;height:22.5pt;width:73.5pt;z-index:251730944;mso-width-relative:page;mso-height-relative:page;" fillcolor="#FFFFFF" filled="t" stroked="f" coordsize="21600,21600" o:gfxdata="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&#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Ip6IjYAAAACQEAAA8AAAAAAAAAAQAgAAAAIgAAAGRy&#10;cy9kb3ducmV2LnhtbFBLAQIUABQAAAAIAIdO4kBYuU2mzAEAAJcDAAAOAAAAAAAAAAEAIAAAACcB&#10;AABkcnMvZTJvRG9jLnhtbFBLBQYAAAAABgAGAFkBAABlBQAAAAA=&#10;">
                      <v:fill on="t" opacity="0f" focussize="0,0"/>
                      <v:stroke on="f"/>
                      <v:imagedata o:title=""/>
                      <o:lock v:ext="edit" aspectratio="f"/>
                      <v:textbox>
                        <w:txbxContent>
                          <w:p>
                            <w:pPr>
                              <w:spacing w:before="24"/>
                              <w:jc w:val="center"/>
                              <w:rPr>
                                <w:rFonts w:hint="default" w:eastAsia="宋体"/>
                                <w:szCs w:val="21"/>
                                <w:lang w:val="en-US" w:eastAsia="zh-CN"/>
                              </w:rPr>
                            </w:pPr>
                            <w:r>
                              <w:rPr>
                                <w:szCs w:val="21"/>
                              </w:rPr>
                              <w:t>0.</w:t>
                            </w:r>
                            <w:r>
                              <w:rPr>
                                <w:rFonts w:hint="eastAsia"/>
                                <w:szCs w:val="21"/>
                                <w:lang w:val="en-US" w:eastAsia="zh-CN"/>
                              </w:rPr>
                              <w:t>288</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3931920</wp:posOffset>
                      </wp:positionH>
                      <wp:positionV relativeFrom="paragraph">
                        <wp:posOffset>210185</wp:posOffset>
                      </wp:positionV>
                      <wp:extent cx="342900" cy="219710"/>
                      <wp:effectExtent l="2540" t="0" r="16510" b="8890"/>
                      <wp:wrapNone/>
                      <wp:docPr id="41" name="直接箭头连接符 41"/>
                      <wp:cNvGraphicFramePr/>
                      <a:graphic xmlns:a="http://schemas.openxmlformats.org/drawingml/2006/main">
                        <a:graphicData uri="http://schemas.microsoft.com/office/word/2010/wordprocessingShape">
                          <wps:wsp>
                            <wps:cNvCnPr/>
                            <wps:spPr>
                              <a:xfrm flipV="1">
                                <a:off x="0" y="0"/>
                                <a:ext cx="342900" cy="219710"/>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_x0000_s1026" o:spid="_x0000_s1026" o:spt="32" type="#_x0000_t32" style="position:absolute;left:0pt;flip:y;margin-left:309.6pt;margin-top:16.55pt;height:17.3pt;width:27pt;z-index:251682816;mso-width-relative:page;mso-height-relative:page;" filled="f" stroked="t" coordsize="21600,21600" o:gfxdata="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jmvrLYAAAACQEAAA8AAAAA&#10;AAAAAQAgAAAAIgAAAGRycy9kb3ducmV2LnhtbFBLAQIUABQAAAAIAIdO4kBkNJTyFAIAAAEEAAAO&#10;AAAAAAAAAAEAIAAAACcBAABkcnMvZTJvRG9jLnhtbFBLBQYAAAAABgAGAFkBAACtBQAAAAA=&#10;">
                      <v:fill on="f" focussize="0,0"/>
                      <v:stroke color="#000000" joinstyle="round" dashstyle="longDash"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25824" behindDoc="0" locked="0" layoutInCell="1" allowOverlap="1">
                      <wp:simplePos x="0" y="0"/>
                      <wp:positionH relativeFrom="column">
                        <wp:posOffset>1176020</wp:posOffset>
                      </wp:positionH>
                      <wp:positionV relativeFrom="paragraph">
                        <wp:posOffset>156845</wp:posOffset>
                      </wp:positionV>
                      <wp:extent cx="1019175" cy="285750"/>
                      <wp:effectExtent l="4445" t="4445" r="5080" b="14605"/>
                      <wp:wrapNone/>
                      <wp:docPr id="98" name="文本框 98"/>
                      <wp:cNvGraphicFramePr/>
                      <a:graphic xmlns:a="http://schemas.openxmlformats.org/drawingml/2006/main">
                        <a:graphicData uri="http://schemas.microsoft.com/office/word/2010/wordprocessingShape">
                          <wps:wsp>
                            <wps:cNvSpPr txBox="1"/>
                            <wps:spPr>
                              <a:xfrm>
                                <a:off x="0" y="0"/>
                                <a:ext cx="101917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lang w:eastAsia="zh-CN"/>
                                    </w:rPr>
                                    <w:t>食堂</w:t>
                                  </w:r>
                                  <w:r>
                                    <w:rPr>
                                      <w:rFonts w:hint="eastAsia"/>
                                    </w:rPr>
                                    <w:t>用水</w:t>
                                  </w:r>
                                </w:p>
                              </w:txbxContent>
                            </wps:txbx>
                            <wps:bodyPr upright="1"/>
                          </wps:wsp>
                        </a:graphicData>
                      </a:graphic>
                    </wp:anchor>
                  </w:drawing>
                </mc:Choice>
                <mc:Fallback>
                  <w:pict>
                    <v:shape id="_x0000_s1026" o:spid="_x0000_s1026" o:spt="202" type="#_x0000_t202" style="position:absolute;left:0pt;margin-left:92.6pt;margin-top:12.35pt;height:22.5pt;width:80.25pt;z-index:251725824;mso-width-relative:page;mso-height-relative:page;" fillcolor="#FFFFFF" filled="t" stroked="t" coordsize="21600,21600" o:gfxdata="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DG1b9kAAAAJAQAADwAAAAAAAAABACAA&#10;AAAiAAAAZHJzL2Rvd25yZXYueG1sUEsBAhQAFAAAAAgAh07iQF3a0pAMAgAAOAQAAA4AAAAAAAAA&#10;AQAgAAAAKAEAAGRycy9lMm9Eb2MueG1sUEsFBgAAAAAGAAYAWQEAAKYFAAAAAA==&#10;">
                      <v:fill on="t" focussize="0,0"/>
                      <v:stroke color="#000000" joinstyle="miter"/>
                      <v:imagedata o:title=""/>
                      <o:lock v:ext="edit" aspectratio="f"/>
                      <v:textbox>
                        <w:txbxContent>
                          <w:p>
                            <w:pPr>
                              <w:spacing w:before="24"/>
                              <w:jc w:val="center"/>
                            </w:pPr>
                            <w:r>
                              <w:rPr>
                                <w:rFonts w:hint="eastAsia"/>
                                <w:lang w:eastAsia="zh-CN"/>
                              </w:rPr>
                              <w:t>食堂</w:t>
                            </w:r>
                            <w:r>
                              <w:rPr>
                                <w:rFonts w:hint="eastAsia"/>
                              </w:rPr>
                              <w:t>用水</w:t>
                            </w:r>
                          </w:p>
                        </w:txbxContent>
                      </v:textbox>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28896" behindDoc="0" locked="0" layoutInCell="1" allowOverlap="1">
                      <wp:simplePos x="0" y="0"/>
                      <wp:positionH relativeFrom="column">
                        <wp:posOffset>1745615</wp:posOffset>
                      </wp:positionH>
                      <wp:positionV relativeFrom="paragraph">
                        <wp:posOffset>200025</wp:posOffset>
                      </wp:positionV>
                      <wp:extent cx="314325" cy="162560"/>
                      <wp:effectExtent l="1905" t="4445" r="7620" b="4445"/>
                      <wp:wrapNone/>
                      <wp:docPr id="116" name="直接箭头连接符 116"/>
                      <wp:cNvGraphicFramePr/>
                      <a:graphic xmlns:a="http://schemas.openxmlformats.org/drawingml/2006/main">
                        <a:graphicData uri="http://schemas.microsoft.com/office/word/2010/wordprocessingShape">
                          <wps:wsp>
                            <wps:cNvCnPr/>
                            <wps:spPr>
                              <a:xfrm>
                                <a:off x="0" y="0"/>
                                <a:ext cx="314325" cy="162560"/>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_x0000_s1026" o:spid="_x0000_s1026" o:spt="32" type="#_x0000_t32" style="position:absolute;left:0pt;margin-left:137.45pt;margin-top:15.75pt;height:12.8pt;width:24.75pt;z-index:251728896;mso-width-relative:page;mso-height-relative:page;" filled="f" stroked="t" coordsize="21600,21600" o:gfxdata="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Zt1ddoAAAAJAQAADwAAAAAAAAABACAA&#10;AAAiAAAAZHJzL2Rvd25yZXYueG1sUEsBAhQAFAAAAAgAh07iQGTe5IkLAgAA+QMAAA4AAAAAAAAA&#10;AQAgAAAAKQEAAGRycy9lMm9Eb2MueG1sUEsFBgAAAAAGAAYAWQEAAKYFAAAAAA==&#10;">
                      <v:fill on="f" focussize="0,0"/>
                      <v:stroke color="#000000" joinstyle="round" dashstyle="longDash"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2521585</wp:posOffset>
                      </wp:positionH>
                      <wp:positionV relativeFrom="paragraph">
                        <wp:posOffset>127000</wp:posOffset>
                      </wp:positionV>
                      <wp:extent cx="561975" cy="28702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561975" cy="287020"/>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12</w:t>
                                  </w:r>
                                </w:p>
                              </w:txbxContent>
                            </wps:txbx>
                            <wps:bodyPr upright="1"/>
                          </wps:wsp>
                        </a:graphicData>
                      </a:graphic>
                    </wp:anchor>
                  </w:drawing>
                </mc:Choice>
                <mc:Fallback>
                  <w:pict>
                    <v:shape id="_x0000_s1026" o:spid="_x0000_s1026" o:spt="202" type="#_x0000_t202" style="position:absolute;left:0pt;margin-left:198.55pt;margin-top:10pt;height:22.6pt;width:44.25pt;z-index:251715584;mso-width-relative:page;mso-height-relative:page;" fillcolor="#FFFFFF" filled="t" stroked="f" coordsize="21600,21600" o:gfxdata="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&#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fIon2AAAAAkBAAAPAAAAAAAAAAEAIAAAACIAAABk&#10;cnMvZG93bnJldi54bWxQSwECFAAUAAAACACHTuJAE7oo+c0BAACVAwAADgAAAAAAAAABACAAAAAn&#10;AQAAZHJzL2Uyb0RvYy54bWxQSwUGAAAAAAYABgBZAQAAZgU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12</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3054985</wp:posOffset>
                      </wp:positionH>
                      <wp:positionV relativeFrom="paragraph">
                        <wp:posOffset>180975</wp:posOffset>
                      </wp:positionV>
                      <wp:extent cx="885825" cy="285750"/>
                      <wp:effectExtent l="4445" t="5080" r="5080" b="13970"/>
                      <wp:wrapNone/>
                      <wp:docPr id="50" name="文本框 50"/>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rPr>
                                    <w:t>道路洒水</w:t>
                                  </w:r>
                                </w:p>
                              </w:txbxContent>
                            </wps:txbx>
                            <wps:bodyPr upright="1"/>
                          </wps:wsp>
                        </a:graphicData>
                      </a:graphic>
                    </wp:anchor>
                  </w:drawing>
                </mc:Choice>
                <mc:Fallback>
                  <w:pict>
                    <v:shape id="_x0000_s1026" o:spid="_x0000_s1026" o:spt="202" type="#_x0000_t202" style="position:absolute;left:0pt;margin-left:240.55pt;margin-top:14.25pt;height:22.5pt;width:69.75pt;z-index:251695104;mso-width-relative:page;mso-height-relative:page;" fillcolor="#FFFFFF" filled="t" stroked="t" coordsize="21600,21600" o:gfxdata="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jLpgv2QAAAAkBAAAPAAAAAAAAAAEAIAAA&#10;ACIAAABkcnMvZG93bnJldi54bWxQSwECFAAUAAAACACHTuJA4o4R6gsCAAA3BAAADgAAAAAAAAAB&#10;ACAAAAAoAQAAZHJzL2Uyb0RvYy54bWxQSwUGAAAAAAYABgBZAQAApQUAAAAA&#10;">
                      <v:fill on="t" focussize="0,0"/>
                      <v:stroke color="#000000" joinstyle="miter"/>
                      <v:imagedata o:title=""/>
                      <o:lock v:ext="edit" aspectratio="f"/>
                      <v:textbox>
                        <w:txbxContent>
                          <w:p>
                            <w:pPr>
                              <w:spacing w:before="24"/>
                              <w:jc w:val="center"/>
                            </w:pPr>
                            <w:r>
                              <w:rPr>
                                <w:rFonts w:hint="eastAsia"/>
                              </w:rPr>
                              <w:t>道路洒水</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27872" behindDoc="0" locked="0" layoutInCell="1" allowOverlap="1">
                      <wp:simplePos x="0" y="0"/>
                      <wp:positionH relativeFrom="column">
                        <wp:posOffset>3359150</wp:posOffset>
                      </wp:positionH>
                      <wp:positionV relativeFrom="paragraph">
                        <wp:posOffset>-269240</wp:posOffset>
                      </wp:positionV>
                      <wp:extent cx="2540" cy="316865"/>
                      <wp:effectExtent l="36195" t="0" r="37465" b="6985"/>
                      <wp:wrapNone/>
                      <wp:docPr id="115" name="直接箭头连接符 115"/>
                      <wp:cNvGraphicFramePr/>
                      <a:graphic xmlns:a="http://schemas.openxmlformats.org/drawingml/2006/main">
                        <a:graphicData uri="http://schemas.microsoft.com/office/word/2010/wordprocessingShape">
                          <wps:wsp>
                            <wps:cNvCnPr/>
                            <wps:spPr>
                              <a:xfrm flipV="1">
                                <a:off x="0" y="0"/>
                                <a:ext cx="2540" cy="3168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64.5pt;margin-top:-21.2pt;height:24.95pt;width:0.2pt;z-index:251727872;mso-width-relative:page;mso-height-relative:page;" filled="f" stroked="t" coordsize="21600,21600" o:gfxdata="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SnuItgAAAAJAQAADwAAAAAAAAAB&#10;ACAAAAAiAAAAZHJzL2Rvd25yZXYueG1sUEsBAhQAFAAAAAgAh07iQGfv0VUQAgAAAAQAAA4AAAAA&#10;AAAAAQAgAAAAJwEAAGRycy9lMm9Eb2MueG1sUEsFBgAAAAAGAAYAWQEAAKkFAAAAAA==&#10;">
                      <v:fill on="f" focussize="0,0"/>
                      <v:stroke color="#000000" joinstyle="round" endarrow="block"/>
                      <v:imagedata o:title=""/>
                      <o:lock v:ext="edit" aspectratio="f"/>
                    </v:shape>
                  </w:pict>
                </mc:Fallback>
              </mc:AlternateContent>
            </w:r>
            <w:r>
              <w:rPr>
                <w:color w:val="000000" w:themeColor="text1"/>
                <w:sz w:val="24"/>
                <w:highlight w:val="none"/>
                <w14:textFill>
                  <w14:solidFill>
                    <w14:schemeClr w14:val="tx1"/>
                  </w14:solidFill>
                </w14:textFill>
              </w:rPr>
              <mc:AlternateContent>
                <mc:Choice Requires="wps">
                  <w:drawing>
                    <wp:anchor distT="0" distB="0" distL="114300" distR="114300" simplePos="0" relativeHeight="251726848" behindDoc="0" locked="0" layoutInCell="1" allowOverlap="1">
                      <wp:simplePos x="0" y="0"/>
                      <wp:positionH relativeFrom="column">
                        <wp:posOffset>2195195</wp:posOffset>
                      </wp:positionH>
                      <wp:positionV relativeFrom="paragraph">
                        <wp:posOffset>51435</wp:posOffset>
                      </wp:positionV>
                      <wp:extent cx="1175385" cy="2540"/>
                      <wp:effectExtent l="0" t="0" r="0" b="0"/>
                      <wp:wrapNone/>
                      <wp:docPr id="114" name="直接连接符 114"/>
                      <wp:cNvGraphicFramePr/>
                      <a:graphic xmlns:a="http://schemas.openxmlformats.org/drawingml/2006/main">
                        <a:graphicData uri="http://schemas.microsoft.com/office/word/2010/wordprocessingShape">
                          <wps:wsp>
                            <wps:cNvCnPr>
                              <a:stCxn id="98" idx="3"/>
                            </wps:cNvCnPr>
                            <wps:spPr>
                              <a:xfrm flipV="1">
                                <a:off x="3474085" y="6699885"/>
                                <a:ext cx="117538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2.85pt;margin-top:4.05pt;height:0.2pt;width:92.55pt;z-index:251726848;mso-width-relative:page;mso-height-relative:page;" filled="f" stroked="t" coordsize="21600,21600" o:gfxdata="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ytO1NUAAAAHAQAA&#10;DwAAAAAAAAABACAAAAAiAAAAZHJzL2Rvd25yZXYueG1sUEsBAhQAFAAAAAgAh07iQEDnNQkcAgAA&#10;FwQAAA4AAAAAAAAAAQAgAAAAJAEAAGRycy9lMm9Eb2MueG1sUEsFBgAAAAAGAAYAWQEAALIFAAAA&#10;AA==&#10;">
                      <v:fill on="f" focussize="0,0"/>
                      <v:stroke color="#000000 [3200]" joinstyle="round"/>
                      <v:imagedata o:title=""/>
                      <o:lock v:ext="edit" aspectratio="f"/>
                    </v:lin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24800" behindDoc="0" locked="0" layoutInCell="1" allowOverlap="1">
                      <wp:simplePos x="0" y="0"/>
                      <wp:positionH relativeFrom="column">
                        <wp:posOffset>338455</wp:posOffset>
                      </wp:positionH>
                      <wp:positionV relativeFrom="paragraph">
                        <wp:posOffset>48260</wp:posOffset>
                      </wp:positionV>
                      <wp:extent cx="828675" cy="0"/>
                      <wp:effectExtent l="0" t="38100" r="9525" b="38100"/>
                      <wp:wrapNone/>
                      <wp:docPr id="97" name="直接箭头连接符 97"/>
                      <wp:cNvGraphicFramePr/>
                      <a:graphic xmlns:a="http://schemas.openxmlformats.org/drawingml/2006/main">
                        <a:graphicData uri="http://schemas.microsoft.com/office/word/2010/wordprocessingShape">
                          <wps:wsp>
                            <wps:cNvCnPr/>
                            <wps:spPr>
                              <a:xfrm>
                                <a:off x="0" y="0"/>
                                <a:ext cx="8286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65pt;margin-top:3.8pt;height:0pt;width:65.25pt;z-index:251724800;mso-width-relative:page;mso-height-relative:page;" filled="f" stroked="t" coordsize="21600,21600" o:gfxdata="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ttzHrWAAAABgEAAA8AAAAAAAAAAQAgAAAAIgAAAGRycy9k&#10;b3ducmV2LnhtbFBLAQIUABQAAAAIAIdO4kCTYo3qBAIAAPEDAAAOAAAAAAAAAAEAIAAAACUBAABk&#10;cnMvZTJvRG9jLnhtbFBLBQYAAAAABgAGAFkBAACbBQ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2409825</wp:posOffset>
                      </wp:positionH>
                      <wp:positionV relativeFrom="paragraph">
                        <wp:posOffset>354330</wp:posOffset>
                      </wp:positionV>
                      <wp:extent cx="8255" cy="1066800"/>
                      <wp:effectExtent l="0" t="0" r="0" b="0"/>
                      <wp:wrapNone/>
                      <wp:docPr id="88" name="直接箭头连接符 88"/>
                      <wp:cNvGraphicFramePr/>
                      <a:graphic xmlns:a="http://schemas.openxmlformats.org/drawingml/2006/main">
                        <a:graphicData uri="http://schemas.microsoft.com/office/word/2010/wordprocessingShape">
                          <wps:wsp>
                            <wps:cNvCnPr/>
                            <wps:spPr>
                              <a:xfrm flipH="1">
                                <a:off x="0" y="0"/>
                                <a:ext cx="8255" cy="1066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89.75pt;margin-top:27.9pt;height:84pt;width:0.65pt;z-index:251691008;mso-width-relative:page;mso-height-relative:page;" filled="f" stroked="t" coordsize="21600,21600" o:gfxdata="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97bA72AAAAAoBAAAPAAAAAAAAAAEAIAAAACIA&#10;AABkcnMvZG93bnJldi54bWxQSwECFAAUAAAACACHTuJAApKoAQkCAAD7AwAADgAAAAAAAAABACAA&#10;AAAnAQAAZHJzL2Uyb0RvYy54bWxQSwUGAAAAAAYABgBZAQAAogUAAAAA&#10;">
                      <v:fill on="f" focussize="0,0"/>
                      <v:stroke color="#000000" joinstyle="round"/>
                      <v:imagedata o:title=""/>
                      <o:lock v:ext="edit" aspectratio="f"/>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29920" behindDoc="0" locked="0" layoutInCell="1" allowOverlap="1">
                      <wp:simplePos x="0" y="0"/>
                      <wp:positionH relativeFrom="column">
                        <wp:posOffset>1567180</wp:posOffset>
                      </wp:positionH>
                      <wp:positionV relativeFrom="paragraph">
                        <wp:posOffset>69215</wp:posOffset>
                      </wp:positionV>
                      <wp:extent cx="933450" cy="28575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933450" cy="285750"/>
                              </a:xfrm>
                              <a:prstGeom prst="rect">
                                <a:avLst/>
                              </a:prstGeom>
                              <a:solidFill>
                                <a:srgbClr val="FFFFFF">
                                  <a:alpha val="0"/>
                                </a:srgbClr>
                              </a:solidFill>
                              <a:ln>
                                <a:noFill/>
                              </a:ln>
                            </wps:spPr>
                            <wps:txbx>
                              <w:txbxContent>
                                <w:p>
                                  <w:pPr>
                                    <w:spacing w:before="24"/>
                                    <w:jc w:val="center"/>
                                    <w:rPr>
                                      <w:rFonts w:hint="default" w:eastAsia="宋体"/>
                                      <w:szCs w:val="21"/>
                                      <w:lang w:val="en-US" w:eastAsia="zh-CN"/>
                                    </w:rPr>
                                  </w:pPr>
                                  <w:r>
                                    <w:rPr>
                                      <w:szCs w:val="21"/>
                                    </w:rPr>
                                    <w:t>0.</w:t>
                                  </w:r>
                                  <w:r>
                                    <w:rPr>
                                      <w:rFonts w:hint="eastAsia"/>
                                      <w:szCs w:val="21"/>
                                      <w:lang w:val="en-US" w:eastAsia="zh-CN"/>
                                    </w:rPr>
                                    <w:t>072</w:t>
                                  </w:r>
                                </w:p>
                              </w:txbxContent>
                            </wps:txbx>
                            <wps:bodyPr upright="1"/>
                          </wps:wsp>
                        </a:graphicData>
                      </a:graphic>
                    </wp:anchor>
                  </w:drawing>
                </mc:Choice>
                <mc:Fallback>
                  <w:pict>
                    <v:shape id="_x0000_s1026" o:spid="_x0000_s1026" o:spt="202" type="#_x0000_t202" style="position:absolute;left:0pt;margin-left:123.4pt;margin-top:5.45pt;height:22.5pt;width:73.5pt;z-index:251729920;mso-width-relative:page;mso-height-relative:page;" fillcolor="#FFFFFF" filled="t" stroked="f" coordsize="21600,21600" o:gfxdata="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I3orYAAAACQEAAA8AAAAAAAAAAQAgAAAAIgAAAGRy&#10;cy9kb3ducmV2LnhtbFBLAQIUABQAAAAIAIdO4kD9oKC3zAEAAJcDAAAOAAAAAAAAAAEAIAAAACcB&#10;AABkcnMvZTJvRG9jLnhtbFBLBQYAAAAABgAGAFkBAABlBQAAAAA=&#10;">
                      <v:fill on="t" opacity="0f" focussize="0,0"/>
                      <v:stroke on="f"/>
                      <v:imagedata o:title=""/>
                      <o:lock v:ext="edit" aspectratio="f"/>
                      <v:textbox>
                        <w:txbxContent>
                          <w:p>
                            <w:pPr>
                              <w:spacing w:before="24"/>
                              <w:jc w:val="center"/>
                              <w:rPr>
                                <w:rFonts w:hint="default" w:eastAsia="宋体"/>
                                <w:szCs w:val="21"/>
                                <w:lang w:val="en-US" w:eastAsia="zh-CN"/>
                              </w:rPr>
                            </w:pPr>
                            <w:r>
                              <w:rPr>
                                <w:szCs w:val="21"/>
                              </w:rPr>
                              <w:t>0.</w:t>
                            </w:r>
                            <w:r>
                              <w:rPr>
                                <w:rFonts w:hint="eastAsia"/>
                                <w:szCs w:val="21"/>
                                <w:lang w:val="en-US" w:eastAsia="zh-CN"/>
                              </w:rPr>
                              <w:t>072</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2426970</wp:posOffset>
                      </wp:positionH>
                      <wp:positionV relativeFrom="paragraph">
                        <wp:posOffset>91440</wp:posOffset>
                      </wp:positionV>
                      <wp:extent cx="619125" cy="0"/>
                      <wp:effectExtent l="0" t="38100" r="9525" b="38100"/>
                      <wp:wrapNone/>
                      <wp:docPr id="26" name="直接箭头连接符 26"/>
                      <wp:cNvGraphicFramePr/>
                      <a:graphic xmlns:a="http://schemas.openxmlformats.org/drawingml/2006/main">
                        <a:graphicData uri="http://schemas.microsoft.com/office/word/2010/wordprocessingShape">
                          <wps:wsp>
                            <wps:cNvCnPr/>
                            <wps:spPr>
                              <a:xfrm>
                                <a:off x="0" y="0"/>
                                <a:ext cx="6191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1.1pt;margin-top:7.2pt;height:0pt;width:48.75pt;z-index:251699200;mso-width-relative:page;mso-height-relative:page;" filled="f" stroked="t" coordsize="21600,21600" o:gfxdata="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ukR+9kAAAAJAQAADwAAAAAAAAABACAAAAAiAAAAZHJz&#10;L2Rvd25yZXYueG1sUEsBAhQAFAAAAAgAh07iQAh/dPIDAgAA8QMAAA4AAAAAAAAAAQAgAAAAKAEA&#10;AGRycy9lMm9Eb2MueG1sUEsFBgAAAAAGAAYAWQEAAJ0FAAAAAA==&#10;">
                      <v:fill on="f" focussize="0,0"/>
                      <v:stroke color="#000000" joinstyle="round" endarrow="block"/>
                      <v:imagedata o:title=""/>
                      <o:lock v:ext="edit" aspectratio="f"/>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4181475</wp:posOffset>
                      </wp:positionH>
                      <wp:positionV relativeFrom="paragraph">
                        <wp:posOffset>115570</wp:posOffset>
                      </wp:positionV>
                      <wp:extent cx="495300" cy="257175"/>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rPr>
                                    <w:t>1.</w:t>
                                  </w:r>
                                  <w:r>
                                    <w:rPr>
                                      <w:rFonts w:hint="eastAsia"/>
                                      <w:color w:val="000000"/>
                                      <w:szCs w:val="21"/>
                                      <w:lang w:val="en-US" w:eastAsia="zh-CN"/>
                                    </w:rPr>
                                    <w:t>75</w:t>
                                  </w:r>
                                </w:p>
                              </w:txbxContent>
                            </wps:txbx>
                            <wps:bodyPr upright="1"/>
                          </wps:wsp>
                        </a:graphicData>
                      </a:graphic>
                    </wp:anchor>
                  </w:drawing>
                </mc:Choice>
                <mc:Fallback>
                  <w:pict>
                    <v:shape id="_x0000_s1026" o:spid="_x0000_s1026" o:spt="202" type="#_x0000_t202" style="position:absolute;left:0pt;margin-left:329.25pt;margin-top:9.1pt;height:20.25pt;width:39pt;z-index:251708416;mso-width-relative:page;mso-height-relative:page;" fillcolor="#FFFFFF" filled="t" stroked="f" coordsize="21600,21600" o:gfxdata="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&#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Ir/VnXAAAACQEAAA8AAAAAAAAAAQAgAAAAIgAAAGRy&#10;cy9kb3ducmV2LnhtbFBLAQIUABQAAAAIAIdO4kCYJwZbzQEAAJUDAAAOAAAAAAAAAAEAIAAAACYB&#10;AABkcnMvZTJvRG9jLnhtbFBLBQYAAAAABgAGAFkBAABlBQ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rPr>
                              <w:t>1.</w:t>
                            </w:r>
                            <w:r>
                              <w:rPr>
                                <w:rFonts w:hint="eastAsia"/>
                                <w:color w:val="000000"/>
                                <w:szCs w:val="21"/>
                                <w:lang w:val="en-US" w:eastAsia="zh-CN"/>
                              </w:rPr>
                              <w:t>75</w:t>
                            </w:r>
                          </w:p>
                        </w:txbxContent>
                      </v:textbox>
                    </v:shape>
                  </w:pict>
                </mc:Fallback>
              </mc:AlternateContent>
            </w:r>
          </w:p>
          <w:p>
            <w:pPr>
              <w:keepNext w:val="0"/>
              <w:keepLines w:val="0"/>
              <w:suppressLineNumbers w:val="0"/>
              <w:spacing w:before="24" w:beforeAutospacing="0" w:after="0" w:afterAutospacing="0" w:line="360" w:lineRule="auto"/>
              <w:ind w:left="0" w:right="0" w:firstLine="480"/>
              <w:rPr>
                <w:rFonts w:hint="default"/>
                <w:color w:val="000000" w:themeColor="text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3037840</wp:posOffset>
                      </wp:positionH>
                      <wp:positionV relativeFrom="paragraph">
                        <wp:posOffset>165100</wp:posOffset>
                      </wp:positionV>
                      <wp:extent cx="885825" cy="285750"/>
                      <wp:effectExtent l="4445" t="5080" r="5080" b="13970"/>
                      <wp:wrapNone/>
                      <wp:docPr id="10" name="文本框 10"/>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24"/>
                                    <w:jc w:val="center"/>
                                  </w:pPr>
                                  <w:r>
                                    <w:rPr>
                                      <w:rFonts w:hint="eastAsia"/>
                                      <w:lang w:eastAsia="zh-CN"/>
                                    </w:rPr>
                                    <w:t>采区</w:t>
                                  </w:r>
                                  <w:r>
                                    <w:rPr>
                                      <w:rFonts w:hint="eastAsia"/>
                                    </w:rPr>
                                    <w:t>洒水</w:t>
                                  </w:r>
                                </w:p>
                              </w:txbxContent>
                            </wps:txbx>
                            <wps:bodyPr upright="1"/>
                          </wps:wsp>
                        </a:graphicData>
                      </a:graphic>
                    </wp:anchor>
                  </w:drawing>
                </mc:Choice>
                <mc:Fallback>
                  <w:pict>
                    <v:shape id="_x0000_s1026" o:spid="_x0000_s1026" o:spt="202" type="#_x0000_t202" style="position:absolute;left:0pt;margin-left:239.2pt;margin-top:13pt;height:22.5pt;width:69.75pt;z-index:251696128;mso-width-relative:page;mso-height-relative:page;" fillcolor="#FFFFFF" filled="t" stroked="t" coordsize="21600,21600" o:gfxdata="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k2lX7ZAAAACQEAAA8AAAAAAAAAAQAgAAAA&#10;IgAAAGRycy9kb3ducmV2LnhtbFBLAQIUABQAAAAIAIdO4kANVMnBCgIAADcEAAAOAAAAAAAAAAEA&#10;IAAAACgBAABkcnMvZTJvRG9jLnhtbFBLBQYAAAAABgAGAFkBAACkBQAAAAA=&#10;">
                      <v:fill on="t" focussize="0,0"/>
                      <v:stroke color="#000000" joinstyle="miter"/>
                      <v:imagedata o:title=""/>
                      <o:lock v:ext="edit" aspectratio="f"/>
                      <v:textbox>
                        <w:txbxContent>
                          <w:p>
                            <w:pPr>
                              <w:spacing w:before="24"/>
                              <w:jc w:val="center"/>
                            </w:pPr>
                            <w:r>
                              <w:rPr>
                                <w:rFonts w:hint="eastAsia"/>
                                <w:lang w:eastAsia="zh-CN"/>
                              </w:rPr>
                              <w:t>采区</w:t>
                            </w:r>
                            <w:r>
                              <w:rPr>
                                <w:rFonts w:hint="eastAsia"/>
                              </w:rPr>
                              <w:t>洒水</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504825</wp:posOffset>
                      </wp:positionH>
                      <wp:positionV relativeFrom="paragraph">
                        <wp:posOffset>-5715</wp:posOffset>
                      </wp:positionV>
                      <wp:extent cx="561975" cy="30607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561975" cy="306070"/>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15.478</w:t>
                                  </w:r>
                                </w:p>
                              </w:txbxContent>
                            </wps:txbx>
                            <wps:bodyPr upright="1"/>
                          </wps:wsp>
                        </a:graphicData>
                      </a:graphic>
                    </wp:anchor>
                  </w:drawing>
                </mc:Choice>
                <mc:Fallback>
                  <w:pict>
                    <v:shape id="_x0000_s1026" o:spid="_x0000_s1026" o:spt="202" type="#_x0000_t202" style="position:absolute;left:0pt;margin-left:39.75pt;margin-top:-0.45pt;height:24.1pt;width:44.25pt;z-index:251703296;mso-width-relative:page;mso-height-relative:page;" fillcolor="#FFFFFF" filled="t" stroked="f" coordsize="21600,21600" o:gfxdata="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jfqY3YAAAABwEAAA8AAAAAAAAAAQAgAAAAIgAAAGRy&#10;cy9kb3ducmV2LnhtbFBLAQIUABQAAAAIAIdO4kDMMOuQzAEAAJUDAAAOAAAAAAAAAAEAIAAAACcB&#10;AABkcnMvZTJvRG9jLnhtbFBLBQYAAAAABgAGAFkBAABlBQ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15.478</w:t>
                            </w:r>
                          </w:p>
                        </w:txbxContent>
                      </v:textbox>
                    </v:shape>
                  </w:pict>
                </mc:Fallback>
              </mc:AlternateContent>
            </w: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2486025</wp:posOffset>
                      </wp:positionH>
                      <wp:positionV relativeFrom="paragraph">
                        <wp:posOffset>13970</wp:posOffset>
                      </wp:positionV>
                      <wp:extent cx="561975" cy="28829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561975" cy="288290"/>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rPr>
                                    <w:t>1.</w:t>
                                  </w:r>
                                  <w:r>
                                    <w:rPr>
                                      <w:rFonts w:hint="eastAsia"/>
                                      <w:color w:val="000000"/>
                                      <w:szCs w:val="21"/>
                                      <w:lang w:val="en-US" w:eastAsia="zh-CN"/>
                                    </w:rPr>
                                    <w:t>75</w:t>
                                  </w:r>
                                </w:p>
                              </w:txbxContent>
                            </wps:txbx>
                            <wps:bodyPr upright="1"/>
                          </wps:wsp>
                        </a:graphicData>
                      </a:graphic>
                    </wp:anchor>
                  </w:drawing>
                </mc:Choice>
                <mc:Fallback>
                  <w:pict>
                    <v:shape id="_x0000_s1026" o:spid="_x0000_s1026" o:spt="202" type="#_x0000_t202" style="position:absolute;left:0pt;margin-left:195.75pt;margin-top:1.1pt;height:22.7pt;width:44.25pt;z-index:251714560;mso-width-relative:page;mso-height-relative:page;" fillcolor="#FFFFFF" filled="t" stroked="f" coordsize="21600,21600" o:gfxdata="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&#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G0R4bXAAAACAEAAA8AAAAAAAAAAQAgAAAAIgAAAGRy&#10;cy9kb3ducmV2LnhtbFBLAQIUABQAAAAIAIdO4kDrRHQYzQEAAJUDAAAOAAAAAAAAAAEAIAAAACYB&#10;AABkcnMvZTJvRG9jLnhtbFBLBQYAAAAABgAGAFkBAABlBQ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rPr>
                              <w:t>1.</w:t>
                            </w:r>
                            <w:r>
                              <w:rPr>
                                <w:rFonts w:hint="eastAsia"/>
                                <w:color w:val="000000"/>
                                <w:szCs w:val="21"/>
                                <w:lang w:val="en-US" w:eastAsia="zh-CN"/>
                              </w:rPr>
                              <w:t>75</w:t>
                            </w:r>
                          </w:p>
                        </w:txbxContent>
                      </v:textbox>
                    </v:shape>
                  </w:pict>
                </mc:Fallback>
              </mc:AlternateContent>
            </w:r>
          </w:p>
          <w:p>
            <w:pPr>
              <w:keepNext w:val="0"/>
              <w:keepLines w:val="0"/>
              <w:suppressLineNumbers w:val="0"/>
              <w:spacing w:before="0" w:beforeLines="50" w:beforeAutospacing="0" w:after="0" w:afterLines="50" w:afterAutospacing="0" w:line="360" w:lineRule="auto"/>
              <w:ind w:left="0" w:right="0" w:firstLine="420"/>
              <w:rPr>
                <w:rFonts w:hint="default"/>
                <w:color w:val="000000" w:themeColor="text1"/>
                <w:szCs w:val="21"/>
                <w:highlight w:val="none"/>
                <w14:textFill>
                  <w14:solidFill>
                    <w14:schemeClr w14:val="tx1"/>
                  </w14:solidFill>
                </w14:textFill>
              </w:rPr>
            </w:pPr>
          </w:p>
          <w:p>
            <w:pPr>
              <w:keepNext w:val="0"/>
              <w:keepLines w:val="0"/>
              <w:suppressLineNumbers w:val="0"/>
              <w:spacing w:before="24" w:beforeAutospacing="0" w:after="0" w:afterAutospacing="0"/>
              <w:ind w:left="0" w:right="0" w:firstLine="482"/>
              <w:jc w:val="center"/>
              <w:rPr>
                <w:rFonts w:hint="default"/>
                <w:b/>
                <w:color w:val="000000" w:themeColor="text1"/>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2514600</wp:posOffset>
                      </wp:positionH>
                      <wp:positionV relativeFrom="paragraph">
                        <wp:posOffset>55880</wp:posOffset>
                      </wp:positionV>
                      <wp:extent cx="561975" cy="30607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561975" cy="306070"/>
                              </a:xfrm>
                              <a:prstGeom prst="rect">
                                <a:avLst/>
                              </a:prstGeom>
                              <a:solidFill>
                                <a:srgbClr val="FFFFFF">
                                  <a:alpha val="0"/>
                                </a:srgbClr>
                              </a:solidFill>
                              <a:ln>
                                <a:noFill/>
                              </a:ln>
                            </wps:spPr>
                            <wps:txbx>
                              <w:txbxContent>
                                <w:p>
                                  <w:pPr>
                                    <w:spacing w:before="24"/>
                                    <w:rPr>
                                      <w:rFonts w:hint="default" w:eastAsia="宋体"/>
                                      <w:szCs w:val="21"/>
                                      <w:lang w:val="en-US" w:eastAsia="zh-CN"/>
                                    </w:rPr>
                                  </w:pPr>
                                  <w:r>
                                    <w:rPr>
                                      <w:rFonts w:hint="eastAsia"/>
                                      <w:color w:val="000000"/>
                                      <w:szCs w:val="21"/>
                                      <w:lang w:val="en-US" w:eastAsia="zh-CN"/>
                                    </w:rPr>
                                    <w:t>1.728</w:t>
                                  </w:r>
                                </w:p>
                              </w:txbxContent>
                            </wps:txbx>
                            <wps:bodyPr upright="1"/>
                          </wps:wsp>
                        </a:graphicData>
                      </a:graphic>
                    </wp:anchor>
                  </w:drawing>
                </mc:Choice>
                <mc:Fallback>
                  <w:pict>
                    <v:shape id="_x0000_s1026" o:spid="_x0000_s1026" o:spt="202" type="#_x0000_t202" style="position:absolute;left:0pt;margin-left:198pt;margin-top:4.4pt;height:24.1pt;width:44.25pt;z-index:251713536;mso-width-relative:page;mso-height-relative:page;" fillcolor="#FFFFFF" filled="t" stroked="f" coordsize="21600,21600" o:gfxdata="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oalc2AAAAAgBAAAPAAAAAAAAAAEAIAAAACIAAABk&#10;cnMvZG93bnJldi54bWxQSwECFAAUAAAACACHTuJANuDnmc0BAACVAwAADgAAAAAAAAABACAAAAAn&#10;AQAAZHJzL2Uyb0RvYy54bWxQSwUGAAAAAAYABgBZAQAAZgUAAAAA&#10;">
                      <v:fill on="t" opacity="0f" focussize="0,0"/>
                      <v:stroke on="f"/>
                      <v:imagedata o:title=""/>
                      <o:lock v:ext="edit" aspectratio="f"/>
                      <v:textbox>
                        <w:txbxContent>
                          <w:p>
                            <w:pPr>
                              <w:spacing w:before="24"/>
                              <w:rPr>
                                <w:rFonts w:hint="default" w:eastAsia="宋体"/>
                                <w:szCs w:val="21"/>
                                <w:lang w:val="en-US" w:eastAsia="zh-CN"/>
                              </w:rPr>
                            </w:pPr>
                            <w:r>
                              <w:rPr>
                                <w:rFonts w:hint="eastAsia"/>
                                <w:color w:val="000000"/>
                                <w:szCs w:val="21"/>
                                <w:lang w:val="en-US" w:eastAsia="zh-CN"/>
                              </w:rPr>
                              <w:t>1.728</w:t>
                            </w:r>
                          </w:p>
                        </w:txbxContent>
                      </v:textbox>
                    </v:shape>
                  </w:pict>
                </mc:Fallback>
              </mc:AlternateContent>
            </w:r>
          </w:p>
          <w:p>
            <w:pPr>
              <w:keepNext w:val="0"/>
              <w:keepLines w:val="0"/>
              <w:suppressLineNumbers w:val="0"/>
              <w:spacing w:before="24" w:beforeAutospacing="0" w:after="0" w:afterAutospacing="0"/>
              <w:ind w:left="0" w:right="0" w:firstLine="482"/>
              <w:jc w:val="center"/>
              <w:rPr>
                <w:rFonts w:hint="default"/>
                <w:b/>
                <w:color w:val="000000" w:themeColor="text1"/>
                <w:sz w:val="24"/>
                <w:highlight w:val="none"/>
                <w14:textFill>
                  <w14:solidFill>
                    <w14:schemeClr w14:val="tx1"/>
                  </w14:solidFill>
                </w14:textFill>
              </w:rPr>
            </w:pPr>
            <w:r>
              <w:rPr>
                <w:rFonts w:hint="default"/>
                <w:color w:val="000000" w:themeColor="text1"/>
                <w:sz w:val="24"/>
                <w:highlight w:val="none"/>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2410460</wp:posOffset>
                      </wp:positionH>
                      <wp:positionV relativeFrom="paragraph">
                        <wp:posOffset>151765</wp:posOffset>
                      </wp:positionV>
                      <wp:extent cx="619125" cy="0"/>
                      <wp:effectExtent l="0" t="38100" r="9525" b="38100"/>
                      <wp:wrapNone/>
                      <wp:docPr id="27" name="直接箭头连接符 27"/>
                      <wp:cNvGraphicFramePr/>
                      <a:graphic xmlns:a="http://schemas.openxmlformats.org/drawingml/2006/main">
                        <a:graphicData uri="http://schemas.microsoft.com/office/word/2010/wordprocessingShape">
                          <wps:wsp>
                            <wps:cNvCnPr/>
                            <wps:spPr>
                              <a:xfrm>
                                <a:off x="0" y="0"/>
                                <a:ext cx="6191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9.8pt;margin-top:11.95pt;height:0pt;width:48.75pt;z-index:251700224;mso-width-relative:page;mso-height-relative:page;" filled="f" stroked="t" coordsize="21600,21600" o:gfxdata="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&#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QaF4h2gAAAAkBAAAPAAAAAAAAAAEAIAAAACIAAABk&#10;cnMvZG93bnJldi54bWxQSwECFAAUAAAACACHTuJA+kZUwQQCAADxAwAADgAAAAAAAAABACAAAAAp&#10;AQAAZHJzL2Uyb0RvYy54bWxQSwUGAAAAAAYABgBZAQAAnwUAAAAA&#10;">
                      <v:fill on="f" focussize="0,0"/>
                      <v:stroke color="#000000" joinstyle="round" endarrow="block"/>
                      <v:imagedata o:title=""/>
                      <o:lock v:ext="edit" aspectratio="f"/>
                    </v:shape>
                  </w:pict>
                </mc:Fallback>
              </mc:AlternateContent>
            </w:r>
          </w:p>
          <w:p>
            <w:pPr>
              <w:keepNext w:val="0"/>
              <w:keepLines w:val="0"/>
              <w:suppressLineNumbers w:val="0"/>
              <w:spacing w:before="24" w:beforeAutospacing="0" w:after="0" w:afterAutospacing="0"/>
              <w:ind w:left="0" w:right="0" w:firstLine="482"/>
              <w:jc w:val="center"/>
              <w:rPr>
                <w:rFonts w:hint="default"/>
                <w:b/>
                <w:color w:val="000000" w:themeColor="text1"/>
                <w:sz w:val="24"/>
                <w:highlight w:val="none"/>
                <w14:textFill>
                  <w14:solidFill>
                    <w14:schemeClr w14:val="tx1"/>
                  </w14:solidFill>
                </w14:textFill>
              </w:rPr>
            </w:pPr>
          </w:p>
          <w:p>
            <w:pPr>
              <w:keepNext w:val="0"/>
              <w:keepLines w:val="0"/>
              <w:suppressLineNumbers w:val="0"/>
              <w:spacing w:before="24" w:beforeAutospacing="0" w:after="0" w:afterAutospacing="0"/>
              <w:ind w:left="0" w:right="0" w:firstLine="482"/>
              <w:jc w:val="center"/>
              <w:rPr>
                <w:rFonts w:hint="default"/>
                <w:b/>
                <w:bCs/>
                <w:color w:val="000000" w:themeColor="text1"/>
                <w:sz w:val="24"/>
                <w:highlight w:val="none"/>
                <w14:textFill>
                  <w14:solidFill>
                    <w14:schemeClr w14:val="tx1"/>
                  </w14:solidFill>
                </w14:textFill>
              </w:rPr>
            </w:pPr>
            <w:r>
              <w:rPr>
                <w:rFonts w:hint="default"/>
                <w:b/>
                <w:color w:val="000000" w:themeColor="text1"/>
                <w:sz w:val="24"/>
                <w:highlight w:val="none"/>
                <w14:textFill>
                  <w14:solidFill>
                    <w14:schemeClr w14:val="tx1"/>
                  </w14:solidFill>
                </w14:textFill>
              </w:rPr>
              <w:t>图</w:t>
            </w:r>
            <w:r>
              <w:rPr>
                <w:rFonts w:hint="eastAsia"/>
                <w:b/>
                <w:color w:val="000000" w:themeColor="text1"/>
                <w:sz w:val="24"/>
                <w:highlight w:val="none"/>
                <w:lang w:val="en-US" w:eastAsia="zh-CN"/>
                <w14:textFill>
                  <w14:solidFill>
                    <w14:schemeClr w14:val="tx1"/>
                  </w14:solidFill>
                </w14:textFill>
              </w:rPr>
              <w:t>2-2</w:t>
            </w:r>
            <w:r>
              <w:rPr>
                <w:rFonts w:hint="default"/>
                <w:b/>
                <w:bCs/>
                <w:color w:val="000000" w:themeColor="text1"/>
                <w:sz w:val="24"/>
                <w:highlight w:val="none"/>
                <w14:textFill>
                  <w14:solidFill>
                    <w14:schemeClr w14:val="tx1"/>
                  </w14:solidFill>
                </w14:textFill>
              </w:rPr>
              <w:t xml:space="preserve">  项目水平衡图（</w:t>
            </w:r>
            <w:r>
              <w:rPr>
                <w:rFonts w:hint="default"/>
                <w:b/>
                <w:color w:val="000000" w:themeColor="text1"/>
                <w:sz w:val="24"/>
                <w:highlight w:val="none"/>
                <w14:textFill>
                  <w14:solidFill>
                    <w14:schemeClr w14:val="tx1"/>
                  </w14:solidFill>
                </w14:textFill>
              </w:rPr>
              <w:t>m</w:t>
            </w:r>
            <w:r>
              <w:rPr>
                <w:rFonts w:hint="default"/>
                <w:b/>
                <w:color w:val="000000" w:themeColor="text1"/>
                <w:sz w:val="24"/>
                <w:highlight w:val="none"/>
                <w:vertAlign w:val="superscript"/>
                <w14:textFill>
                  <w14:solidFill>
                    <w14:schemeClr w14:val="tx1"/>
                  </w14:solidFill>
                </w14:textFill>
              </w:rPr>
              <w:t>3</w:t>
            </w:r>
            <w:r>
              <w:rPr>
                <w:rFonts w:hint="default"/>
                <w:b/>
                <w:color w:val="000000" w:themeColor="text1"/>
                <w:sz w:val="24"/>
                <w:highlight w:val="none"/>
                <w14:textFill>
                  <w14:solidFill>
                    <w14:schemeClr w14:val="tx1"/>
                  </w14:solidFill>
                </w14:textFill>
              </w:rPr>
              <w:t>/d</w:t>
            </w:r>
            <w:r>
              <w:rPr>
                <w:rFonts w:hint="default"/>
                <w:b/>
                <w:bCs/>
                <w:color w:val="000000" w:themeColor="text1"/>
                <w:sz w:val="24"/>
                <w:highlight w:val="none"/>
                <w14:textFill>
                  <w14:solidFill>
                    <w14:schemeClr w14:val="tx1"/>
                  </w14:solidFill>
                </w14:textFill>
              </w:rPr>
              <w:t>）</w:t>
            </w:r>
          </w:p>
          <w:p>
            <w:pPr>
              <w:adjustRightInd w:val="0"/>
              <w:snapToGrid w:val="0"/>
              <w:spacing w:line="360" w:lineRule="auto"/>
              <w:ind w:firstLine="482" w:firstLineChars="200"/>
              <w:rPr>
                <w:b/>
                <w:color w:val="000000" w:themeColor="text1"/>
                <w:sz w:val="24"/>
                <w:highlight w:val="none"/>
                <w14:textFill>
                  <w14:solidFill>
                    <w14:schemeClr w14:val="tx1"/>
                  </w14:solidFill>
                </w14:textFill>
              </w:rPr>
            </w:pPr>
            <w:r>
              <w:rPr>
                <w:rFonts w:hint="eastAsia"/>
                <w:b/>
                <w:color w:val="000000" w:themeColor="text1"/>
                <w:sz w:val="24"/>
                <w:highlight w:val="none"/>
                <w:lang w:val="en-US" w:eastAsia="zh-CN"/>
                <w14:textFill>
                  <w14:solidFill>
                    <w14:schemeClr w14:val="tx1"/>
                  </w14:solidFill>
                </w14:textFill>
              </w:rPr>
              <w:t>8.3</w:t>
            </w:r>
            <w:r>
              <w:rPr>
                <w:b/>
                <w:color w:val="000000" w:themeColor="text1"/>
                <w:sz w:val="24"/>
                <w:highlight w:val="none"/>
                <w14:textFill>
                  <w14:solidFill>
                    <w14:schemeClr w14:val="tx1"/>
                  </w14:solidFill>
                </w14:textFill>
              </w:rPr>
              <w:t>供电</w:t>
            </w:r>
          </w:p>
          <w:p>
            <w:pPr>
              <w:pStyle w:val="12"/>
              <w:keepNext w:val="0"/>
              <w:keepLines w:val="0"/>
              <w:pageBreakBefore w:val="0"/>
              <w:kinsoku/>
              <w:wordWrap/>
              <w:overflowPunct/>
              <w:topLinePunct w:val="0"/>
              <w:bidi w:val="0"/>
              <w:snapToGrid w:val="0"/>
              <w:spacing w:before="0" w:after="0" w:line="360" w:lineRule="auto"/>
              <w:ind w:firstLine="480" w:firstLineChars="200"/>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rPr>
              <w:t>本项目用电由项目所在区域乡镇电网供给，</w:t>
            </w:r>
            <w:r>
              <w:rPr>
                <w:rFonts w:hint="eastAsia" w:ascii="宋体" w:hAnsi="宋体"/>
                <w:sz w:val="24"/>
              </w:rPr>
              <w:t>生产生活用电从达板</w:t>
            </w:r>
            <w:r>
              <w:rPr>
                <w:rFonts w:ascii="宋体" w:hAnsi="宋体"/>
                <w:sz w:val="24"/>
              </w:rPr>
              <w:t>镇 110</w:t>
            </w:r>
            <w:r>
              <w:rPr>
                <w:rFonts w:hint="eastAsia" w:ascii="宋体" w:hAnsi="宋体"/>
                <w:sz w:val="24"/>
              </w:rPr>
              <w:t>K</w:t>
            </w:r>
            <w:r>
              <w:rPr>
                <w:rFonts w:ascii="宋体" w:hAnsi="宋体"/>
                <w:sz w:val="24"/>
              </w:rPr>
              <w:t>V 变电站</w:t>
            </w:r>
            <w:r>
              <w:rPr>
                <w:rFonts w:hint="eastAsia" w:ascii="宋体" w:hAnsi="宋体"/>
                <w:sz w:val="24"/>
              </w:rPr>
              <w:t>经125KVA变压器降后引进</w:t>
            </w:r>
            <w:r>
              <w:rPr>
                <w:rFonts w:ascii="宋体" w:hAnsi="宋体"/>
                <w:sz w:val="24"/>
              </w:rPr>
              <w:t>，厂区内自建适宜厂区工业需求的变电站，</w:t>
            </w:r>
            <w:r>
              <w:rPr>
                <w:rFonts w:hint="eastAsia" w:ascii="宋体" w:hAnsi="宋体"/>
                <w:sz w:val="24"/>
              </w:rPr>
              <w:t>用架空橡套电缆输送至配电室，在配送各单位使用。</w:t>
            </w:r>
          </w:p>
          <w:p>
            <w:pPr>
              <w:adjustRightInd w:val="0"/>
              <w:snapToGrid w:val="0"/>
              <w:spacing w:line="360" w:lineRule="auto"/>
              <w:ind w:left="482"/>
              <w:rPr>
                <w:rFonts w:hint="eastAsia"/>
                <w:b/>
                <w:sz w:val="24"/>
                <w:lang w:val="en-US" w:eastAsia="zh-CN"/>
              </w:rPr>
            </w:pPr>
            <w:r>
              <w:rPr>
                <w:rFonts w:hint="eastAsia"/>
                <w:b/>
                <w:sz w:val="24"/>
                <w:lang w:val="en-US" w:eastAsia="zh-CN"/>
              </w:rPr>
              <w:t>8.4供暖</w:t>
            </w:r>
          </w:p>
          <w:p>
            <w:pPr>
              <w:pStyle w:val="2"/>
              <w:spacing w:line="360" w:lineRule="auto"/>
              <w:ind w:firstLine="480" w:firstLineChars="200"/>
              <w:rPr>
                <w:rFonts w:hint="eastAsia" w:ascii="Times New Roman" w:hAnsi="Times New Roman"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员工冬季供暖采用电取暖。</w:t>
            </w:r>
          </w:p>
          <w:p>
            <w:pPr>
              <w:pStyle w:val="2"/>
              <w:spacing w:line="360" w:lineRule="auto"/>
              <w:ind w:firstLine="480" w:firstLineChars="200"/>
              <w:rPr>
                <w:rFonts w:hint="eastAsia" w:ascii="Times New Roman" w:hAnsi="Times New Roman" w:cs="Times New Roman"/>
                <w:color w:val="auto"/>
                <w:kern w:val="2"/>
                <w:sz w:val="24"/>
                <w:szCs w:val="24"/>
                <w:lang w:val="en-US" w:eastAsia="zh-CN" w:bidi="ar-SA"/>
              </w:rPr>
            </w:pPr>
          </w:p>
          <w:p>
            <w:pPr>
              <w:pStyle w:val="2"/>
              <w:spacing w:line="360" w:lineRule="auto"/>
              <w:ind w:firstLine="480" w:firstLineChars="200"/>
              <w:rPr>
                <w:rFonts w:hint="eastAsia" w:ascii="Times New Roman" w:hAnsi="Times New Roman" w:cs="Times New Roman"/>
                <w:color w:val="auto"/>
                <w:kern w:val="2"/>
                <w:sz w:val="24"/>
                <w:szCs w:val="24"/>
                <w:lang w:val="en-US" w:eastAsia="zh-CN" w:bidi="ar-SA"/>
              </w:rPr>
            </w:pPr>
          </w:p>
          <w:p>
            <w:pPr>
              <w:pStyle w:val="2"/>
              <w:spacing w:line="360" w:lineRule="auto"/>
              <w:ind w:firstLine="480" w:firstLineChars="200"/>
              <w:rPr>
                <w:rFonts w:hint="eastAsia" w:ascii="Times New Roman" w:hAnsi="Times New Roman" w:cs="Times New Roman"/>
                <w:color w:val="auto"/>
                <w:kern w:val="2"/>
                <w:sz w:val="24"/>
                <w:szCs w:val="24"/>
                <w:lang w:val="en-US" w:eastAsia="zh-CN" w:bidi="ar-SA"/>
              </w:rPr>
            </w:pPr>
          </w:p>
          <w:p>
            <w:pPr>
              <w:pStyle w:val="2"/>
              <w:spacing w:line="360" w:lineRule="auto"/>
              <w:ind w:firstLine="480" w:firstLineChars="200"/>
              <w:rPr>
                <w:rFonts w:hint="eastAsia" w:ascii="Times New Roman" w:hAnsi="Times New Roman" w:cs="Times New Roman"/>
                <w:color w:val="auto"/>
                <w:kern w:val="2"/>
                <w:sz w:val="24"/>
                <w:szCs w:val="24"/>
                <w:lang w:val="en-US" w:eastAsia="zh-CN" w:bidi="ar-SA"/>
              </w:rPr>
            </w:pPr>
          </w:p>
          <w:p>
            <w:pPr>
              <w:pStyle w:val="2"/>
              <w:spacing w:line="360" w:lineRule="auto"/>
              <w:ind w:firstLine="480" w:firstLineChars="200"/>
              <w:rPr>
                <w:rFonts w:hint="eastAsia" w:ascii="Times New Roman" w:hAnsi="Times New Roman" w:cs="Times New Roman"/>
                <w:color w:val="auto"/>
                <w:kern w:val="2"/>
                <w:sz w:val="24"/>
                <w:szCs w:val="24"/>
                <w:lang w:val="en-US" w:eastAsia="zh-CN" w:bidi="ar-SA"/>
              </w:rPr>
            </w:pPr>
          </w:p>
          <w:p>
            <w:pPr>
              <w:pStyle w:val="2"/>
              <w:spacing w:line="360" w:lineRule="auto"/>
              <w:ind w:firstLine="480" w:firstLineChars="200"/>
              <w:rPr>
                <w:rFonts w:hint="eastAsia" w:ascii="Times New Roman" w:hAnsi="Times New Roman" w:cs="Times New Roman"/>
                <w:color w:val="auto"/>
                <w:kern w:val="2"/>
                <w:sz w:val="24"/>
                <w:szCs w:val="24"/>
                <w:lang w:val="en-US" w:eastAsia="zh-CN" w:bidi="ar-SA"/>
              </w:rPr>
            </w:pPr>
          </w:p>
          <w:p>
            <w:pPr>
              <w:pStyle w:val="2"/>
              <w:spacing w:line="360" w:lineRule="auto"/>
              <w:rPr>
                <w:rFonts w:hint="eastAsia" w:ascii="Times New Roman" w:hAnsi="Times New Roman" w:cs="Times New Roman"/>
                <w:color w:val="auto"/>
                <w:kern w:val="2"/>
                <w:sz w:val="24"/>
                <w:szCs w:val="24"/>
                <w:lang w:val="en-US" w:eastAsia="zh-CN" w:bidi="ar-SA"/>
              </w:rPr>
            </w:pPr>
          </w:p>
        </w:tc>
      </w:tr>
    </w:tbl>
    <w:p>
      <w:pPr>
        <w:pStyle w:val="35"/>
        <w:sectPr>
          <w:pgSz w:w="11906" w:h="16838"/>
          <w:pgMar w:top="1701" w:right="1588" w:bottom="1701" w:left="1588" w:header="1134" w:footer="1134" w:gutter="0"/>
          <w:pgBorders>
            <w:top w:val="none" w:sz="0" w:space="0"/>
            <w:left w:val="none" w:sz="0" w:space="0"/>
            <w:bottom w:val="none" w:sz="0" w:space="0"/>
            <w:right w:val="none" w:sz="0" w:space="0"/>
          </w:pgBorders>
          <w:pgNumType w:fmt="numberInDash"/>
          <w:cols w:space="720" w:num="1"/>
          <w:titlePg/>
          <w:docGrid w:linePitch="312" w:charSpace="0"/>
        </w:sectPr>
      </w:pPr>
    </w:p>
    <w:tbl>
      <w:tblPr>
        <w:tblStyle w:val="28"/>
        <w:tblW w:w="88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3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6" w:hRule="atLeast"/>
          <w:jc w:val="center"/>
        </w:trPr>
        <w:tc>
          <w:tcPr>
            <w:tcW w:w="496" w:type="dxa"/>
            <w:noWrap w:val="0"/>
            <w:vAlign w:val="center"/>
          </w:tcPr>
          <w:p>
            <w:pPr>
              <w:adjustRightInd w:val="0"/>
              <w:snapToGrid w:val="0"/>
              <w:jc w:val="center"/>
              <w:rPr>
                <w:kern w:val="0"/>
                <w:szCs w:val="21"/>
                <w:highlight w:val="yellow"/>
              </w:rPr>
            </w:pPr>
            <w:r>
              <w:rPr>
                <w:kern w:val="0"/>
                <w:sz w:val="24"/>
                <w:szCs w:val="24"/>
              </w:rPr>
              <w:t>总</w:t>
            </w:r>
            <w:r>
              <w:rPr>
                <w:rFonts w:ascii="Times New Roman" w:hAnsi="Times New Roman" w:eastAsia="宋体" w:cs="Times New Roman"/>
                <w:kern w:val="0"/>
                <w:sz w:val="24"/>
              </w:rPr>
              <w:t>平面及现场布置</w:t>
            </w:r>
          </w:p>
        </w:tc>
        <w:tc>
          <w:tcPr>
            <w:tcW w:w="8363" w:type="dxa"/>
            <w:noWrap w:val="0"/>
            <w:vAlign w:val="center"/>
          </w:tcPr>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val="en-US" w:eastAsia="zh-CN"/>
              </w:rPr>
              <w:t>本项目主要包括</w:t>
            </w:r>
            <w:r>
              <w:rPr>
                <w:rFonts w:hint="default" w:ascii="Times New Roman" w:hAnsi="Times New Roman" w:eastAsia="宋体" w:cs="Times New Roman"/>
                <w:sz w:val="24"/>
                <w:szCs w:val="24"/>
                <w:lang w:val="en-US" w:eastAsia="zh-CN"/>
              </w:rPr>
              <w:t>露天</w:t>
            </w:r>
            <w:r>
              <w:rPr>
                <w:rFonts w:hint="eastAsia" w:cs="Times New Roman"/>
                <w:sz w:val="24"/>
                <w:szCs w:val="24"/>
                <w:lang w:val="en-US" w:eastAsia="zh-CN"/>
              </w:rPr>
              <w:t>采场</w:t>
            </w:r>
            <w:r>
              <w:rPr>
                <w:rFonts w:hint="default" w:ascii="Times New Roman" w:hAnsi="Times New Roman" w:eastAsia="宋体" w:cs="Times New Roman"/>
                <w:sz w:val="24"/>
                <w:szCs w:val="24"/>
                <w:lang w:val="en-US" w:eastAsia="zh-CN"/>
              </w:rPr>
              <w:t>和工业场地，其平面布置情况如下：</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露天采场</w:t>
            </w:r>
            <w:r>
              <w:rPr>
                <w:rFonts w:hint="default" w:ascii="Times New Roman" w:hAnsi="Times New Roman" w:eastAsia="宋体" w:cs="Times New Roman"/>
                <w:sz w:val="24"/>
                <w:szCs w:val="24"/>
                <w:lang w:val="en-US" w:eastAsia="zh-CN"/>
              </w:rPr>
              <w:t>：</w:t>
            </w:r>
            <w:r>
              <w:rPr>
                <w:rFonts w:hint="eastAsia" w:ascii="Times New Roman" w:hAnsi="Times New Roman" w:cs="Times New Roman"/>
                <w:sz w:val="24"/>
                <w:szCs w:val="24"/>
                <w:lang w:val="en-US" w:eastAsia="zh-CN"/>
              </w:rPr>
              <w:t>根据矿体赋存条件和采场布置</w:t>
            </w:r>
            <w:r>
              <w:rPr>
                <w:rFonts w:hint="eastAsia" w:ascii="Times New Roman" w:hAnsi="Times New Roman" w:eastAsia="宋体" w:cs="Times New Roman"/>
                <w:sz w:val="24"/>
                <w:szCs w:val="24"/>
                <w:lang w:val="en-US" w:eastAsia="zh-CN"/>
              </w:rPr>
              <w:t>，采取自上而下，从上盘向下盘逐台阶开采。</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lang w:val="en-US" w:eastAsia="zh-CN"/>
              </w:rPr>
              <w:t>加工区：工业场地、办公生活区建于露天采区下</w:t>
            </w:r>
            <w:r>
              <w:rPr>
                <w:rFonts w:hint="eastAsia" w:cs="Times New Roman"/>
                <w:sz w:val="24"/>
                <w:szCs w:val="24"/>
                <w:highlight w:val="none"/>
                <w:lang w:val="en-US" w:eastAsia="zh-CN"/>
              </w:rPr>
              <w:t>西侧平地上</w:t>
            </w:r>
            <w:r>
              <w:rPr>
                <w:rFonts w:hint="default" w:ascii="Times New Roman" w:hAnsi="Times New Roman" w:eastAsia="宋体" w:cs="Times New Roman"/>
                <w:sz w:val="24"/>
                <w:szCs w:val="24"/>
                <w:highlight w:val="none"/>
                <w:lang w:val="en-US" w:eastAsia="zh-CN"/>
              </w:rPr>
              <w:t>，距露天采区直线距离约</w:t>
            </w:r>
            <w:r>
              <w:rPr>
                <w:rFonts w:hint="eastAsia" w:cs="Times New Roman"/>
                <w:sz w:val="24"/>
                <w:szCs w:val="24"/>
                <w:highlight w:val="none"/>
                <w:lang w:val="en-US" w:eastAsia="zh-CN"/>
              </w:rPr>
              <w:t>5</w:t>
            </w:r>
            <w:r>
              <w:rPr>
                <w:rFonts w:hint="default" w:ascii="Times New Roman" w:hAnsi="Times New Roman" w:eastAsia="宋体" w:cs="Times New Roman"/>
                <w:sz w:val="24"/>
                <w:szCs w:val="24"/>
                <w:highlight w:val="none"/>
                <w:lang w:val="en-US" w:eastAsia="zh-CN"/>
              </w:rPr>
              <w:t>00m。办公区位于工业场地</w:t>
            </w:r>
            <w:r>
              <w:rPr>
                <w:rFonts w:hint="eastAsia" w:cs="Times New Roman"/>
                <w:sz w:val="24"/>
                <w:szCs w:val="24"/>
                <w:highlight w:val="none"/>
                <w:lang w:val="en-US" w:eastAsia="zh-CN"/>
              </w:rPr>
              <w:t>北</w:t>
            </w:r>
            <w:r>
              <w:rPr>
                <w:rFonts w:hint="default" w:ascii="Times New Roman" w:hAnsi="Times New Roman" w:eastAsia="宋体" w:cs="Times New Roman"/>
                <w:sz w:val="24"/>
                <w:szCs w:val="24"/>
                <w:highlight w:val="none"/>
                <w:lang w:val="en-US" w:eastAsia="zh-CN"/>
              </w:rPr>
              <w:t>侧，</w:t>
            </w:r>
            <w:r>
              <w:rPr>
                <w:rFonts w:hint="eastAsia" w:cs="Times New Roman"/>
                <w:sz w:val="24"/>
                <w:szCs w:val="24"/>
                <w:highlight w:val="none"/>
                <w:lang w:val="en-US" w:eastAsia="zh-CN"/>
              </w:rPr>
              <w:t>砂石料加工</w:t>
            </w:r>
            <w:r>
              <w:rPr>
                <w:rFonts w:hint="default" w:ascii="Times New Roman" w:hAnsi="Times New Roman" w:eastAsia="宋体" w:cs="Times New Roman"/>
                <w:sz w:val="24"/>
                <w:szCs w:val="24"/>
                <w:highlight w:val="none"/>
                <w:lang w:val="en-US" w:eastAsia="zh-CN"/>
              </w:rPr>
              <w:t>区位于南侧，成品堆放区处于洗砂区</w:t>
            </w:r>
            <w:r>
              <w:rPr>
                <w:rFonts w:hint="eastAsia" w:cs="Times New Roman"/>
                <w:sz w:val="24"/>
                <w:szCs w:val="24"/>
                <w:highlight w:val="none"/>
                <w:lang w:val="en-US" w:eastAsia="zh-CN"/>
              </w:rPr>
              <w:t>左侧</w:t>
            </w:r>
            <w:r>
              <w:rPr>
                <w:rFonts w:hint="default" w:ascii="Times New Roman" w:hAnsi="Times New Roman" w:eastAsia="宋体" w:cs="Times New Roman"/>
                <w:sz w:val="24"/>
                <w:szCs w:val="24"/>
                <w:highlight w:val="none"/>
                <w:lang w:val="en-US" w:eastAsia="zh-CN"/>
              </w:rPr>
              <w:t>侧，沉淀池位于生活办公区</w:t>
            </w:r>
            <w:r>
              <w:rPr>
                <w:rFonts w:hint="eastAsia" w:cs="Times New Roman"/>
                <w:sz w:val="24"/>
                <w:szCs w:val="24"/>
                <w:highlight w:val="none"/>
                <w:lang w:val="en-US" w:eastAsia="zh-CN"/>
              </w:rPr>
              <w:t>南</w:t>
            </w:r>
            <w:r>
              <w:rPr>
                <w:rFonts w:hint="default" w:ascii="Times New Roman" w:hAnsi="Times New Roman" w:eastAsia="宋体" w:cs="Times New Roman"/>
                <w:sz w:val="24"/>
                <w:szCs w:val="24"/>
                <w:highlight w:val="none"/>
                <w:lang w:val="en-US" w:eastAsia="zh-CN"/>
              </w:rPr>
              <w:t>侧。</w:t>
            </w:r>
            <w:r>
              <w:rPr>
                <w:rFonts w:hint="default" w:ascii="Times New Roman" w:hAnsi="Times New Roman" w:eastAsia="宋体" w:cs="Times New Roman"/>
                <w:sz w:val="24"/>
                <w:szCs w:val="24"/>
                <w:highlight w:val="none"/>
              </w:rPr>
              <w:t>整个项目的布局，充分合理地利用了整个场地空间，既满足了整个生产工艺的连续与衔接，又保持了物流的顺畅，避免了物流的重迭交叉，缩短了运距，便于“三废”的处理与排放，也便于整体的生产管理，布局较为合理。</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sz w:val="24"/>
              </w:rPr>
            </w:pPr>
            <w:r>
              <w:rPr>
                <w:rFonts w:hint="default" w:ascii="Times New Roman" w:hAnsi="Times New Roman" w:eastAsia="宋体" w:cs="Times New Roman"/>
                <w:sz w:val="24"/>
                <w:szCs w:val="24"/>
              </w:rPr>
              <w:t>具体平面布置图见图</w:t>
            </w:r>
            <w:r>
              <w:rPr>
                <w:rFonts w:hint="eastAsia" w:cs="Times New Roman"/>
                <w:sz w:val="24"/>
                <w:szCs w:val="24"/>
                <w:lang w:val="en-US" w:eastAsia="zh-CN"/>
              </w:rPr>
              <w:t>2</w:t>
            </w:r>
            <w:r>
              <w:rPr>
                <w:rFonts w:hint="default" w:ascii="Times New Roman" w:hAnsi="Times New Roman" w:eastAsia="宋体" w:cs="Times New Roman"/>
                <w:sz w:val="24"/>
                <w:szCs w:val="24"/>
              </w:rPr>
              <w:t>-</w:t>
            </w:r>
            <w:r>
              <w:rPr>
                <w:rFonts w:hint="eastAsia" w:cs="Times New Roman"/>
                <w:sz w:val="24"/>
                <w:szCs w:val="24"/>
                <w:lang w:val="en-US" w:eastAsia="zh-CN"/>
              </w:rPr>
              <w:t>3</w:t>
            </w:r>
            <w:r>
              <w:rPr>
                <w:rFonts w:hint="default" w:ascii="Times New Roman" w:hAnsi="Times New Roman" w:eastAsia="宋体"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96" w:type="dxa"/>
            <w:noWrap w:val="0"/>
            <w:vAlign w:val="center"/>
          </w:tcPr>
          <w:p>
            <w:pPr>
              <w:adjustRightInd w:val="0"/>
              <w:snapToGrid w:val="0"/>
              <w:jc w:val="center"/>
              <w:rPr>
                <w:kern w:val="0"/>
                <w:sz w:val="24"/>
              </w:rPr>
            </w:pPr>
            <w:r>
              <w:rPr>
                <w:kern w:val="0"/>
                <w:sz w:val="24"/>
              </w:rPr>
              <w:t>施工方案</w:t>
            </w:r>
          </w:p>
        </w:tc>
        <w:tc>
          <w:tcPr>
            <w:tcW w:w="8363" w:type="dxa"/>
            <w:noWrap w:val="0"/>
            <w:vAlign w:val="center"/>
          </w:tcPr>
          <w:p>
            <w:pPr>
              <w:pStyle w:val="87"/>
              <w:shd w:val="clear" w:color="auto" w:fill="FFFFFF"/>
              <w:adjustRightInd w:val="0"/>
              <w:snapToGrid w:val="0"/>
              <w:spacing w:before="0" w:beforeAutospacing="0" w:after="0" w:afterAutospacing="0" w:line="360" w:lineRule="auto"/>
              <w:rPr>
                <w:rFonts w:hint="eastAsia" w:cs="Times New Roman"/>
                <w:color w:val="000000"/>
                <w:kern w:val="2"/>
              </w:rPr>
            </w:pPr>
            <w:bookmarkStart w:id="22" w:name="_Toc518399854"/>
            <w:bookmarkEnd w:id="22"/>
          </w:p>
          <w:p>
            <w:pPr>
              <w:adjustRightInd w:val="0"/>
              <w:snapToGrid w:val="0"/>
              <w:spacing w:line="360" w:lineRule="auto"/>
              <w:ind w:firstLine="480" w:firstLineChars="200"/>
              <w:rPr>
                <w:color w:val="auto"/>
                <w:sz w:val="24"/>
                <w:highlight w:val="none"/>
              </w:rPr>
            </w:pPr>
            <w:r>
              <w:rPr>
                <w:rFonts w:hint="eastAsia"/>
                <w:color w:val="auto"/>
                <w:sz w:val="24"/>
                <w:highlight w:val="none"/>
              </w:rPr>
              <w:t>本项目根据主体的安装需求进行建构筑物的建设，</w:t>
            </w:r>
            <w:r>
              <w:rPr>
                <w:color w:val="auto"/>
                <w:sz w:val="24"/>
                <w:highlight w:val="none"/>
              </w:rPr>
              <w:t>具体施工流程见图</w:t>
            </w:r>
            <w:r>
              <w:rPr>
                <w:rFonts w:hint="eastAsia"/>
                <w:color w:val="auto"/>
                <w:sz w:val="24"/>
                <w:highlight w:val="none"/>
                <w:lang w:val="en-US" w:eastAsia="zh-CN"/>
              </w:rPr>
              <w:t>2-4</w:t>
            </w:r>
            <w:r>
              <w:rPr>
                <w:color w:val="auto"/>
                <w:sz w:val="24"/>
                <w:highlight w:val="none"/>
              </w:rPr>
              <w:t>。</w:t>
            </w:r>
          </w:p>
          <w:p>
            <w:pPr>
              <w:pStyle w:val="87"/>
              <w:shd w:val="clear" w:color="auto" w:fill="FFFFFF"/>
              <w:adjustRightInd w:val="0"/>
              <w:snapToGrid w:val="0"/>
              <w:spacing w:before="0" w:beforeAutospacing="0" w:after="0" w:afterAutospacing="0" w:line="360" w:lineRule="auto"/>
              <w:rPr>
                <w:rFonts w:hint="eastAsia" w:ascii="Times New Roman" w:hAnsi="Times New Roman" w:eastAsia="宋体" w:cs="Times New Roman"/>
                <w:kern w:val="2"/>
                <w:highlight w:val="none"/>
                <w:lang w:eastAsia="zh-CN"/>
              </w:rPr>
            </w:pPr>
            <w:r>
              <w:rPr>
                <w:color w:val="auto"/>
                <w:highlight w:val="none"/>
              </w:rPr>
              <w:object>
                <v:shape id="_x0000_i1025" o:spt="75" type="#_x0000_t75" style="height:75.1pt;width:380pt;" o:ole="t" filled="f" o:preferrelative="t" stroked="f" coordsize="21600,21600">
                  <v:path/>
                  <v:fill on="f" focussize="0,0"/>
                  <v:stroke on="f"/>
                  <v:imagedata r:id="rId10" o:title=""/>
                  <o:lock v:ext="edit" aspectratio="t"/>
                  <w10:wrap type="none"/>
                  <w10:anchorlock/>
                </v:shape>
                <o:OLEObject Type="Embed" ProgID="Visio.Drawing.11" ShapeID="_x0000_i1025" DrawAspect="Content" ObjectID="_1468075725" r:id="rId9">
                  <o:LockedField>false</o:LockedField>
                </o:OLEObject>
              </w:object>
            </w:r>
          </w:p>
          <w:p>
            <w:pPr>
              <w:pStyle w:val="87"/>
              <w:shd w:val="clear" w:color="auto" w:fill="FFFFFF"/>
              <w:adjustRightInd w:val="0"/>
              <w:snapToGrid w:val="0"/>
              <w:spacing w:before="0" w:beforeAutospacing="0" w:after="0" w:afterAutospacing="0" w:line="360" w:lineRule="auto"/>
              <w:jc w:val="center"/>
              <w:rPr>
                <w:rFonts w:hint="eastAsia"/>
                <w:color w:val="auto"/>
                <w:sz w:val="24"/>
                <w:highlight w:val="none"/>
                <w:lang w:val="en-US" w:eastAsia="zh-CN"/>
              </w:rPr>
            </w:pPr>
            <w:r>
              <w:rPr>
                <w:b/>
                <w:bCs/>
                <w:color w:val="auto"/>
                <w:sz w:val="24"/>
                <w:highlight w:val="none"/>
              </w:rPr>
              <w:t>图</w:t>
            </w:r>
            <w:r>
              <w:rPr>
                <w:rFonts w:hint="eastAsia"/>
                <w:b/>
                <w:bCs/>
                <w:color w:val="auto"/>
                <w:sz w:val="24"/>
                <w:highlight w:val="none"/>
                <w:lang w:val="en-US" w:eastAsia="zh-CN"/>
              </w:rPr>
              <w:t xml:space="preserve">2-4   </w:t>
            </w:r>
            <w:r>
              <w:rPr>
                <w:b/>
                <w:bCs/>
                <w:color w:val="auto"/>
                <w:sz w:val="24"/>
                <w:highlight w:val="none"/>
              </w:rPr>
              <w:t>施工流程见图</w:t>
            </w:r>
          </w:p>
          <w:p>
            <w:pPr>
              <w:pStyle w:val="87"/>
              <w:shd w:val="clear" w:color="auto" w:fill="FFFFFF"/>
              <w:adjustRightInd w:val="0"/>
              <w:snapToGrid w:val="0"/>
              <w:spacing w:before="0" w:beforeAutospacing="0" w:after="0" w:afterAutospacing="0" w:line="360" w:lineRule="auto"/>
              <w:ind w:firstLine="480" w:firstLineChars="200"/>
              <w:rPr>
                <w:rFonts w:hint="eastAsia" w:ascii="Times New Roman" w:hAnsi="Times New Roman" w:cs="Times New Roman"/>
                <w:kern w:val="2"/>
                <w:highlight w:val="none"/>
                <w:lang w:val="en-US" w:eastAsia="zh-CN"/>
              </w:rPr>
            </w:pPr>
            <w:r>
              <w:rPr>
                <w:rFonts w:hint="eastAsia" w:ascii="Times New Roman" w:hAnsi="Times New Roman" w:cs="Times New Roman"/>
                <w:kern w:val="2"/>
                <w:highlight w:val="none"/>
                <w:lang w:val="en-US" w:eastAsia="zh-CN"/>
              </w:rPr>
              <w:t>施工总工期1年，计划从2022.4月至2023.4月。</w:t>
            </w:r>
          </w:p>
          <w:p>
            <w:pPr>
              <w:pStyle w:val="87"/>
              <w:shd w:val="clear" w:color="auto" w:fill="FFFFFF"/>
              <w:adjustRightInd w:val="0"/>
              <w:snapToGrid w:val="0"/>
              <w:spacing w:before="0" w:beforeAutospacing="0" w:after="0" w:afterAutospacing="0" w:line="360" w:lineRule="auto"/>
              <w:rPr>
                <w:rFonts w:hint="eastAsia" w:ascii="Times New Roman" w:hAnsi="Times New Roman" w:eastAsia="宋体" w:cs="Times New Roman"/>
                <w:kern w:val="2"/>
                <w:highlight w:val="yellow"/>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496" w:type="dxa"/>
            <w:noWrap w:val="0"/>
            <w:vAlign w:val="center"/>
          </w:tcPr>
          <w:p>
            <w:pPr>
              <w:adjustRightInd w:val="0"/>
              <w:snapToGrid w:val="0"/>
              <w:jc w:val="center"/>
              <w:rPr>
                <w:kern w:val="0"/>
                <w:sz w:val="24"/>
              </w:rPr>
            </w:pPr>
            <w:r>
              <w:rPr>
                <w:kern w:val="0"/>
                <w:sz w:val="24"/>
              </w:rPr>
              <w:t>其他</w:t>
            </w:r>
          </w:p>
        </w:tc>
        <w:tc>
          <w:tcPr>
            <w:tcW w:w="8363" w:type="dxa"/>
            <w:noWrap w:val="0"/>
            <w:vAlign w:val="bottom"/>
          </w:tcPr>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0" w:firstLineChars="0"/>
              <w:jc w:val="center"/>
              <w:textAlignment w:val="auto"/>
              <w:rPr>
                <w:rFonts w:hint="eastAsia"/>
                <w:color w:val="000000"/>
                <w:lang w:eastAsia="zh-CN"/>
              </w:rPr>
            </w:pP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0" w:firstLineChars="0"/>
              <w:jc w:val="center"/>
              <w:textAlignment w:val="auto"/>
              <w:rPr>
                <w:rFonts w:hint="eastAsia"/>
                <w:color w:val="000000"/>
                <w:lang w:eastAsia="zh-CN"/>
              </w:rPr>
            </w:pP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0" w:firstLineChars="0"/>
              <w:jc w:val="center"/>
              <w:textAlignment w:val="auto"/>
              <w:rPr>
                <w:rFonts w:hint="eastAsia"/>
                <w:color w:val="000000"/>
                <w:lang w:eastAsia="zh-CN"/>
              </w:rPr>
            </w:pP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0" w:firstLineChars="0"/>
              <w:jc w:val="center"/>
              <w:textAlignment w:val="auto"/>
              <w:rPr>
                <w:rFonts w:hint="eastAsia"/>
                <w:color w:val="000000"/>
                <w:lang w:eastAsia="zh-CN"/>
              </w:rPr>
            </w:pP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0" w:firstLineChars="0"/>
              <w:jc w:val="center"/>
              <w:textAlignment w:val="auto"/>
              <w:rPr>
                <w:rFonts w:hint="eastAsia" w:eastAsia="宋体"/>
                <w:color w:val="000000"/>
                <w:lang w:eastAsia="zh-CN"/>
              </w:rPr>
            </w:pPr>
            <w:r>
              <w:rPr>
                <w:rFonts w:hint="eastAsia"/>
                <w:color w:val="000000"/>
                <w:lang w:eastAsia="zh-CN"/>
              </w:rPr>
              <w:t>无</w:t>
            </w:r>
          </w:p>
          <w:p>
            <w:pPr>
              <w:rPr>
                <w:rFonts w:hint="eastAsia"/>
                <w:lang w:eastAsia="zh-CN"/>
              </w:rPr>
            </w:pPr>
          </w:p>
          <w:p>
            <w:pPr>
              <w:adjustRightInd w:val="0"/>
              <w:snapToGrid w:val="0"/>
              <w:spacing w:line="360" w:lineRule="auto"/>
              <w:jc w:val="center"/>
              <w:rPr>
                <w:rFonts w:hint="eastAsia"/>
                <w:kern w:val="0"/>
                <w:szCs w:val="21"/>
              </w:rPr>
            </w:pPr>
          </w:p>
          <w:p>
            <w:pPr>
              <w:pStyle w:val="35"/>
              <w:rPr>
                <w:rFonts w:hint="eastAsia"/>
              </w:rPr>
            </w:pPr>
          </w:p>
          <w:p>
            <w:pPr>
              <w:adjustRightInd w:val="0"/>
              <w:snapToGrid w:val="0"/>
              <w:spacing w:line="360" w:lineRule="auto"/>
              <w:jc w:val="both"/>
              <w:rPr>
                <w:kern w:val="0"/>
                <w:szCs w:val="21"/>
              </w:rPr>
            </w:pPr>
          </w:p>
        </w:tc>
      </w:tr>
    </w:tbl>
    <w:p>
      <w:pPr>
        <w:pStyle w:val="25"/>
        <w:adjustRightInd w:val="0"/>
        <w:snapToGrid w:val="0"/>
        <w:spacing w:before="120" w:beforeLines="50" w:beforeAutospacing="0" w:after="0" w:afterAutospacing="0" w:line="360" w:lineRule="auto"/>
        <w:jc w:val="both"/>
        <w:outlineLvl w:val="0"/>
        <w:rPr>
          <w:rFonts w:ascii="Times New Roman" w:hAnsi="Times New Roman" w:eastAsia="黑体"/>
          <w:snapToGrid w:val="0"/>
          <w:sz w:val="30"/>
          <w:szCs w:val="30"/>
        </w:rPr>
      </w:pPr>
      <w:r>
        <w:rPr>
          <w:rFonts w:ascii="Times New Roman" w:hAnsi="Times New Roman" w:eastAsia="仿宋_GB2312"/>
          <w:b/>
          <w:bCs/>
          <w:highlight w:val="yellow"/>
        </w:rPr>
        <w:br w:type="page"/>
      </w:r>
      <w:bookmarkStart w:id="23" w:name="_Toc7327"/>
      <w:bookmarkStart w:id="24" w:name="_Toc866"/>
      <w:r>
        <w:rPr>
          <w:rFonts w:hint="eastAsia" w:ascii="Times New Roman" w:hAnsi="Times New Roman" w:eastAsia="黑体" w:cs="Times New Roman"/>
          <w:snapToGrid w:val="0"/>
          <w:sz w:val="30"/>
          <w:szCs w:val="30"/>
          <w:lang w:val="en-US" w:eastAsia="zh-CN"/>
        </w:rPr>
        <w:t>三、</w:t>
      </w:r>
      <w:r>
        <w:rPr>
          <w:rFonts w:hint="default" w:ascii="Times New Roman" w:hAnsi="Times New Roman" w:eastAsia="黑体" w:cs="Times New Roman"/>
          <w:snapToGrid w:val="0"/>
          <w:sz w:val="30"/>
          <w:szCs w:val="30"/>
        </w:rPr>
        <w:t>生态环境现状、保护目标及评价标准</w:t>
      </w:r>
      <w:bookmarkEnd w:id="23"/>
    </w:p>
    <w:tbl>
      <w:tblPr>
        <w:tblStyle w:val="28"/>
        <w:tblW w:w="889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0"/>
        <w:gridCol w:w="82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650" w:type="dxa"/>
            <w:noWrap w:val="0"/>
            <w:vAlign w:val="center"/>
          </w:tcPr>
          <w:p>
            <w:pPr>
              <w:adjustRightInd w:val="0"/>
              <w:snapToGrid w:val="0"/>
              <w:jc w:val="center"/>
              <w:rPr>
                <w:kern w:val="0"/>
                <w:sz w:val="24"/>
              </w:rPr>
            </w:pPr>
            <w:r>
              <w:rPr>
                <w:kern w:val="0"/>
                <w:sz w:val="24"/>
              </w:rPr>
              <w:t>生态环境现状</w:t>
            </w:r>
          </w:p>
        </w:tc>
        <w:tc>
          <w:tcPr>
            <w:tcW w:w="8243" w:type="dxa"/>
            <w:noWrap w:val="0"/>
            <w:vAlign w:val="center"/>
          </w:tcPr>
          <w:p>
            <w:pPr>
              <w:adjustRightInd w:val="0"/>
              <w:snapToGrid w:val="0"/>
              <w:spacing w:line="360" w:lineRule="auto"/>
              <w:rPr>
                <w:b/>
                <w:sz w:val="24"/>
              </w:rPr>
            </w:pPr>
            <w:r>
              <w:rPr>
                <w:b/>
                <w:sz w:val="24"/>
              </w:rPr>
              <w:t>1</w:t>
            </w:r>
            <w:r>
              <w:rPr>
                <w:rFonts w:hint="eastAsia"/>
                <w:b/>
                <w:sz w:val="24"/>
              </w:rPr>
              <w:t>.</w:t>
            </w:r>
            <w:r>
              <w:rPr>
                <w:rFonts w:hint="eastAsia" w:hAnsi="宋体"/>
                <w:b/>
                <w:sz w:val="24"/>
                <w:lang w:val="en-US" w:eastAsia="zh-CN"/>
              </w:rPr>
              <w:t>主体</w:t>
            </w:r>
            <w:r>
              <w:rPr>
                <w:rFonts w:hAnsi="宋体"/>
                <w:b/>
                <w:sz w:val="24"/>
              </w:rPr>
              <w:t>功能区划</w:t>
            </w:r>
          </w:p>
          <w:p>
            <w:pPr>
              <w:adjustRightInd w:val="0"/>
              <w:snapToGrid w:val="0"/>
              <w:spacing w:line="360" w:lineRule="auto"/>
              <w:ind w:firstLine="480" w:firstLineChars="200"/>
              <w:rPr>
                <w:sz w:val="24"/>
              </w:rPr>
            </w:pPr>
            <w:r>
              <w:rPr>
                <w:rFonts w:hint="eastAsia"/>
                <w:sz w:val="24"/>
              </w:rPr>
              <w:t>⑴</w:t>
            </w:r>
            <w:r>
              <w:rPr>
                <w:rFonts w:ascii="宋体" w:hAnsi="宋体"/>
                <w:sz w:val="24"/>
              </w:rPr>
              <w:t>大气环境</w:t>
            </w:r>
            <w:r>
              <w:rPr>
                <w:rFonts w:hint="eastAsia" w:ascii="宋体" w:hAnsi="宋体"/>
                <w:sz w:val="24"/>
              </w:rPr>
              <w:t>：</w:t>
            </w:r>
            <w:r>
              <w:rPr>
                <w:rFonts w:hint="default" w:ascii="Times New Roman" w:hAnsi="Times New Roman" w:cs="Times New Roman"/>
                <w:sz w:val="24"/>
              </w:rPr>
              <w:t>本项目位于</w:t>
            </w:r>
            <w:r>
              <w:rPr>
                <w:rFonts w:hint="eastAsia" w:ascii="Times New Roman" w:hAnsi="Times New Roman" w:cs="Times New Roman"/>
                <w:sz w:val="24"/>
                <w:szCs w:val="24"/>
                <w:lang w:val="en-US" w:eastAsia="zh-CN"/>
              </w:rPr>
              <w:t>东乡县达板镇舀水村</w:t>
            </w:r>
            <w:r>
              <w:rPr>
                <w:rFonts w:hint="default" w:ascii="Times New Roman" w:hAnsi="Times New Roman" w:cs="Times New Roman"/>
                <w:sz w:val="24"/>
              </w:rPr>
              <w:t>，依据《环境空气质量标准》（GB3095-2012）中环境空气质量功能区的分类界定，项目区环境空气质量功能按二类区要求。</w:t>
            </w:r>
          </w:p>
          <w:p>
            <w:pPr>
              <w:adjustRightInd w:val="0"/>
              <w:snapToGrid w:val="0"/>
              <w:spacing w:line="360" w:lineRule="auto"/>
              <w:ind w:firstLine="480" w:firstLineChars="200"/>
              <w:rPr>
                <w:sz w:val="24"/>
              </w:rPr>
            </w:pPr>
            <w:r>
              <w:rPr>
                <w:rFonts w:hint="eastAsia"/>
                <w:sz w:val="24"/>
              </w:rPr>
              <w:t>⑵</w:t>
            </w:r>
            <w:r>
              <w:rPr>
                <w:rFonts w:hint="eastAsia" w:ascii="宋体" w:hAnsi="宋体"/>
                <w:sz w:val="24"/>
              </w:rPr>
              <w:t>地表</w:t>
            </w:r>
            <w:r>
              <w:rPr>
                <w:rFonts w:ascii="宋体" w:hAnsi="宋体"/>
                <w:sz w:val="24"/>
              </w:rPr>
              <w:t>水环境</w:t>
            </w:r>
            <w:r>
              <w:rPr>
                <w:rFonts w:hint="eastAsia" w:ascii="宋体" w:hAnsi="宋体"/>
                <w:sz w:val="24"/>
              </w:rPr>
              <w:t>：</w:t>
            </w:r>
            <w:r>
              <w:rPr>
                <w:sz w:val="24"/>
              </w:rPr>
              <w:t>项目用地范围内无地表水，厂区内废水不外排。</w:t>
            </w:r>
          </w:p>
          <w:p>
            <w:pPr>
              <w:adjustRightInd w:val="0"/>
              <w:snapToGrid w:val="0"/>
              <w:spacing w:line="360" w:lineRule="auto"/>
              <w:ind w:firstLine="480" w:firstLineChars="200"/>
              <w:rPr>
                <w:sz w:val="24"/>
              </w:rPr>
            </w:pPr>
            <w:r>
              <w:rPr>
                <w:rFonts w:hint="eastAsia"/>
                <w:sz w:val="24"/>
              </w:rPr>
              <w:t>⑶</w:t>
            </w:r>
            <w:r>
              <w:rPr>
                <w:rFonts w:ascii="宋体" w:hAnsi="宋体"/>
                <w:sz w:val="24"/>
              </w:rPr>
              <w:t>声环境</w:t>
            </w:r>
            <w:r>
              <w:rPr>
                <w:rFonts w:hint="eastAsia" w:ascii="宋体" w:hAnsi="宋体"/>
                <w:sz w:val="24"/>
              </w:rPr>
              <w:t>：</w:t>
            </w:r>
            <w:r>
              <w:rPr>
                <w:sz w:val="24"/>
              </w:rPr>
              <w:t>项目位于农村地区，根据《声环境质量标准》（GB3096-2008）声环境功能区分类，属于2类声环境功能区，执行《声环境质量标准》（GB3096-2008）2类区限值标准。</w:t>
            </w:r>
          </w:p>
          <w:p>
            <w:pPr>
              <w:adjustRightInd w:val="0"/>
              <w:snapToGrid w:val="0"/>
              <w:spacing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sz w:val="24"/>
              </w:rPr>
              <w:t>⑷</w:t>
            </w:r>
            <w:r>
              <w:rPr>
                <w:rFonts w:ascii="宋体" w:hAnsi="宋体"/>
                <w:sz w:val="24"/>
              </w:rPr>
              <w:t>生态环境</w:t>
            </w:r>
            <w:r>
              <w:rPr>
                <w:rFonts w:hint="eastAsia" w:ascii="宋体" w:hAnsi="宋体"/>
                <w:sz w:val="24"/>
              </w:rPr>
              <w:t>：</w:t>
            </w:r>
            <w:r>
              <w:rPr>
                <w:rFonts w:ascii="Times New Roman" w:hAnsi="Times New Roman" w:eastAsia="宋体" w:cs="Times New Roman"/>
                <w:sz w:val="24"/>
              </w:rPr>
              <w:t>根据《甘</w:t>
            </w:r>
            <w:r>
              <w:rPr>
                <w:rFonts w:ascii="Times New Roman" w:hAnsi="Times New Roman" w:eastAsia="宋体" w:cs="Times New Roman"/>
                <w:color w:val="000000" w:themeColor="text1"/>
                <w:sz w:val="24"/>
                <w14:textFill>
                  <w14:solidFill>
                    <w14:schemeClr w14:val="tx1"/>
                  </w14:solidFill>
                </w14:textFill>
              </w:rPr>
              <w:t>肃省生态功能区划》，</w:t>
            </w:r>
            <w:r>
              <w:rPr>
                <w:rFonts w:ascii="Times New Roman" w:hAnsi="Times New Roman" w:cs="Times New Roman"/>
                <w:color w:val="000000" w:themeColor="text1"/>
                <w:sz w:val="24"/>
                <w14:textFill>
                  <w14:solidFill>
                    <w14:schemeClr w14:val="tx1"/>
                  </w14:solidFill>
                </w14:textFill>
              </w:rPr>
              <w:t>本项目</w:t>
            </w:r>
            <w:r>
              <w:rPr>
                <w:rFonts w:hint="eastAsia" w:ascii="Times New Roman" w:hAnsi="Times New Roman" w:cs="Times New Roman"/>
                <w:color w:val="000000" w:themeColor="text1"/>
                <w:sz w:val="24"/>
                <w:lang w:eastAsia="zh-CN"/>
                <w14:textFill>
                  <w14:solidFill>
                    <w14:schemeClr w14:val="tx1"/>
                  </w14:solidFill>
                </w14:textFill>
              </w:rPr>
              <w:t>属</w:t>
            </w:r>
            <w:r>
              <w:rPr>
                <w:rFonts w:ascii="Times New Roman" w:hAnsi="Times New Roman" w:cs="Times New Roman"/>
                <w:color w:val="000000" w:themeColor="text1"/>
                <w:sz w:val="24"/>
                <w14:textFill>
                  <w14:solidFill>
                    <w14:schemeClr w14:val="tx1"/>
                  </w14:solidFill>
                </w14:textFill>
              </w:rPr>
              <w:t>于</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黄土高原农业生态区—陇中中部黄土丘陵农业生态亚区—西部黄土丘陵草原农田及水土保持功能区</w:t>
            </w:r>
            <w:r>
              <w:rPr>
                <w:rFonts w:hint="eastAsia" w:ascii="Times New Roman" w:hAnsi="Times New Roman" w:cs="Times New Roman"/>
                <w:color w:val="000000" w:themeColor="text1"/>
                <w:sz w:val="24"/>
                <w:lang w:eastAsia="zh-CN"/>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。本项目在甘肃省生态功能区</w:t>
            </w:r>
            <w:r>
              <w:rPr>
                <w:rFonts w:ascii="Times New Roman" w:hAnsi="Times New Roman" w:eastAsia="宋体" w:cs="Times New Roman"/>
                <w:color w:val="000000" w:themeColor="text1"/>
                <w:sz w:val="24"/>
                <w14:textFill>
                  <w14:solidFill>
                    <w14:schemeClr w14:val="tx1"/>
                  </w14:solidFill>
                </w14:textFill>
              </w:rPr>
              <w:t>划图中的位</w:t>
            </w:r>
            <w:r>
              <w:rPr>
                <w:rFonts w:ascii="Times New Roman" w:hAnsi="Times New Roman" w:eastAsia="宋体" w:cs="Times New Roman"/>
                <w:color w:val="000000" w:themeColor="text1"/>
                <w:sz w:val="24"/>
                <w:highlight w:val="none"/>
                <w14:textFill>
                  <w14:solidFill>
                    <w14:schemeClr w14:val="tx1"/>
                  </w14:solidFill>
                </w14:textFill>
              </w:rPr>
              <w:t>置见图</w:t>
            </w:r>
            <w:r>
              <w:rPr>
                <w:rFonts w:hint="eastAsia" w:cs="Times New Roman"/>
                <w:color w:val="000000" w:themeColor="text1"/>
                <w:sz w:val="24"/>
                <w:highlight w:val="none"/>
                <w:lang w:val="en-US" w:eastAsia="zh-CN"/>
                <w14:textFill>
                  <w14:solidFill>
                    <w14:schemeClr w14:val="tx1"/>
                  </w14:solidFill>
                </w14:textFill>
              </w:rPr>
              <w:t>3-1</w:t>
            </w:r>
            <w:r>
              <w:rPr>
                <w:rFonts w:ascii="Times New Roman" w:hAnsi="Times New Roman" w:eastAsia="宋体" w:cs="Times New Roman"/>
                <w:color w:val="000000" w:themeColor="text1"/>
                <w:sz w:val="24"/>
                <w:highlight w:val="none"/>
                <w14:textFill>
                  <w14:solidFill>
                    <w14:schemeClr w14:val="tx1"/>
                  </w14:solidFill>
                </w14:textFill>
              </w:rPr>
              <w:t>。</w:t>
            </w:r>
          </w:p>
          <w:p>
            <w:pPr>
              <w:adjustRightInd w:val="0"/>
              <w:snapToGrid w:val="0"/>
              <w:spacing w:line="360" w:lineRule="auto"/>
              <w:rPr>
                <w:rFonts w:hint="eastAsia"/>
                <w:b/>
                <w:color w:val="000000" w:themeColor="text1"/>
                <w:sz w:val="24"/>
                <w:lang w:val="en-US" w:eastAsia="zh-CN"/>
                <w14:textFill>
                  <w14:solidFill>
                    <w14:schemeClr w14:val="tx1"/>
                  </w14:solidFill>
                </w14:textFill>
              </w:rPr>
            </w:pPr>
            <w:r>
              <w:rPr>
                <w:rFonts w:hint="eastAsia" w:cs="Times New Roman"/>
                <w:b/>
                <w:bCs/>
                <w:color w:val="000000" w:themeColor="text1"/>
                <w:sz w:val="24"/>
                <w:lang w:val="en-US" w:eastAsia="zh-CN"/>
                <w14:textFill>
                  <w14:solidFill>
                    <w14:schemeClr w14:val="tx1"/>
                  </w14:solidFill>
                </w14:textFill>
              </w:rPr>
              <w:t>2.</w:t>
            </w:r>
            <w:r>
              <w:rPr>
                <w:rFonts w:hint="eastAsia"/>
                <w:b/>
                <w:bCs/>
                <w:color w:val="000000" w:themeColor="text1"/>
                <w:sz w:val="24"/>
                <w:lang w:val="en-US" w:eastAsia="zh-CN"/>
                <w14:textFill>
                  <w14:solidFill>
                    <w14:schemeClr w14:val="tx1"/>
                  </w14:solidFill>
                </w14:textFill>
              </w:rPr>
              <w:t>生</w:t>
            </w:r>
            <w:r>
              <w:rPr>
                <w:rFonts w:hint="eastAsia"/>
                <w:b/>
                <w:color w:val="000000" w:themeColor="text1"/>
                <w:sz w:val="24"/>
                <w:lang w:val="en-US" w:eastAsia="zh-CN"/>
                <w14:textFill>
                  <w14:solidFill>
                    <w14:schemeClr w14:val="tx1"/>
                  </w14:solidFill>
                </w14:textFill>
              </w:rPr>
              <w:t>态现状调查方法</w:t>
            </w:r>
          </w:p>
          <w:p>
            <w:pPr>
              <w:adjustRightInd w:val="0"/>
              <w:snapToGrid w:val="0"/>
              <w:spacing w:line="360" w:lineRule="auto"/>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通过了解项目区生态环境现状，把握项目区生态特点和生态保护关键因素，同时为生态影响评价提供基础数据。本报告采用资料收集、遥感调查与现场勘查相结合的调查方法。</w:t>
            </w:r>
          </w:p>
          <w:p>
            <w:pPr>
              <w:adjustRightInd w:val="0"/>
              <w:snapToGrid w:val="0"/>
              <w:spacing w:line="360" w:lineRule="auto"/>
              <w:ind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lang w:val="en-US" w:eastAsia="zh-CN"/>
                <w14:textFill>
                  <w14:solidFill>
                    <w14:schemeClr w14:val="tx1"/>
                  </w14:solidFill>
                </w14:textFill>
              </w:rPr>
              <w:t>资料收集法</w:t>
            </w:r>
          </w:p>
          <w:p>
            <w:pPr>
              <w:adjustRightInd w:val="0"/>
              <w:snapToGrid w:val="0"/>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收集项目区相关资料。</w:t>
            </w:r>
          </w:p>
          <w:p>
            <w:pPr>
              <w:numPr>
                <w:ilvl w:val="0"/>
                <w:numId w:val="0"/>
              </w:numPr>
              <w:adjustRightInd w:val="0"/>
              <w:snapToGrid w:val="0"/>
              <w:spacing w:line="360" w:lineRule="auto"/>
              <w:ind w:leftChars="0" w:firstLine="480" w:firstLineChars="20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lang w:val="en-US" w:eastAsia="zh-CN"/>
                <w14:textFill>
                  <w14:solidFill>
                    <w14:schemeClr w14:val="tx1"/>
                  </w14:solidFill>
                </w14:textFill>
              </w:rPr>
              <w:t>遥感调查法</w:t>
            </w:r>
          </w:p>
          <w:p>
            <w:pPr>
              <w:numPr>
                <w:ilvl w:val="0"/>
                <w:numId w:val="0"/>
              </w:numPr>
              <w:adjustRightInd w:val="0"/>
              <w:snapToGrid w:val="0"/>
              <w:spacing w:line="360" w:lineRule="auto"/>
              <w:ind w:firstLine="480" w:firstLineChars="200"/>
              <w:rPr>
                <w:rFonts w:hint="default" w:ascii="Times New Roman" w:hAnsi="Times New Roman" w:eastAsia="宋体" w:cs="Times New Roman"/>
                <w:color w:val="000000" w:themeColor="text1"/>
                <w:spacing w:val="0"/>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遥感制图系列图件中的土地利用现状图、植被覆盖度图、土壤侵蚀度图等图件是在对评价区进行野外调查和多源遥感数据室内解译的基础上完成的。以遥感图像处理软件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ERDAS</w:t>
            </w:r>
            <w:r>
              <w:rPr>
                <w:rFonts w:hint="default" w:ascii="Times New Roman" w:hAnsi="Times New Roman" w:eastAsia="宋体" w:cs="Times New Roman"/>
                <w:color w:val="000000" w:themeColor="text1"/>
                <w:sz w:val="24"/>
                <w:szCs w:val="24"/>
                <w14:textFill>
                  <w14:solidFill>
                    <w14:schemeClr w14:val="tx1"/>
                  </w14:solidFill>
                </w14:textFill>
              </w:rPr>
              <w:t xml:space="preserve">与地理信息系统软件 为作业平台，以 </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2021</w:t>
            </w:r>
            <w:r>
              <w:rPr>
                <w:rFonts w:hint="default" w:ascii="Times New Roman" w:hAnsi="Times New Roman" w:eastAsia="宋体" w:cs="Times New Roman"/>
                <w:color w:val="000000" w:themeColor="text1"/>
                <w:sz w:val="24"/>
                <w:szCs w:val="24"/>
                <w14:textFill>
                  <w14:solidFill>
                    <w14:schemeClr w14:val="tx1"/>
                  </w14:solidFill>
                </w14:textFill>
              </w:rPr>
              <w:t>年 5 月的资源三号（ZY-3）影像像数据作为基本信息源，同时参考相关文献资料，采用室内解译并结合野外详细调查的方法，最终完成本系列图件并打印输出。其中，土地利用现状采用国家标准《土地利用现状分类》（GB/T21010-2017）进行分类，植被覆盖度采用归一化植被指数 NDVI 及目视解译进行统计分析，土壤侵蚀参照《全国土壤侵蚀遥感调查技术规程》的土壤侵蚀类型与强度的分类分级。</w:t>
            </w:r>
          </w:p>
          <w:p>
            <w:pPr>
              <w:widowControl w:val="0"/>
              <w:numPr>
                <w:ilvl w:val="0"/>
                <w:numId w:val="5"/>
              </w:numPr>
              <w:autoSpaceDE w:val="0"/>
              <w:autoSpaceDN w:val="0"/>
              <w:adjustRightInd w:val="0"/>
              <w:spacing w:before="0" w:after="0" w:line="360" w:lineRule="auto"/>
              <w:ind w:left="-480" w:leftChars="0" w:right="0" w:firstLine="480" w:firstLineChars="0"/>
              <w:jc w:val="left"/>
              <w:rPr>
                <w:rFonts w:hint="default" w:ascii="Times New Roman" w:hAnsi="Times New Roman" w:eastAsia="宋体" w:cs="Times New Roman"/>
                <w:color w:val="000000" w:themeColor="text1"/>
                <w:spacing w:val="0"/>
                <w:sz w:val="24"/>
                <w:szCs w:val="24"/>
                <w14:textFill>
                  <w14:solidFill>
                    <w14:schemeClr w14:val="tx1"/>
                  </w14:solidFill>
                </w14:textFill>
              </w:rPr>
            </w:pPr>
            <w:r>
              <w:rPr>
                <w:rFonts w:hint="default" w:ascii="Times New Roman" w:hAnsi="Times New Roman" w:eastAsia="宋体" w:cs="Times New Roman"/>
                <w:color w:val="000000" w:themeColor="text1"/>
                <w:spacing w:val="0"/>
                <w:sz w:val="24"/>
                <w:szCs w:val="24"/>
                <w14:textFill>
                  <w14:solidFill>
                    <w14:schemeClr w14:val="tx1"/>
                  </w14:solidFill>
                </w14:textFill>
              </w:rPr>
              <w:t>现场勘查法</w:t>
            </w:r>
          </w:p>
          <w:p>
            <w:pPr>
              <w:widowControl w:val="0"/>
              <w:numPr>
                <w:ilvl w:val="0"/>
                <w:numId w:val="0"/>
              </w:numPr>
              <w:autoSpaceDE w:val="0"/>
              <w:autoSpaceDN w:val="0"/>
              <w:adjustRightInd w:val="0"/>
              <w:spacing w:before="0" w:after="0" w:line="360" w:lineRule="auto"/>
              <w:ind w:right="0" w:rightChars="0" w:firstLine="480" w:firstLineChars="200"/>
              <w:jc w:val="left"/>
              <w:rPr>
                <w:rFonts w:hint="default" w:ascii="Times New Roman" w:hAnsi="Times New Roman" w:eastAsia="宋体" w:cs="Times New Roman"/>
                <w:color w:val="000000" w:themeColor="text1"/>
                <w:spacing w:val="0"/>
                <w:sz w:val="24"/>
                <w:szCs w:val="24"/>
                <w14:textFill>
                  <w14:solidFill>
                    <w14:schemeClr w14:val="tx1"/>
                  </w14:solidFill>
                </w14:textFill>
              </w:rPr>
            </w:pPr>
            <w:r>
              <w:rPr>
                <w:rFonts w:hint="default" w:ascii="Times New Roman" w:hAnsi="Times New Roman" w:eastAsia="宋体" w:cs="Times New Roman"/>
                <w:color w:val="000000" w:themeColor="text1"/>
                <w:spacing w:val="0"/>
                <w:sz w:val="24"/>
                <w:szCs w:val="24"/>
                <w14:textFill>
                  <w14:solidFill>
                    <w14:schemeClr w14:val="tx1"/>
                  </w14:solidFill>
                </w14:textFill>
              </w:rPr>
              <w:t>通过现场实地调查，掌握项目区自然生态环境的基本情况。</w:t>
            </w:r>
          </w:p>
          <w:p>
            <w:pPr>
              <w:numPr>
                <w:ilvl w:val="0"/>
                <w:numId w:val="0"/>
              </w:numPr>
              <w:adjustRightInd w:val="0"/>
              <w:snapToGrid w:val="0"/>
              <w:spacing w:line="360" w:lineRule="auto"/>
              <w:ind w:leftChars="0"/>
              <w:rPr>
                <w:rFonts w:hint="default"/>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3.</w:t>
            </w:r>
            <w:r>
              <w:rPr>
                <w:rFonts w:hint="default"/>
                <w:b/>
                <w:color w:val="000000" w:themeColor="text1"/>
                <w:sz w:val="24"/>
                <w:lang w:val="en-US" w:eastAsia="zh-CN"/>
                <w14:textFill>
                  <w14:solidFill>
                    <w14:schemeClr w14:val="tx1"/>
                  </w14:solidFill>
                </w14:textFill>
              </w:rPr>
              <w:t>土地利用类型</w:t>
            </w:r>
          </w:p>
          <w:p>
            <w:pPr>
              <w:widowControl w:val="0"/>
              <w:autoSpaceDE w:val="0"/>
              <w:autoSpaceDN w:val="0"/>
              <w:adjustRightInd w:val="0"/>
              <w:spacing w:before="0" w:after="0" w:line="360" w:lineRule="auto"/>
              <w:ind w:left="480" w:right="0" w:firstLine="0"/>
              <w:jc w:val="left"/>
              <w:rPr>
                <w:rFonts w:hint="default" w:ascii="Times New Roman" w:hAnsi="Times New Roman" w:eastAsia="宋体" w:cs="Times New Roman"/>
                <w:color w:val="000000" w:themeColor="text1"/>
                <w:spacing w:val="0"/>
                <w:sz w:val="24"/>
                <w:szCs w:val="24"/>
                <w14:textFill>
                  <w14:solidFill>
                    <w14:schemeClr w14:val="tx1"/>
                  </w14:solidFill>
                </w14:textFill>
              </w:rPr>
            </w:pPr>
            <w:r>
              <w:rPr>
                <w:rFonts w:hint="default" w:ascii="Times New Roman" w:hAnsi="Times New Roman" w:eastAsia="宋体" w:cs="Times New Roman"/>
                <w:color w:val="000000" w:themeColor="text1"/>
                <w:spacing w:val="-2"/>
                <w:sz w:val="24"/>
                <w:szCs w:val="24"/>
                <w14:textFill>
                  <w14:solidFill>
                    <w14:schemeClr w14:val="tx1"/>
                  </w14:solidFill>
                </w14:textFill>
              </w:rPr>
              <w:t>土地利用现状分类依据《土地利用现状分类》</w:t>
            </w:r>
            <w:r>
              <w:rPr>
                <w:rFonts w:hint="default" w:ascii="Times New Roman" w:hAnsi="Times New Roman" w:eastAsia="宋体" w:cs="Times New Roman"/>
                <w:color w:val="000000" w:themeColor="text1"/>
                <w:spacing w:val="10"/>
                <w:sz w:val="24"/>
                <w:szCs w:val="24"/>
                <w14:textFill>
                  <w14:solidFill>
                    <w14:schemeClr w14:val="tx1"/>
                  </w14:solidFill>
                </w14:textFill>
              </w:rPr>
              <w:t xml:space="preserve"> </w:t>
            </w:r>
            <w:r>
              <w:rPr>
                <w:rFonts w:hint="default" w:ascii="Times New Roman" w:hAnsi="Times New Roman" w:eastAsia="宋体" w:cs="Times New Roman"/>
                <w:color w:val="000000" w:themeColor="text1"/>
                <w:spacing w:val="0"/>
                <w:sz w:val="24"/>
                <w:szCs w:val="24"/>
                <w14:textFill>
                  <w14:solidFill>
                    <w14:schemeClr w14:val="tx1"/>
                  </w14:solidFill>
                </w14:textFill>
              </w:rPr>
              <w:t>(GB/21010-2017)国家标准,</w:t>
            </w:r>
          </w:p>
          <w:p>
            <w:pPr>
              <w:pStyle w:val="2"/>
              <w:numPr>
                <w:ilvl w:val="0"/>
                <w:numId w:val="0"/>
              </w:numPr>
              <w:spacing w:line="360" w:lineRule="auto"/>
              <w:rPr>
                <w:rFonts w:hint="default" w:ascii="Times New Roman" w:hAnsi="Times New Roman" w:eastAsia="宋体" w:cs="Times New Roman"/>
                <w:color w:val="000000" w:themeColor="text1"/>
                <w:spacing w:val="0"/>
                <w:sz w:val="24"/>
                <w:szCs w:val="24"/>
                <w14:textFill>
                  <w14:solidFill>
                    <w14:schemeClr w14:val="tx1"/>
                  </w14:solidFill>
                </w14:textFill>
              </w:rPr>
            </w:pPr>
            <w:r>
              <w:rPr>
                <w:rFonts w:hint="default" w:ascii="Times New Roman" w:hAnsi="Times New Roman" w:eastAsia="宋体" w:cs="Times New Roman"/>
                <w:color w:val="000000" w:themeColor="text1"/>
                <w:spacing w:val="0"/>
                <w:sz w:val="24"/>
                <w:szCs w:val="24"/>
                <w14:textFill>
                  <w14:solidFill>
                    <w14:schemeClr w14:val="tx1"/>
                  </w14:solidFill>
                </w14:textFill>
              </w:rPr>
              <w:t xml:space="preserve">分类统计结果见表 </w:t>
            </w:r>
            <w:r>
              <w:rPr>
                <w:rFonts w:hint="eastAsia" w:ascii="Times New Roman" w:hAnsi="Times New Roman" w:cs="Times New Roman"/>
                <w:color w:val="000000" w:themeColor="text1"/>
                <w:spacing w:val="-1"/>
                <w:sz w:val="24"/>
                <w:szCs w:val="24"/>
                <w:lang w:val="en-US" w:eastAsia="zh-CN"/>
                <w14:textFill>
                  <w14:solidFill>
                    <w14:schemeClr w14:val="tx1"/>
                  </w14:solidFill>
                </w14:textFill>
              </w:rPr>
              <w:t>3-1、3-2</w:t>
            </w:r>
            <w:r>
              <w:rPr>
                <w:rFonts w:hint="default" w:ascii="Times New Roman" w:hAnsi="Times New Roman" w:eastAsia="宋体" w:cs="Times New Roman"/>
                <w:color w:val="000000" w:themeColor="text1"/>
                <w:spacing w:val="0"/>
                <w:sz w:val="24"/>
                <w:szCs w:val="24"/>
                <w14:textFill>
                  <w14:solidFill>
                    <w14:schemeClr w14:val="tx1"/>
                  </w14:solidFill>
                </w14:textFill>
              </w:rPr>
              <w:t>。</w:t>
            </w:r>
          </w:p>
          <w:p>
            <w:pPr>
              <w:ind w:firstLine="482" w:firstLineChars="200"/>
              <w:jc w:val="center"/>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表</w:t>
            </w:r>
            <w:r>
              <w:rPr>
                <w:b/>
                <w:bCs/>
                <w:color w:val="000000" w:themeColor="text1"/>
                <w:sz w:val="24"/>
                <w:szCs w:val="24"/>
                <w14:textFill>
                  <w14:solidFill>
                    <w14:schemeClr w14:val="tx1"/>
                  </w14:solidFill>
                </w14:textFill>
              </w:rPr>
              <w:t>3</w:t>
            </w:r>
            <w:r>
              <w:rPr>
                <w:rFonts w:hint="eastAsia"/>
                <w:b/>
                <w:bCs/>
                <w:color w:val="000000" w:themeColor="text1"/>
                <w:sz w:val="24"/>
                <w:szCs w:val="24"/>
                <w:lang w:val="en-US" w:eastAsia="zh-CN"/>
                <w14:textFill>
                  <w14:solidFill>
                    <w14:schemeClr w14:val="tx1"/>
                  </w14:solidFill>
                </w14:textFill>
              </w:rPr>
              <w:t>-1</w:t>
            </w:r>
            <w:r>
              <w:rPr>
                <w:rFonts w:hint="eastAsia"/>
                <w:b/>
                <w:bCs/>
                <w:color w:val="000000" w:themeColor="text1"/>
                <w:sz w:val="24"/>
                <w:szCs w:val="24"/>
                <w14:textFill>
                  <w14:solidFill>
                    <w14:schemeClr w14:val="tx1"/>
                  </w14:solidFill>
                </w14:textFill>
              </w:rPr>
              <w:t xml:space="preserve">  </w:t>
            </w:r>
            <w:r>
              <w:rPr>
                <w:rFonts w:hint="eastAsia"/>
                <w:b/>
                <w:bCs/>
                <w:color w:val="000000" w:themeColor="text1"/>
                <w:sz w:val="24"/>
                <w:szCs w:val="24"/>
                <w:lang w:val="en-US" w:eastAsia="zh-CN"/>
                <w14:textFill>
                  <w14:solidFill>
                    <w14:schemeClr w14:val="tx1"/>
                  </w14:solidFill>
                </w14:textFill>
              </w:rPr>
              <w:t xml:space="preserve">  </w:t>
            </w:r>
            <w:r>
              <w:rPr>
                <w:rFonts w:hint="eastAsia"/>
                <w:b/>
                <w:bCs/>
                <w:color w:val="000000" w:themeColor="text1"/>
                <w:sz w:val="24"/>
                <w:szCs w:val="24"/>
                <w14:textFill>
                  <w14:solidFill>
                    <w14:schemeClr w14:val="tx1"/>
                  </w14:solidFill>
                </w14:textFill>
              </w:rPr>
              <w:t>评价范围内土地利用类型及面积统计</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014"/>
              <w:gridCol w:w="1249"/>
              <w:gridCol w:w="1906"/>
              <w:gridCol w:w="1462"/>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一级类</w:t>
                  </w:r>
                </w:p>
              </w:tc>
              <w:tc>
                <w:tcPr>
                  <w:tcW w:w="1968" w:type="pct"/>
                  <w:gridSpan w:val="2"/>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二级类</w:t>
                  </w:r>
                </w:p>
              </w:tc>
              <w:tc>
                <w:tcPr>
                  <w:tcW w:w="912"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面积（km</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w:t>
                  </w:r>
                </w:p>
              </w:tc>
              <w:tc>
                <w:tcPr>
                  <w:tcW w:w="864"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地类代码</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地类名称</w:t>
                  </w:r>
                </w:p>
              </w:tc>
              <w:tc>
                <w:tcPr>
                  <w:tcW w:w="912"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864"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bookmarkStart w:id="25" w:name="OLE_LINK1" w:colFirst="2" w:colLast="2"/>
                  <w:r>
                    <w:rPr>
                      <w:rFonts w:hint="default" w:ascii="Times New Roman" w:hAnsi="Times New Roman" w:cs="Times New Roman"/>
                      <w:color w:val="000000" w:themeColor="text1"/>
                      <w:sz w:val="21"/>
                      <w:szCs w:val="21"/>
                      <w14:textFill>
                        <w14:solidFill>
                          <w14:schemeClr w14:val="tx1"/>
                        </w14:solidFill>
                      </w14:textFill>
                    </w:rPr>
                    <w:t>耕地</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0103</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旱地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0.0657</w:t>
                  </w:r>
                </w:p>
              </w:tc>
              <w:tc>
                <w:tcPr>
                  <w:tcW w:w="864" w:type="pct"/>
                  <w:noWrap w:val="0"/>
                  <w:vAlign w:val="center"/>
                </w:tcPr>
                <w:p>
                  <w:pPr>
                    <w:widowControl/>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2.69</w:t>
                  </w: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林地</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0305</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灌木林地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0.035</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256"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草地</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0404</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其它草地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1.4702</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工矿用地</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0601</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工业用地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0.0812</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0602</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采矿用地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0.2736</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住宅用地</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0702</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农村宅基地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0.3382</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交通用地</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1003</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公路用地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0.0512</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1004</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农村道路</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0.0087</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1256"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水域</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1101</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河流水面</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0.0092</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256"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1106</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内陆滩涂</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0.0323</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256"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其他土地</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1206</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裸土地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0.0801</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trPr>
              <w:tc>
                <w:tcPr>
                  <w:tcW w:w="3224" w:type="pct"/>
                  <w:gridSpan w:val="3"/>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合计</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fldChar w:fldCharType="begin"/>
                  </w:r>
                  <w:r>
                    <w:rPr>
                      <w:rFonts w:hint="default" w:ascii="Times New Roman" w:hAnsi="Times New Roman" w:cs="Times New Roman"/>
                      <w:color w:val="000000" w:themeColor="text1"/>
                      <w:sz w:val="21"/>
                      <w:szCs w:val="21"/>
                      <w14:textFill>
                        <w14:solidFill>
                          <w14:schemeClr w14:val="tx1"/>
                        </w14:solidFill>
                      </w14:textFill>
                    </w:rPr>
                    <w:instrText xml:space="preserve"> =SUM(ABOVE) </w:instrText>
                  </w:r>
                  <w:r>
                    <w:rPr>
                      <w:rFonts w:hint="default" w:ascii="Times New Roman" w:hAnsi="Times New Roman" w:cs="Times New Roman"/>
                      <w:color w:val="000000" w:themeColor="text1"/>
                      <w:sz w:val="21"/>
                      <w:szCs w:val="21"/>
                      <w14:textFill>
                        <w14:solidFill>
                          <w14:schemeClr w14:val="tx1"/>
                        </w14:solidFill>
                      </w14:textFill>
                    </w:rPr>
                    <w:fldChar w:fldCharType="separate"/>
                  </w:r>
                  <w:r>
                    <w:rPr>
                      <w:rFonts w:hint="default" w:ascii="Times New Roman" w:hAnsi="Times New Roman" w:cs="Times New Roman"/>
                      <w:color w:val="000000" w:themeColor="text1"/>
                      <w:sz w:val="21"/>
                      <w:szCs w:val="21"/>
                      <w14:textFill>
                        <w14:solidFill>
                          <w14:schemeClr w14:val="tx1"/>
                        </w14:solidFill>
                      </w14:textFill>
                    </w:rPr>
                    <w:t>2.4454</w:t>
                  </w:r>
                  <w:r>
                    <w:rPr>
                      <w:rFonts w:hint="default" w:ascii="Times New Roman" w:hAnsi="Times New Roman" w:cs="Times New Roman"/>
                      <w:color w:val="000000" w:themeColor="text1"/>
                      <w:sz w:val="21"/>
                      <w:szCs w:val="21"/>
                      <w14:textFill>
                        <w14:solidFill>
                          <w14:schemeClr w14:val="tx1"/>
                        </w14:solidFill>
                      </w14:textFill>
                    </w:rPr>
                    <w:fldChar w:fldCharType="end"/>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fldChar w:fldCharType="begin"/>
                  </w:r>
                  <w:r>
                    <w:rPr>
                      <w:rFonts w:hint="default" w:ascii="Times New Roman" w:hAnsi="Times New Roman" w:cs="Times New Roman"/>
                      <w:color w:val="000000" w:themeColor="text1"/>
                      <w:sz w:val="21"/>
                      <w:szCs w:val="21"/>
                      <w14:textFill>
                        <w14:solidFill>
                          <w14:schemeClr w14:val="tx1"/>
                        </w14:solidFill>
                      </w14:textFill>
                    </w:rPr>
                    <w:instrText xml:space="preserve"> =SUM(ABOVE) </w:instrText>
                  </w:r>
                  <w:r>
                    <w:rPr>
                      <w:rFonts w:hint="default" w:ascii="Times New Roman" w:hAnsi="Times New Roman" w:cs="Times New Roman"/>
                      <w:color w:val="000000" w:themeColor="text1"/>
                      <w:sz w:val="21"/>
                      <w:szCs w:val="21"/>
                      <w14:textFill>
                        <w14:solidFill>
                          <w14:schemeClr w14:val="tx1"/>
                        </w14:solidFill>
                      </w14:textFill>
                    </w:rPr>
                    <w:fldChar w:fldCharType="separate"/>
                  </w:r>
                  <w:r>
                    <w:rPr>
                      <w:rFonts w:hint="default" w:ascii="Times New Roman" w:hAnsi="Times New Roman" w:cs="Times New Roman"/>
                      <w:color w:val="000000" w:themeColor="text1"/>
                      <w:sz w:val="21"/>
                      <w:szCs w:val="21"/>
                      <w14:textFill>
                        <w14:solidFill>
                          <w14:schemeClr w14:val="tx1"/>
                        </w14:solidFill>
                      </w14:textFill>
                    </w:rPr>
                    <w:t>100</w:t>
                  </w:r>
                  <w:r>
                    <w:rPr>
                      <w:rFonts w:hint="default" w:ascii="Times New Roman" w:hAnsi="Times New Roman" w:cs="Times New Roman"/>
                      <w:color w:val="000000" w:themeColor="text1"/>
                      <w:sz w:val="21"/>
                      <w:szCs w:val="21"/>
                      <w14:textFill>
                        <w14:solidFill>
                          <w14:schemeClr w14:val="tx1"/>
                        </w14:solidFill>
                      </w14:textFill>
                    </w:rPr>
                    <w:fldChar w:fldCharType="end"/>
                  </w:r>
                </w:p>
              </w:tc>
            </w:tr>
          </w:tbl>
          <w:p>
            <w:pPr>
              <w:ind w:firstLine="482" w:firstLineChars="200"/>
              <w:jc w:val="center"/>
              <w:rPr>
                <w:rFonts w:hint="eastAsia"/>
                <w:b/>
                <w:bCs/>
                <w:color w:val="000000" w:themeColor="text1"/>
                <w:sz w:val="28"/>
                <w:szCs w:val="28"/>
                <w14:textFill>
                  <w14:solidFill>
                    <w14:schemeClr w14:val="tx1"/>
                  </w14:solidFill>
                </w14:textFill>
              </w:rPr>
            </w:pPr>
            <w:r>
              <w:rPr>
                <w:rFonts w:hint="eastAsia"/>
                <w:b/>
                <w:bCs/>
                <w:color w:val="000000" w:themeColor="text1"/>
                <w:sz w:val="24"/>
                <w:szCs w:val="24"/>
                <w14:textFill>
                  <w14:solidFill>
                    <w14:schemeClr w14:val="tx1"/>
                  </w14:solidFill>
                </w14:textFill>
              </w:rPr>
              <w:t>表</w:t>
            </w:r>
            <w:r>
              <w:rPr>
                <w:rFonts w:hint="eastAsia"/>
                <w:b/>
                <w:bCs/>
                <w:color w:val="000000" w:themeColor="text1"/>
                <w:sz w:val="24"/>
                <w:szCs w:val="24"/>
                <w:lang w:val="en-US" w:eastAsia="zh-CN"/>
                <w14:textFill>
                  <w14:solidFill>
                    <w14:schemeClr w14:val="tx1"/>
                  </w14:solidFill>
                </w14:textFill>
              </w:rPr>
              <w:t xml:space="preserve">3-2  </w:t>
            </w:r>
            <w:r>
              <w:rPr>
                <w:rFonts w:hint="eastAsia"/>
                <w:b/>
                <w:bCs/>
                <w:color w:val="000000" w:themeColor="text1"/>
                <w:sz w:val="24"/>
                <w:szCs w:val="24"/>
                <w14:textFill>
                  <w14:solidFill>
                    <w14:schemeClr w14:val="tx1"/>
                  </w14:solidFill>
                </w14:textFill>
              </w:rPr>
              <w:t xml:space="preserve">  矿区范围内土地利用类型及面积统计</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2014"/>
              <w:gridCol w:w="1249"/>
              <w:gridCol w:w="1906"/>
              <w:gridCol w:w="1462"/>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56"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一级类</w:t>
                  </w:r>
                </w:p>
              </w:tc>
              <w:tc>
                <w:tcPr>
                  <w:tcW w:w="1968" w:type="pct"/>
                  <w:gridSpan w:val="2"/>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二级类</w:t>
                  </w:r>
                </w:p>
              </w:tc>
              <w:tc>
                <w:tcPr>
                  <w:tcW w:w="912"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面积（km</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w:t>
                  </w:r>
                </w:p>
              </w:tc>
              <w:tc>
                <w:tcPr>
                  <w:tcW w:w="864"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56"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地类代码</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地类名称</w:t>
                  </w:r>
                </w:p>
              </w:tc>
              <w:tc>
                <w:tcPr>
                  <w:tcW w:w="912"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864"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56"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草地</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0404</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其它草地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0.0798</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90.99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56"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工矿用地</w:t>
                  </w:r>
                </w:p>
              </w:tc>
              <w:tc>
                <w:tcPr>
                  <w:tcW w:w="77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0602</w:t>
                  </w:r>
                </w:p>
              </w:tc>
              <w:tc>
                <w:tcPr>
                  <w:tcW w:w="1189"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采矿用地</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0.0079</w:t>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3224" w:type="pct"/>
                  <w:gridSpan w:val="3"/>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合计</w:t>
                  </w:r>
                </w:p>
              </w:tc>
              <w:tc>
                <w:tcPr>
                  <w:tcW w:w="91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fldChar w:fldCharType="begin"/>
                  </w:r>
                  <w:r>
                    <w:rPr>
                      <w:rFonts w:hint="default" w:ascii="Times New Roman" w:hAnsi="Times New Roman" w:cs="Times New Roman"/>
                      <w:color w:val="000000" w:themeColor="text1"/>
                      <w:sz w:val="21"/>
                      <w:szCs w:val="21"/>
                      <w14:textFill>
                        <w14:solidFill>
                          <w14:schemeClr w14:val="tx1"/>
                        </w14:solidFill>
                      </w14:textFill>
                    </w:rPr>
                    <w:instrText xml:space="preserve"> =SUM(ABOVE) </w:instrText>
                  </w:r>
                  <w:r>
                    <w:rPr>
                      <w:rFonts w:hint="default" w:ascii="Times New Roman" w:hAnsi="Times New Roman" w:cs="Times New Roman"/>
                      <w:color w:val="000000" w:themeColor="text1"/>
                      <w:sz w:val="21"/>
                      <w:szCs w:val="21"/>
                      <w14:textFill>
                        <w14:solidFill>
                          <w14:schemeClr w14:val="tx1"/>
                        </w14:solidFill>
                      </w14:textFill>
                    </w:rPr>
                    <w:fldChar w:fldCharType="separate"/>
                  </w:r>
                  <w:r>
                    <w:rPr>
                      <w:rFonts w:hint="default" w:ascii="Times New Roman" w:hAnsi="Times New Roman" w:cs="Times New Roman"/>
                      <w:color w:val="000000" w:themeColor="text1"/>
                      <w:sz w:val="21"/>
                      <w:szCs w:val="21"/>
                      <w14:textFill>
                        <w14:solidFill>
                          <w14:schemeClr w14:val="tx1"/>
                        </w14:solidFill>
                      </w14:textFill>
                    </w:rPr>
                    <w:t>0.0877</w:t>
                  </w:r>
                  <w:r>
                    <w:rPr>
                      <w:rFonts w:hint="default" w:ascii="Times New Roman" w:hAnsi="Times New Roman" w:cs="Times New Roman"/>
                      <w:color w:val="000000" w:themeColor="text1"/>
                      <w:sz w:val="21"/>
                      <w:szCs w:val="21"/>
                      <w14:textFill>
                        <w14:solidFill>
                          <w14:schemeClr w14:val="tx1"/>
                        </w14:solidFill>
                      </w14:textFill>
                    </w:rPr>
                    <w:fldChar w:fldCharType="end"/>
                  </w:r>
                </w:p>
              </w:tc>
              <w:tc>
                <w:tcPr>
                  <w:tcW w:w="864"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fldChar w:fldCharType="begin"/>
                  </w:r>
                  <w:r>
                    <w:rPr>
                      <w:rFonts w:hint="default" w:ascii="Times New Roman" w:hAnsi="Times New Roman" w:cs="Times New Roman"/>
                      <w:color w:val="000000" w:themeColor="text1"/>
                      <w:sz w:val="21"/>
                      <w:szCs w:val="21"/>
                      <w14:textFill>
                        <w14:solidFill>
                          <w14:schemeClr w14:val="tx1"/>
                        </w14:solidFill>
                      </w14:textFill>
                    </w:rPr>
                    <w:instrText xml:space="preserve"> =SUM(ABOVE) </w:instrText>
                  </w:r>
                  <w:r>
                    <w:rPr>
                      <w:rFonts w:hint="default" w:ascii="Times New Roman" w:hAnsi="Times New Roman" w:cs="Times New Roman"/>
                      <w:color w:val="000000" w:themeColor="text1"/>
                      <w:sz w:val="21"/>
                      <w:szCs w:val="21"/>
                      <w14:textFill>
                        <w14:solidFill>
                          <w14:schemeClr w14:val="tx1"/>
                        </w14:solidFill>
                      </w14:textFill>
                    </w:rPr>
                    <w:fldChar w:fldCharType="separate"/>
                  </w:r>
                  <w:r>
                    <w:rPr>
                      <w:rFonts w:hint="default" w:ascii="Times New Roman" w:hAnsi="Times New Roman" w:cs="Times New Roman"/>
                      <w:color w:val="000000" w:themeColor="text1"/>
                      <w:sz w:val="21"/>
                      <w:szCs w:val="21"/>
                      <w14:textFill>
                        <w14:solidFill>
                          <w14:schemeClr w14:val="tx1"/>
                        </w14:solidFill>
                      </w14:textFill>
                    </w:rPr>
                    <w:t>100</w:t>
                  </w:r>
                  <w:r>
                    <w:rPr>
                      <w:rFonts w:hint="default" w:ascii="Times New Roman" w:hAnsi="Times New Roman" w:cs="Times New Roman"/>
                      <w:color w:val="000000" w:themeColor="text1"/>
                      <w:sz w:val="21"/>
                      <w:szCs w:val="21"/>
                      <w14:textFill>
                        <w14:solidFill>
                          <w14:schemeClr w14:val="tx1"/>
                        </w14:solidFill>
                      </w14:textFill>
                    </w:rPr>
                    <w:fldChar w:fldCharType="end"/>
                  </w:r>
                </w:p>
              </w:tc>
            </w:tr>
          </w:tbl>
          <w:p>
            <w:pPr>
              <w:pStyle w:val="2"/>
              <w:keepNext w:val="0"/>
              <w:keepLines w:val="0"/>
              <w:pageBreakBefore w:val="0"/>
              <w:widowControl w:val="0"/>
              <w:numPr>
                <w:ilvl w:val="0"/>
                <w:numId w:val="0"/>
              </w:numPr>
              <w:tabs>
                <w:tab w:val="left" w:pos="6300"/>
              </w:tabs>
              <w:kinsoku/>
              <w:wordWrap/>
              <w:overflowPunct/>
              <w:topLinePunct w:val="0"/>
              <w:bidi w:val="0"/>
              <w:spacing w:line="360" w:lineRule="auto"/>
              <w:ind w:left="0" w:firstLine="480" w:firstLineChars="200"/>
              <w:textAlignment w:val="auto"/>
              <w:rPr>
                <w:rFonts w:hint="default" w:ascii="Times New Roman" w:hAnsi="Times New Roman" w:eastAsia="宋体" w:cs="Times New Roman"/>
                <w:color w:val="000000" w:themeColor="text1"/>
                <w:spacing w:val="0"/>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pacing w:val="0"/>
                <w:sz w:val="24"/>
                <w:szCs w:val="24"/>
                <w:lang w:val="en-US" w:eastAsia="zh-CN"/>
                <w14:textFill>
                  <w14:solidFill>
                    <w14:schemeClr w14:val="tx1"/>
                  </w14:solidFill>
                </w14:textFill>
              </w:rPr>
              <w:t>土地利用现状图如</w:t>
            </w:r>
            <w:r>
              <w:rPr>
                <w:rFonts w:hint="eastAsia" w:ascii="Times New Roman" w:hAnsi="Times New Roman" w:cs="Times New Roman"/>
                <w:color w:val="000000" w:themeColor="text1"/>
                <w:spacing w:val="0"/>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pacing w:val="0"/>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pacing w:val="0"/>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pacing w:val="0"/>
                <w:sz w:val="24"/>
                <w:szCs w:val="24"/>
                <w:lang w:val="en-US" w:eastAsia="zh-CN"/>
                <w14:textFill>
                  <w14:solidFill>
                    <w14:schemeClr w14:val="tx1"/>
                  </w14:solidFill>
                </w14:textFill>
              </w:rPr>
              <w:t>所示。</w:t>
            </w:r>
          </w:p>
          <w:p>
            <w:pPr>
              <w:keepNext w:val="0"/>
              <w:keepLines w:val="0"/>
              <w:pageBreakBefore w:val="0"/>
              <w:widowControl w:val="0"/>
              <w:numPr>
                <w:ilvl w:val="0"/>
                <w:numId w:val="0"/>
              </w:numPr>
              <w:tabs>
                <w:tab w:val="left" w:pos="6300"/>
              </w:tabs>
              <w:kinsoku/>
              <w:wordWrap/>
              <w:overflowPunct/>
              <w:topLinePunct w:val="0"/>
              <w:bidi w:val="0"/>
              <w:adjustRightInd w:val="0"/>
              <w:snapToGrid w:val="0"/>
              <w:spacing w:line="360" w:lineRule="auto"/>
              <w:textAlignment w:val="auto"/>
              <w:rPr>
                <w:rFonts w:hint="default" w:ascii="Times New Roman" w:hAnsi="Times New Roman" w:eastAsia="宋体" w:cs="Times New Roman"/>
                <w:b/>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4.植被类型遥感解译</w:t>
            </w:r>
          </w:p>
          <w:p>
            <w:pPr>
              <w:keepNext w:val="0"/>
              <w:keepLines w:val="0"/>
              <w:pageBreakBefore w:val="0"/>
              <w:widowControl w:val="0"/>
              <w:tabs>
                <w:tab w:val="left" w:pos="6300"/>
              </w:tabs>
              <w:kinsoku/>
              <w:wordWrap/>
              <w:overflowPunct/>
              <w:topLinePunct w:val="0"/>
              <w:autoSpaceDE w:val="0"/>
              <w:autoSpaceDN w:val="0"/>
              <w:bidi w:val="0"/>
              <w:adjustRightInd w:val="0"/>
              <w:spacing w:after="0" w:line="360" w:lineRule="auto"/>
              <w:ind w:left="0" w:right="0" w:firstLine="480" w:firstLineChars="200"/>
              <w:jc w:val="left"/>
              <w:textAlignment w:val="auto"/>
              <w:rPr>
                <w:rFonts w:hint="default" w:ascii="Times New Roman" w:hAnsi="Times New Roman" w:eastAsia="宋体" w:cs="Times New Roman"/>
                <w:color w:val="000000" w:themeColor="text1"/>
                <w:spacing w:val="0"/>
                <w:sz w:val="24"/>
                <w:szCs w:val="24"/>
                <w14:textFill>
                  <w14:solidFill>
                    <w14:schemeClr w14:val="tx1"/>
                  </w14:solidFill>
                </w14:textFill>
              </w:rPr>
            </w:pPr>
            <w:r>
              <w:rPr>
                <w:rFonts w:hint="default" w:ascii="Times New Roman" w:hAnsi="Times New Roman" w:eastAsia="宋体" w:cs="Times New Roman"/>
                <w:color w:val="000000" w:themeColor="text1"/>
                <w:spacing w:val="0"/>
                <w:sz w:val="24"/>
                <w:szCs w:val="24"/>
                <w14:textFill>
                  <w14:solidFill>
                    <w14:schemeClr w14:val="tx1"/>
                  </w14:solidFill>
                </w14:textFill>
              </w:rPr>
              <w:t>植被调查采用科学出版社 2000 年出版的《中国植被类型图谱》中的</w:t>
            </w:r>
            <w:r>
              <w:rPr>
                <w:rFonts w:hint="eastAsia" w:ascii="Times New Roman" w:hAnsi="Times New Roman" w:eastAsia="宋体" w:cs="Times New Roman"/>
                <w:color w:val="000000" w:themeColor="text1"/>
                <w:spacing w:val="0"/>
                <w:sz w:val="24"/>
                <w:szCs w:val="24"/>
                <w:lang w:val="en-US" w:eastAsia="zh-CN"/>
                <w14:textFill>
                  <w14:solidFill>
                    <w14:schemeClr w14:val="tx1"/>
                  </w14:solidFill>
                </w14:textFill>
              </w:rPr>
              <w:t>分类</w:t>
            </w:r>
            <w:r>
              <w:rPr>
                <w:rFonts w:hint="default" w:ascii="Times New Roman" w:hAnsi="Times New Roman" w:eastAsia="宋体" w:cs="Times New Roman"/>
                <w:color w:val="000000" w:themeColor="text1"/>
                <w:spacing w:val="-3"/>
                <w:sz w:val="24"/>
                <w:szCs w:val="24"/>
                <w14:textFill>
                  <w14:solidFill>
                    <w14:schemeClr w14:val="tx1"/>
                  </w14:solidFill>
                </w14:textFill>
              </w:rPr>
              <w:t>系统进行。首先根据《中国植被区划》</w:t>
            </w:r>
            <w:r>
              <w:rPr>
                <w:rFonts w:hint="default" w:ascii="Times New Roman" w:hAnsi="Times New Roman" w:eastAsia="宋体" w:cs="Times New Roman"/>
                <w:color w:val="000000" w:themeColor="text1"/>
                <w:spacing w:val="41"/>
                <w:sz w:val="24"/>
                <w:szCs w:val="24"/>
                <w14:textFill>
                  <w14:solidFill>
                    <w14:schemeClr w14:val="tx1"/>
                  </w14:solidFill>
                </w14:textFill>
              </w:rPr>
              <w:t xml:space="preserve"> </w:t>
            </w:r>
            <w:r>
              <w:rPr>
                <w:rFonts w:hint="default" w:ascii="Times New Roman" w:hAnsi="Times New Roman" w:eastAsia="宋体" w:cs="Times New Roman"/>
                <w:color w:val="000000" w:themeColor="text1"/>
                <w:spacing w:val="0"/>
                <w:sz w:val="24"/>
                <w:szCs w:val="24"/>
                <w14:textFill>
                  <w14:solidFill>
                    <w14:schemeClr w14:val="tx1"/>
                  </w14:solidFill>
                </w14:textFill>
              </w:rPr>
              <w:t>,获得规划区经过地区植被分布的总体</w:t>
            </w:r>
            <w:r>
              <w:rPr>
                <w:rFonts w:hint="default" w:ascii="Times New Roman" w:hAnsi="Times New Roman" w:eastAsia="宋体" w:cs="Times New Roman"/>
                <w:color w:val="000000" w:themeColor="text1"/>
                <w:spacing w:val="1"/>
                <w:sz w:val="24"/>
                <w:szCs w:val="24"/>
                <w14:textFill>
                  <w14:solidFill>
                    <w14:schemeClr w14:val="tx1"/>
                  </w14:solidFill>
                </w14:textFill>
              </w:rPr>
              <w:t>情况</w:t>
            </w:r>
            <w:r>
              <w:rPr>
                <w:rFonts w:hint="eastAsia" w:ascii="Times New Roman" w:hAnsi="Times New Roman" w:eastAsia="宋体" w:cs="Times New Roman"/>
                <w:color w:val="000000" w:themeColor="text1"/>
                <w:spacing w:val="1"/>
                <w:sz w:val="24"/>
                <w:szCs w:val="24"/>
                <w:lang w:eastAsia="zh-CN"/>
                <w14:textFill>
                  <w14:solidFill>
                    <w14:schemeClr w14:val="tx1"/>
                  </w14:solidFill>
                </w14:textFill>
              </w:rPr>
              <w:t>，</w:t>
            </w:r>
            <w:r>
              <w:rPr>
                <w:rFonts w:hint="default" w:ascii="Times New Roman" w:hAnsi="Times New Roman" w:eastAsia="宋体" w:cs="Times New Roman"/>
                <w:color w:val="000000" w:themeColor="text1"/>
                <w:spacing w:val="2"/>
                <w:sz w:val="24"/>
                <w:szCs w:val="24"/>
                <w14:textFill>
                  <w14:solidFill>
                    <w14:schemeClr w14:val="tx1"/>
                  </w14:solidFill>
                </w14:textFill>
              </w:rPr>
              <w:t>再结合各行政区划单元或地理单元的考察资料、调查报告以及长期野外考察积累的知识和经验</w:t>
            </w:r>
            <w:r>
              <w:rPr>
                <w:rFonts w:hint="default" w:ascii="Times New Roman" w:hAnsi="Times New Roman" w:eastAsia="宋体" w:cs="Times New Roman"/>
                <w:color w:val="000000" w:themeColor="text1"/>
                <w:spacing w:val="0"/>
                <w:sz w:val="24"/>
                <w:szCs w:val="24"/>
                <w14:textFill>
                  <w14:solidFill>
                    <w14:schemeClr w14:val="tx1"/>
                  </w14:solidFill>
                </w14:textFill>
              </w:rPr>
              <w:t>,</w:t>
            </w:r>
            <w:r>
              <w:rPr>
                <w:rFonts w:hint="default" w:ascii="Times New Roman" w:hAnsi="Times New Roman" w:eastAsia="宋体" w:cs="Times New Roman"/>
                <w:color w:val="000000" w:themeColor="text1"/>
                <w:spacing w:val="2"/>
                <w:sz w:val="24"/>
                <w:szCs w:val="24"/>
                <w14:textFill>
                  <w14:solidFill>
                    <w14:schemeClr w14:val="tx1"/>
                  </w14:solidFill>
                </w14:textFill>
              </w:rPr>
              <w:t>在遥感影像上确定各种植被类型的图斑界线。野外考</w:t>
            </w:r>
            <w:r>
              <w:rPr>
                <w:rFonts w:hint="default" w:ascii="Times New Roman" w:hAnsi="Times New Roman" w:eastAsia="宋体" w:cs="Times New Roman"/>
                <w:color w:val="000000" w:themeColor="text1"/>
                <w:spacing w:val="6"/>
                <w:sz w:val="24"/>
                <w:szCs w:val="24"/>
                <w14:textFill>
                  <w14:solidFill>
                    <w14:schemeClr w14:val="tx1"/>
                  </w14:solidFill>
                </w14:textFill>
              </w:rPr>
              <w:t>察时</w:t>
            </w:r>
            <w:r>
              <w:rPr>
                <w:rFonts w:hint="default" w:ascii="Times New Roman" w:hAnsi="Times New Roman" w:eastAsia="宋体" w:cs="Times New Roman"/>
                <w:color w:val="000000" w:themeColor="text1"/>
                <w:spacing w:val="7"/>
                <w:sz w:val="24"/>
                <w:szCs w:val="24"/>
                <w:lang w:eastAsia="zh-CN"/>
                <w14:textFill>
                  <w14:solidFill>
                    <w14:schemeClr w14:val="tx1"/>
                  </w14:solidFill>
                </w14:textFill>
              </w:rPr>
              <w:t>，</w:t>
            </w:r>
            <w:r>
              <w:rPr>
                <w:rFonts w:hint="default" w:ascii="Times New Roman" w:hAnsi="Times New Roman" w:eastAsia="宋体" w:cs="Times New Roman"/>
                <w:color w:val="000000" w:themeColor="text1"/>
                <w:spacing w:val="7"/>
                <w:sz w:val="24"/>
                <w:szCs w:val="24"/>
                <w14:textFill>
                  <w14:solidFill>
                    <w14:schemeClr w14:val="tx1"/>
                  </w14:solidFill>
                </w14:textFill>
              </w:rPr>
              <w:t>在植被分布的总体规律的指导下</w:t>
            </w:r>
            <w:r>
              <w:rPr>
                <w:rFonts w:hint="eastAsia" w:ascii="Times New Roman" w:hAnsi="Times New Roman" w:eastAsia="宋体" w:cs="Times New Roman"/>
                <w:color w:val="000000" w:themeColor="text1"/>
                <w:spacing w:val="7"/>
                <w:sz w:val="24"/>
                <w:szCs w:val="24"/>
                <w:lang w:eastAsia="zh-CN"/>
                <w14:textFill>
                  <w14:solidFill>
                    <w14:schemeClr w14:val="tx1"/>
                  </w14:solidFill>
                </w14:textFill>
              </w:rPr>
              <w:t>，</w:t>
            </w:r>
            <w:r>
              <w:rPr>
                <w:rFonts w:hint="default" w:ascii="Times New Roman" w:hAnsi="Times New Roman" w:eastAsia="宋体" w:cs="Times New Roman"/>
                <w:color w:val="000000" w:themeColor="text1"/>
                <w:spacing w:val="7"/>
                <w:sz w:val="24"/>
                <w:szCs w:val="24"/>
                <w14:textFill>
                  <w14:solidFill>
                    <w14:schemeClr w14:val="tx1"/>
                  </w14:solidFill>
                </w14:textFill>
              </w:rPr>
              <w:t>根据影像上的纹理和颜色以及经验进</w:t>
            </w:r>
            <w:r>
              <w:rPr>
                <w:rFonts w:hint="default" w:ascii="Times New Roman" w:hAnsi="Times New Roman" w:eastAsia="宋体" w:cs="Times New Roman"/>
                <w:color w:val="000000" w:themeColor="text1"/>
                <w:spacing w:val="1"/>
                <w:sz w:val="24"/>
                <w:szCs w:val="24"/>
                <w14:textFill>
                  <w14:solidFill>
                    <w14:schemeClr w14:val="tx1"/>
                  </w14:solidFill>
                </w14:textFill>
              </w:rPr>
              <w:t>行判读</w:t>
            </w:r>
            <w:r>
              <w:rPr>
                <w:rFonts w:hint="default" w:ascii="Times New Roman" w:hAnsi="Times New Roman" w:eastAsia="宋体" w:cs="Times New Roman"/>
                <w:color w:val="000000" w:themeColor="text1"/>
                <w:spacing w:val="0"/>
                <w:sz w:val="24"/>
                <w:szCs w:val="24"/>
                <w14:textFill>
                  <w14:solidFill>
                    <w14:schemeClr w14:val="tx1"/>
                  </w14:solidFill>
                </w14:textFill>
              </w:rPr>
              <w:t>,</w:t>
            </w:r>
            <w:r>
              <w:rPr>
                <w:rFonts w:hint="default" w:ascii="Times New Roman" w:hAnsi="Times New Roman" w:eastAsia="宋体" w:cs="Times New Roman"/>
                <w:color w:val="000000" w:themeColor="text1"/>
                <w:spacing w:val="1"/>
                <w:sz w:val="24"/>
                <w:szCs w:val="24"/>
                <w14:textFill>
                  <w14:solidFill>
                    <w14:schemeClr w14:val="tx1"/>
                  </w14:solidFill>
                </w14:textFill>
              </w:rPr>
              <w:t>并作了比较详细的考察记录</w:t>
            </w:r>
            <w:r>
              <w:rPr>
                <w:rFonts w:hint="eastAsia" w:ascii="Times New Roman" w:hAnsi="Times New Roman" w:eastAsia="宋体" w:cs="Times New Roman"/>
                <w:color w:val="000000" w:themeColor="text1"/>
                <w:spacing w:val="1"/>
                <w:sz w:val="24"/>
                <w:szCs w:val="24"/>
                <w:lang w:eastAsia="zh-CN"/>
                <w14:textFill>
                  <w14:solidFill>
                    <w14:schemeClr w14:val="tx1"/>
                  </w14:solidFill>
                </w14:textFill>
              </w:rPr>
              <w:t>，</w:t>
            </w:r>
            <w:r>
              <w:rPr>
                <w:rFonts w:hint="default" w:ascii="Times New Roman" w:hAnsi="Times New Roman" w:eastAsia="宋体" w:cs="Times New Roman"/>
                <w:color w:val="000000" w:themeColor="text1"/>
                <w:spacing w:val="1"/>
                <w:sz w:val="24"/>
                <w:szCs w:val="24"/>
                <w14:textFill>
                  <w14:solidFill>
                    <w14:schemeClr w14:val="tx1"/>
                  </w14:solidFill>
                </w14:textFill>
              </w:rPr>
              <w:t xml:space="preserve">并利用 </w:t>
            </w:r>
            <w:r>
              <w:rPr>
                <w:rFonts w:hint="default" w:ascii="Times New Roman" w:hAnsi="Times New Roman" w:eastAsia="宋体" w:cs="Times New Roman"/>
                <w:color w:val="000000" w:themeColor="text1"/>
                <w:spacing w:val="0"/>
                <w:sz w:val="24"/>
                <w:szCs w:val="24"/>
                <w14:textFill>
                  <w14:solidFill>
                    <w14:schemeClr w14:val="tx1"/>
                  </w14:solidFill>
                </w14:textFill>
              </w:rPr>
              <w:t>GPS</w:t>
            </w:r>
            <w:r>
              <w:rPr>
                <w:rFonts w:hint="default" w:ascii="Times New Roman" w:hAnsi="Times New Roman" w:eastAsia="宋体" w:cs="Times New Roman"/>
                <w:color w:val="000000" w:themeColor="text1"/>
                <w:spacing w:val="-2"/>
                <w:sz w:val="24"/>
                <w:szCs w:val="24"/>
                <w14:textFill>
                  <w14:solidFill>
                    <w14:schemeClr w14:val="tx1"/>
                  </w14:solidFill>
                </w14:textFill>
              </w:rPr>
              <w:t xml:space="preserve"> </w:t>
            </w:r>
            <w:r>
              <w:rPr>
                <w:rFonts w:hint="default" w:ascii="Times New Roman" w:hAnsi="Times New Roman" w:eastAsia="宋体" w:cs="Times New Roman"/>
                <w:color w:val="000000" w:themeColor="text1"/>
                <w:spacing w:val="1"/>
                <w:sz w:val="24"/>
                <w:szCs w:val="24"/>
                <w14:textFill>
                  <w14:solidFill>
                    <w14:schemeClr w14:val="tx1"/>
                  </w14:solidFill>
                </w14:textFill>
              </w:rPr>
              <w:t>定位</w:t>
            </w:r>
            <w:r>
              <w:rPr>
                <w:rFonts w:hint="eastAsia" w:cs="Times New Roman"/>
                <w:color w:val="000000" w:themeColor="text1"/>
                <w:spacing w:val="1"/>
                <w:sz w:val="24"/>
                <w:szCs w:val="24"/>
                <w:lang w:eastAsia="zh-CN"/>
                <w14:textFill>
                  <w14:solidFill>
                    <w14:schemeClr w14:val="tx1"/>
                  </w14:solidFill>
                </w14:textFill>
              </w:rPr>
              <w:t>，</w:t>
            </w:r>
            <w:r>
              <w:rPr>
                <w:rFonts w:hint="default" w:ascii="Times New Roman" w:hAnsi="Times New Roman" w:eastAsia="宋体" w:cs="Times New Roman"/>
                <w:color w:val="000000" w:themeColor="text1"/>
                <w:spacing w:val="1"/>
                <w:sz w:val="24"/>
                <w:szCs w:val="24"/>
                <w14:textFill>
                  <w14:solidFill>
                    <w14:schemeClr w14:val="tx1"/>
                  </w14:solidFill>
                </w14:textFill>
              </w:rPr>
              <w:t>以方便室内转绘</w:t>
            </w:r>
            <w:r>
              <w:rPr>
                <w:rFonts w:hint="default" w:ascii="Times New Roman" w:hAnsi="Times New Roman" w:eastAsia="宋体" w:cs="Times New Roman"/>
                <w:color w:val="000000" w:themeColor="text1"/>
                <w:spacing w:val="2"/>
                <w:sz w:val="24"/>
                <w:szCs w:val="24"/>
                <w14:textFill>
                  <w14:solidFill>
                    <w14:schemeClr w14:val="tx1"/>
                  </w14:solidFill>
                </w14:textFill>
              </w:rPr>
              <w:t>,</w:t>
            </w:r>
            <w:r>
              <w:rPr>
                <w:rFonts w:hint="default" w:ascii="Times New Roman" w:hAnsi="Times New Roman" w:eastAsia="宋体" w:cs="Times New Roman"/>
                <w:color w:val="000000" w:themeColor="text1"/>
                <w:spacing w:val="1"/>
                <w:sz w:val="24"/>
                <w:szCs w:val="24"/>
                <w14:textFill>
                  <w14:solidFill>
                    <w14:schemeClr w14:val="tx1"/>
                  </w14:solidFill>
                </w14:textFill>
              </w:rPr>
              <w:t>植被定</w:t>
            </w:r>
            <w:r>
              <w:rPr>
                <w:rFonts w:hint="default" w:ascii="Times New Roman" w:hAnsi="Times New Roman" w:eastAsia="宋体" w:cs="Times New Roman"/>
                <w:color w:val="000000" w:themeColor="text1"/>
                <w:spacing w:val="0"/>
                <w:sz w:val="24"/>
                <w:szCs w:val="24"/>
                <w14:textFill>
                  <w14:solidFill>
                    <w14:schemeClr w14:val="tx1"/>
                  </w14:solidFill>
                </w14:textFill>
              </w:rPr>
              <w:t xml:space="preserve">性较为准确。主要植被分布类型及面积统计见表 </w:t>
            </w:r>
            <w:r>
              <w:rPr>
                <w:rFonts w:hint="eastAsia" w:cs="Times New Roman"/>
                <w:color w:val="000000" w:themeColor="text1"/>
                <w:spacing w:val="-1"/>
                <w:sz w:val="24"/>
                <w:szCs w:val="24"/>
                <w:lang w:val="en-US" w:eastAsia="zh-CN"/>
                <w14:textFill>
                  <w14:solidFill>
                    <w14:schemeClr w14:val="tx1"/>
                  </w14:solidFill>
                </w14:textFill>
              </w:rPr>
              <w:t>3-3、3-4</w:t>
            </w:r>
            <w:r>
              <w:rPr>
                <w:rFonts w:hint="default" w:ascii="Times New Roman" w:hAnsi="Times New Roman" w:eastAsia="宋体" w:cs="Times New Roman"/>
                <w:color w:val="000000" w:themeColor="text1"/>
                <w:spacing w:val="0"/>
                <w:sz w:val="24"/>
                <w:szCs w:val="24"/>
                <w14:textFill>
                  <w14:solidFill>
                    <w14:schemeClr w14:val="tx1"/>
                  </w14:solidFill>
                </w14:textFill>
              </w:rPr>
              <w:t>。</w:t>
            </w:r>
          </w:p>
          <w:p>
            <w:pPr>
              <w:spacing w:line="360" w:lineRule="auto"/>
              <w:ind w:firstLine="482" w:firstLineChars="200"/>
              <w:jc w:val="center"/>
              <w:rPr>
                <w:rFonts w:hint="eastAsia" w:ascii="Times New Roman" w:hAnsi="Times New Roman" w:eastAsia="宋体" w:cs="Times New Roman"/>
                <w:b/>
                <w:bCs/>
                <w:color w:val="000000" w:themeColor="text1"/>
                <w:sz w:val="24"/>
                <w:szCs w:val="24"/>
                <w14:textFill>
                  <w14:solidFill>
                    <w14:schemeClr w14:val="tx1"/>
                  </w14:solidFill>
                </w14:textFill>
              </w:rPr>
            </w:pPr>
            <w:r>
              <w:rPr>
                <w:rFonts w:hint="eastAsia" w:ascii="Times New Roman" w:hAnsi="Times New Roman" w:eastAsia="宋体" w:cs="Times New Roman"/>
                <w:b/>
                <w:bCs/>
                <w:color w:val="000000" w:themeColor="text1"/>
                <w:sz w:val="24"/>
                <w:szCs w:val="24"/>
                <w14:textFill>
                  <w14:solidFill>
                    <w14:schemeClr w14:val="tx1"/>
                  </w14:solidFill>
                </w14:textFill>
              </w:rPr>
              <w:t>表</w:t>
            </w:r>
            <w:r>
              <w:rPr>
                <w:rFonts w:hint="eastAsia" w:eastAsia="宋体" w:cs="Times New Roman"/>
                <w:b/>
                <w:bCs/>
                <w:color w:val="000000" w:themeColor="text1"/>
                <w:sz w:val="24"/>
                <w:szCs w:val="24"/>
                <w:lang w:val="en-US" w:eastAsia="zh-CN"/>
                <w14:textFill>
                  <w14:solidFill>
                    <w14:schemeClr w14:val="tx1"/>
                  </w14:solidFill>
                </w14:textFill>
              </w:rPr>
              <w:t>3-3</w:t>
            </w:r>
            <w:r>
              <w:rPr>
                <w:rFonts w:hint="eastAsia" w:ascii="Times New Roman" w:hAnsi="Times New Roman" w:eastAsia="宋体" w:cs="Times New Roman"/>
                <w:b/>
                <w:bCs/>
                <w:color w:val="000000" w:themeColor="text1"/>
                <w:sz w:val="24"/>
                <w:szCs w:val="24"/>
                <w14:textFill>
                  <w14:solidFill>
                    <w14:schemeClr w14:val="tx1"/>
                  </w14:solidFill>
                </w14:textFill>
              </w:rPr>
              <w:t xml:space="preserve">  评价范围内植被类型面积统计表</w:t>
            </w:r>
          </w:p>
          <w:tbl>
            <w:tblPr>
              <w:tblStyle w:val="2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57" w:type="dxa"/>
                <w:bottom w:w="85" w:type="dxa"/>
                <w:right w:w="57" w:type="dxa"/>
              </w:tblCellMar>
            </w:tblPr>
            <w:tblGrid>
              <w:gridCol w:w="1306"/>
              <w:gridCol w:w="3284"/>
              <w:gridCol w:w="1772"/>
              <w:gridCol w:w="1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57" w:type="dxa"/>
                  <w:bottom w:w="85" w:type="dxa"/>
                  <w:right w:w="57" w:type="dxa"/>
                </w:tblCellMar>
              </w:tblPrEx>
              <w:trPr>
                <w:jc w:val="center"/>
              </w:trPr>
              <w:tc>
                <w:tcPr>
                  <w:tcW w:w="815" w:type="pct"/>
                  <w:noWrap w:val="0"/>
                  <w:vAlign w:val="center"/>
                </w:tcPr>
                <w:p>
                  <w:pPr>
                    <w:jc w:val="center"/>
                    <w:rPr>
                      <w:sz w:val="21"/>
                      <w:szCs w:val="21"/>
                    </w:rPr>
                  </w:pPr>
                  <w:r>
                    <w:rPr>
                      <w:rFonts w:hint="eastAsia"/>
                      <w:sz w:val="21"/>
                      <w:szCs w:val="21"/>
                    </w:rPr>
                    <w:t>大类</w:t>
                  </w:r>
                </w:p>
              </w:tc>
              <w:tc>
                <w:tcPr>
                  <w:tcW w:w="2048" w:type="pct"/>
                  <w:noWrap w:val="0"/>
                  <w:vAlign w:val="center"/>
                </w:tcPr>
                <w:p>
                  <w:pPr>
                    <w:jc w:val="center"/>
                    <w:rPr>
                      <w:sz w:val="21"/>
                      <w:szCs w:val="21"/>
                    </w:rPr>
                  </w:pPr>
                  <w:r>
                    <w:rPr>
                      <w:rFonts w:hint="eastAsia"/>
                      <w:sz w:val="21"/>
                      <w:szCs w:val="21"/>
                    </w:rPr>
                    <w:t>名称</w:t>
                  </w:r>
                </w:p>
              </w:tc>
              <w:tc>
                <w:tcPr>
                  <w:tcW w:w="1105" w:type="pct"/>
                  <w:noWrap w:val="0"/>
                  <w:vAlign w:val="center"/>
                </w:tcPr>
                <w:p>
                  <w:pPr>
                    <w:jc w:val="center"/>
                    <w:rPr>
                      <w:sz w:val="21"/>
                      <w:szCs w:val="21"/>
                    </w:rPr>
                  </w:pPr>
                  <w:r>
                    <w:rPr>
                      <w:rFonts w:hint="eastAsia"/>
                      <w:sz w:val="21"/>
                      <w:szCs w:val="21"/>
                    </w:rPr>
                    <w:t>面积(km</w:t>
                  </w:r>
                  <w:r>
                    <w:rPr>
                      <w:rFonts w:hint="eastAsia"/>
                      <w:sz w:val="21"/>
                      <w:szCs w:val="21"/>
                      <w:vertAlign w:val="superscript"/>
                    </w:rPr>
                    <w:t>2</w:t>
                  </w:r>
                  <w:r>
                    <w:rPr>
                      <w:rFonts w:hint="eastAsia"/>
                      <w:sz w:val="21"/>
                      <w:szCs w:val="21"/>
                    </w:rPr>
                    <w:t>)</w:t>
                  </w:r>
                </w:p>
              </w:tc>
              <w:tc>
                <w:tcPr>
                  <w:tcW w:w="1032" w:type="pct"/>
                  <w:noWrap w:val="0"/>
                  <w:vAlign w:val="center"/>
                </w:tcPr>
                <w:p>
                  <w:pPr>
                    <w:jc w:val="center"/>
                    <w:rPr>
                      <w:sz w:val="21"/>
                      <w:szCs w:val="21"/>
                    </w:rPr>
                  </w:pPr>
                  <w:r>
                    <w:rPr>
                      <w:rFonts w:hint="eastAsia"/>
                      <w:sz w:val="21"/>
                      <w:szCs w:val="21"/>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57" w:type="dxa"/>
                  <w:bottom w:w="85" w:type="dxa"/>
                  <w:right w:w="57" w:type="dxa"/>
                </w:tblCellMar>
              </w:tblPrEx>
              <w:trPr>
                <w:jc w:val="center"/>
              </w:trPr>
              <w:tc>
                <w:tcPr>
                  <w:tcW w:w="815" w:type="pct"/>
                  <w:vMerge w:val="restart"/>
                  <w:noWrap w:val="0"/>
                  <w:vAlign w:val="center"/>
                </w:tcPr>
                <w:p>
                  <w:pPr>
                    <w:jc w:val="center"/>
                    <w:rPr>
                      <w:rFonts w:hint="eastAsia"/>
                      <w:sz w:val="21"/>
                      <w:szCs w:val="21"/>
                    </w:rPr>
                  </w:pPr>
                  <w:r>
                    <w:rPr>
                      <w:rFonts w:hint="eastAsia"/>
                      <w:sz w:val="21"/>
                      <w:szCs w:val="21"/>
                    </w:rPr>
                    <w:t>灌丛</w:t>
                  </w:r>
                </w:p>
              </w:tc>
              <w:tc>
                <w:tcPr>
                  <w:tcW w:w="2048" w:type="pct"/>
                  <w:noWrap w:val="0"/>
                  <w:vAlign w:val="center"/>
                </w:tcPr>
                <w:p>
                  <w:pPr>
                    <w:jc w:val="center"/>
                    <w:rPr>
                      <w:rFonts w:hint="eastAsia"/>
                      <w:sz w:val="21"/>
                      <w:szCs w:val="21"/>
                    </w:rPr>
                  </w:pPr>
                  <w:r>
                    <w:rPr>
                      <w:rFonts w:hint="eastAsia"/>
                      <w:sz w:val="21"/>
                      <w:szCs w:val="21"/>
                    </w:rPr>
                    <w:t>灰栒子、毛榛子灌丛</w:t>
                  </w:r>
                </w:p>
              </w:tc>
              <w:tc>
                <w:tcPr>
                  <w:tcW w:w="1105" w:type="pct"/>
                  <w:noWrap w:val="0"/>
                  <w:vAlign w:val="center"/>
                </w:tcPr>
                <w:p>
                  <w:pPr>
                    <w:jc w:val="center"/>
                    <w:rPr>
                      <w:sz w:val="21"/>
                      <w:szCs w:val="21"/>
                    </w:rPr>
                  </w:pPr>
                  <w:r>
                    <w:rPr>
                      <w:rFonts w:hint="eastAsia"/>
                      <w:sz w:val="21"/>
                      <w:szCs w:val="21"/>
                    </w:rPr>
                    <w:t>0.0171</w:t>
                  </w:r>
                </w:p>
              </w:tc>
              <w:tc>
                <w:tcPr>
                  <w:tcW w:w="1032" w:type="pct"/>
                  <w:noWrap w:val="0"/>
                  <w:vAlign w:val="center"/>
                </w:tcPr>
                <w:p>
                  <w:pPr>
                    <w:jc w:val="center"/>
                    <w:rPr>
                      <w:rFonts w:hint="eastAsia"/>
                      <w:sz w:val="21"/>
                      <w:szCs w:val="21"/>
                    </w:rPr>
                  </w:pPr>
                  <w:r>
                    <w:rPr>
                      <w:rFonts w:hint="eastAsia"/>
                      <w:sz w:val="21"/>
                      <w:szCs w:val="21"/>
                    </w:rPr>
                    <w:t xml:space="preserve">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57" w:type="dxa"/>
                  <w:bottom w:w="85" w:type="dxa"/>
                  <w:right w:w="57" w:type="dxa"/>
                </w:tblCellMar>
              </w:tblPrEx>
              <w:trPr>
                <w:jc w:val="center"/>
              </w:trPr>
              <w:tc>
                <w:tcPr>
                  <w:tcW w:w="815" w:type="pct"/>
                  <w:vMerge w:val="continue"/>
                  <w:noWrap w:val="0"/>
                  <w:vAlign w:val="center"/>
                </w:tcPr>
                <w:p>
                  <w:pPr>
                    <w:jc w:val="center"/>
                    <w:rPr>
                      <w:rFonts w:hint="eastAsia"/>
                      <w:sz w:val="21"/>
                      <w:szCs w:val="21"/>
                    </w:rPr>
                  </w:pPr>
                </w:p>
              </w:tc>
              <w:tc>
                <w:tcPr>
                  <w:tcW w:w="2048" w:type="pct"/>
                  <w:noWrap w:val="0"/>
                  <w:vAlign w:val="center"/>
                </w:tcPr>
                <w:p>
                  <w:pPr>
                    <w:jc w:val="center"/>
                    <w:rPr>
                      <w:rFonts w:hint="eastAsia"/>
                      <w:sz w:val="21"/>
                      <w:szCs w:val="21"/>
                    </w:rPr>
                  </w:pPr>
                  <w:r>
                    <w:rPr>
                      <w:rFonts w:hint="eastAsia"/>
                      <w:sz w:val="21"/>
                      <w:szCs w:val="21"/>
                    </w:rPr>
                    <w:t>小檗、绣线菊灌丛</w:t>
                  </w:r>
                </w:p>
              </w:tc>
              <w:tc>
                <w:tcPr>
                  <w:tcW w:w="1105" w:type="pct"/>
                  <w:noWrap w:val="0"/>
                  <w:vAlign w:val="center"/>
                </w:tcPr>
                <w:p>
                  <w:pPr>
                    <w:jc w:val="center"/>
                    <w:rPr>
                      <w:rFonts w:hint="eastAsia"/>
                      <w:sz w:val="21"/>
                      <w:szCs w:val="21"/>
                    </w:rPr>
                  </w:pPr>
                  <w:r>
                    <w:rPr>
                      <w:rFonts w:hint="eastAsia"/>
                      <w:sz w:val="21"/>
                      <w:szCs w:val="21"/>
                    </w:rPr>
                    <w:t>0.0179</w:t>
                  </w:r>
                </w:p>
              </w:tc>
              <w:tc>
                <w:tcPr>
                  <w:tcW w:w="1032" w:type="pct"/>
                  <w:noWrap w:val="0"/>
                  <w:vAlign w:val="center"/>
                </w:tcPr>
                <w:p>
                  <w:pPr>
                    <w:jc w:val="center"/>
                    <w:rPr>
                      <w:rFonts w:hint="eastAsia"/>
                      <w:sz w:val="21"/>
                      <w:szCs w:val="21"/>
                    </w:rPr>
                  </w:pPr>
                  <w:r>
                    <w:rPr>
                      <w:rFonts w:hint="eastAsia"/>
                      <w:sz w:val="21"/>
                      <w:szCs w:val="21"/>
                    </w:rPr>
                    <w:t xml:space="preserve">0.73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5" w:type="pct"/>
                  <w:vMerge w:val="restart"/>
                  <w:noWrap w:val="0"/>
                  <w:vAlign w:val="center"/>
                </w:tcPr>
                <w:p>
                  <w:pPr>
                    <w:jc w:val="center"/>
                    <w:rPr>
                      <w:sz w:val="21"/>
                      <w:szCs w:val="21"/>
                    </w:rPr>
                  </w:pPr>
                  <w:r>
                    <w:rPr>
                      <w:rFonts w:hint="eastAsia"/>
                      <w:sz w:val="21"/>
                      <w:szCs w:val="21"/>
                    </w:rPr>
                    <w:t>草丛</w:t>
                  </w:r>
                </w:p>
              </w:tc>
              <w:tc>
                <w:tcPr>
                  <w:tcW w:w="2048" w:type="pct"/>
                  <w:noWrap w:val="0"/>
                  <w:vAlign w:val="center"/>
                </w:tcPr>
                <w:p>
                  <w:pPr>
                    <w:jc w:val="center"/>
                    <w:rPr>
                      <w:sz w:val="21"/>
                      <w:szCs w:val="21"/>
                    </w:rPr>
                  </w:pPr>
                  <w:r>
                    <w:rPr>
                      <w:rFonts w:hint="eastAsia"/>
                      <w:sz w:val="21"/>
                      <w:szCs w:val="21"/>
                    </w:rPr>
                    <w:t>长芒草、短话针茅杂类草丛</w:t>
                  </w:r>
                </w:p>
              </w:tc>
              <w:tc>
                <w:tcPr>
                  <w:tcW w:w="1105" w:type="pct"/>
                  <w:noWrap w:val="0"/>
                  <w:vAlign w:val="center"/>
                </w:tcPr>
                <w:p>
                  <w:pPr>
                    <w:jc w:val="center"/>
                    <w:rPr>
                      <w:rFonts w:hint="eastAsia"/>
                      <w:sz w:val="21"/>
                      <w:szCs w:val="21"/>
                    </w:rPr>
                  </w:pPr>
                  <w:r>
                    <w:rPr>
                      <w:rFonts w:hint="eastAsia"/>
                      <w:sz w:val="21"/>
                      <w:szCs w:val="21"/>
                    </w:rPr>
                    <w:t>1.0751</w:t>
                  </w:r>
                </w:p>
              </w:tc>
              <w:tc>
                <w:tcPr>
                  <w:tcW w:w="1032" w:type="pct"/>
                  <w:noWrap w:val="0"/>
                  <w:vAlign w:val="center"/>
                </w:tcPr>
                <w:p>
                  <w:pPr>
                    <w:jc w:val="center"/>
                    <w:rPr>
                      <w:rFonts w:hint="eastAsia"/>
                      <w:sz w:val="21"/>
                      <w:szCs w:val="21"/>
                    </w:rPr>
                  </w:pPr>
                  <w:r>
                    <w:rPr>
                      <w:rFonts w:hint="eastAsia"/>
                      <w:sz w:val="21"/>
                      <w:szCs w:val="21"/>
                    </w:rPr>
                    <w:t xml:space="preserve">43.96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57" w:type="dxa"/>
                  <w:bottom w:w="85" w:type="dxa"/>
                  <w:right w:w="57" w:type="dxa"/>
                </w:tblCellMar>
              </w:tblPrEx>
              <w:trPr>
                <w:jc w:val="center"/>
              </w:trPr>
              <w:tc>
                <w:tcPr>
                  <w:tcW w:w="815" w:type="pct"/>
                  <w:vMerge w:val="continue"/>
                  <w:noWrap w:val="0"/>
                  <w:vAlign w:val="center"/>
                </w:tcPr>
                <w:p>
                  <w:pPr>
                    <w:jc w:val="center"/>
                    <w:rPr>
                      <w:rFonts w:hint="eastAsia"/>
                      <w:sz w:val="21"/>
                      <w:szCs w:val="21"/>
                    </w:rPr>
                  </w:pPr>
                </w:p>
              </w:tc>
              <w:tc>
                <w:tcPr>
                  <w:tcW w:w="2048" w:type="pct"/>
                  <w:noWrap w:val="0"/>
                  <w:vAlign w:val="center"/>
                </w:tcPr>
                <w:p>
                  <w:pPr>
                    <w:jc w:val="center"/>
                    <w:rPr>
                      <w:rFonts w:hint="eastAsia"/>
                      <w:sz w:val="21"/>
                      <w:szCs w:val="21"/>
                    </w:rPr>
                  </w:pPr>
                  <w:r>
                    <w:rPr>
                      <w:rFonts w:hint="eastAsia"/>
                      <w:sz w:val="21"/>
                      <w:szCs w:val="21"/>
                    </w:rPr>
                    <w:t>短柄草、蒿草杂类草丛</w:t>
                  </w:r>
                </w:p>
              </w:tc>
              <w:tc>
                <w:tcPr>
                  <w:tcW w:w="1105" w:type="pct"/>
                  <w:noWrap w:val="0"/>
                  <w:vAlign w:val="center"/>
                </w:tcPr>
                <w:p>
                  <w:pPr>
                    <w:jc w:val="center"/>
                    <w:rPr>
                      <w:rFonts w:hint="eastAsia"/>
                      <w:sz w:val="21"/>
                      <w:szCs w:val="21"/>
                    </w:rPr>
                  </w:pPr>
                  <w:r>
                    <w:rPr>
                      <w:rFonts w:hint="eastAsia"/>
                      <w:sz w:val="21"/>
                      <w:szCs w:val="21"/>
                    </w:rPr>
                    <w:t>0.3951</w:t>
                  </w:r>
                </w:p>
              </w:tc>
              <w:tc>
                <w:tcPr>
                  <w:tcW w:w="1032" w:type="pct"/>
                  <w:noWrap w:val="0"/>
                  <w:vAlign w:val="center"/>
                </w:tcPr>
                <w:p>
                  <w:pPr>
                    <w:jc w:val="center"/>
                    <w:rPr>
                      <w:rFonts w:hint="eastAsia"/>
                      <w:sz w:val="21"/>
                      <w:szCs w:val="21"/>
                    </w:rPr>
                  </w:pPr>
                  <w:r>
                    <w:rPr>
                      <w:rFonts w:hint="eastAsia"/>
                      <w:sz w:val="21"/>
                      <w:szCs w:val="21"/>
                    </w:rPr>
                    <w:t xml:space="preserve">16.16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57" w:type="dxa"/>
                  <w:bottom w:w="85" w:type="dxa"/>
                  <w:right w:w="57" w:type="dxa"/>
                </w:tblCellMar>
              </w:tblPrEx>
              <w:trPr>
                <w:jc w:val="center"/>
              </w:trPr>
              <w:tc>
                <w:tcPr>
                  <w:tcW w:w="815" w:type="pct"/>
                  <w:noWrap w:val="0"/>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栽培植被</w:t>
                  </w:r>
                </w:p>
              </w:tc>
              <w:tc>
                <w:tcPr>
                  <w:tcW w:w="2048" w:type="pct"/>
                  <w:noWrap w:val="0"/>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农作物</w:t>
                  </w:r>
                </w:p>
              </w:tc>
              <w:tc>
                <w:tcPr>
                  <w:tcW w:w="1105" w:type="pct"/>
                  <w:noWrap w:val="0"/>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0.0657</w:t>
                  </w:r>
                </w:p>
              </w:tc>
              <w:tc>
                <w:tcPr>
                  <w:tcW w:w="1032" w:type="pct"/>
                  <w:noWrap w:val="0"/>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2.69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57" w:type="dxa"/>
                  <w:bottom w:w="85" w:type="dxa"/>
                  <w:right w:w="57" w:type="dxa"/>
                </w:tblCellMar>
              </w:tblPrEx>
              <w:trPr>
                <w:jc w:val="center"/>
              </w:trPr>
              <w:tc>
                <w:tcPr>
                  <w:tcW w:w="815" w:type="pct"/>
                  <w:tcBorders>
                    <w:right w:val="single" w:color="auto" w:sz="4" w:space="0"/>
                  </w:tcBorders>
                  <w:noWrap w:val="0"/>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非植被区</w:t>
                  </w:r>
                </w:p>
              </w:tc>
              <w:tc>
                <w:tcPr>
                  <w:tcW w:w="2048" w:type="pct"/>
                  <w:tcBorders>
                    <w:left w:val="single" w:color="auto" w:sz="4" w:space="0"/>
                  </w:tcBorders>
                  <w:noWrap w:val="0"/>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采矿地等</w:t>
                  </w:r>
                </w:p>
              </w:tc>
              <w:tc>
                <w:tcPr>
                  <w:tcW w:w="1105" w:type="pct"/>
                  <w:noWrap w:val="0"/>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0.8745</w:t>
                  </w:r>
                </w:p>
              </w:tc>
              <w:tc>
                <w:tcPr>
                  <w:tcW w:w="1032" w:type="pct"/>
                  <w:noWrap w:val="0"/>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35.76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63" w:type="pct"/>
                  <w:gridSpan w:val="2"/>
                  <w:noWrap w:val="0"/>
                  <w:vAlign w:val="center"/>
                </w:tcPr>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合计</w:t>
                  </w:r>
                </w:p>
              </w:tc>
              <w:tc>
                <w:tcPr>
                  <w:tcW w:w="1105" w:type="pct"/>
                  <w:noWrap w:val="0"/>
                  <w:vAlign w:val="center"/>
                </w:tcPr>
                <w:p>
                  <w:pPr>
                    <w:jc w:val="center"/>
                    <w:rPr>
                      <w:rFonts w:hint="eastAsia"/>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w:instrText>
                  </w:r>
                  <w:r>
                    <w:rPr>
                      <w:rFonts w:hint="eastAsia"/>
                      <w:color w:val="000000" w:themeColor="text1"/>
                      <w:sz w:val="21"/>
                      <w:szCs w:val="21"/>
                      <w14:textFill>
                        <w14:solidFill>
                          <w14:schemeClr w14:val="tx1"/>
                        </w14:solidFill>
                      </w14:textFill>
                    </w:rPr>
                    <w:instrText xml:space="preserve">=SUM(ABOVE)</w:instrText>
                  </w:r>
                  <w:r>
                    <w:rPr>
                      <w:color w:val="000000" w:themeColor="text1"/>
                      <w:sz w:val="21"/>
                      <w:szCs w:val="21"/>
                      <w14:textFill>
                        <w14:solidFill>
                          <w14:schemeClr w14:val="tx1"/>
                        </w14:solidFill>
                      </w14:textFill>
                    </w:rPr>
                    <w:instrText xml:space="preserve">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2.4454</w:t>
                  </w:r>
                  <w:r>
                    <w:rPr>
                      <w:color w:val="000000" w:themeColor="text1"/>
                      <w:sz w:val="21"/>
                      <w:szCs w:val="21"/>
                      <w14:textFill>
                        <w14:solidFill>
                          <w14:schemeClr w14:val="tx1"/>
                        </w14:solidFill>
                      </w14:textFill>
                    </w:rPr>
                    <w:fldChar w:fldCharType="end"/>
                  </w:r>
                </w:p>
              </w:tc>
              <w:tc>
                <w:tcPr>
                  <w:tcW w:w="1032" w:type="pct"/>
                  <w:noWrap w:val="0"/>
                  <w:vAlign w:val="center"/>
                </w:tcPr>
                <w:p>
                  <w:pPr>
                    <w:jc w:val="center"/>
                    <w:rPr>
                      <w:rFonts w:hint="eastAsia"/>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fldChar w:fldCharType="begin"/>
                  </w:r>
                  <w:r>
                    <w:rPr>
                      <w:color w:val="000000" w:themeColor="text1"/>
                      <w:sz w:val="21"/>
                      <w:szCs w:val="21"/>
                      <w14:textFill>
                        <w14:solidFill>
                          <w14:schemeClr w14:val="tx1"/>
                        </w14:solidFill>
                      </w14:textFill>
                    </w:rPr>
                    <w:instrText xml:space="preserve"> </w:instrText>
                  </w:r>
                  <w:r>
                    <w:rPr>
                      <w:rFonts w:hint="eastAsia"/>
                      <w:color w:val="000000" w:themeColor="text1"/>
                      <w:sz w:val="21"/>
                      <w:szCs w:val="21"/>
                      <w14:textFill>
                        <w14:solidFill>
                          <w14:schemeClr w14:val="tx1"/>
                        </w14:solidFill>
                      </w14:textFill>
                    </w:rPr>
                    <w:instrText xml:space="preserve">=SUM(ABOVE)</w:instrText>
                  </w:r>
                  <w:r>
                    <w:rPr>
                      <w:color w:val="000000" w:themeColor="text1"/>
                      <w:sz w:val="21"/>
                      <w:szCs w:val="21"/>
                      <w14:textFill>
                        <w14:solidFill>
                          <w14:schemeClr w14:val="tx1"/>
                        </w14:solidFill>
                      </w14:textFill>
                    </w:rPr>
                    <w:instrText xml:space="preserve"> </w:instrText>
                  </w:r>
                  <w:r>
                    <w:rPr>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100</w:t>
                  </w:r>
                  <w:r>
                    <w:rPr>
                      <w:color w:val="000000" w:themeColor="text1"/>
                      <w:sz w:val="21"/>
                      <w:szCs w:val="21"/>
                      <w14:textFill>
                        <w14:solidFill>
                          <w14:schemeClr w14:val="tx1"/>
                        </w14:solidFill>
                      </w14:textFill>
                    </w:rPr>
                    <w:fldChar w:fldCharType="end"/>
                  </w:r>
                </w:p>
              </w:tc>
            </w:tr>
          </w:tbl>
          <w:p>
            <w:pPr>
              <w:spacing w:line="360" w:lineRule="auto"/>
              <w:ind w:firstLine="482" w:firstLineChars="200"/>
              <w:jc w:val="center"/>
              <w:rPr>
                <w:rFonts w:hint="eastAsia" w:ascii="Times New Roman" w:hAnsi="Times New Roman" w:eastAsia="宋体" w:cs="Times New Roman"/>
                <w:b/>
                <w:bCs/>
                <w:color w:val="000000" w:themeColor="text1"/>
                <w:sz w:val="24"/>
                <w:szCs w:val="24"/>
                <w14:textFill>
                  <w14:solidFill>
                    <w14:schemeClr w14:val="tx1"/>
                  </w14:solidFill>
                </w14:textFill>
              </w:rPr>
            </w:pPr>
            <w:r>
              <w:rPr>
                <w:rFonts w:hint="eastAsia" w:ascii="Times New Roman" w:hAnsi="Times New Roman" w:eastAsia="宋体" w:cs="Times New Roman"/>
                <w:b/>
                <w:bCs/>
                <w:color w:val="000000" w:themeColor="text1"/>
                <w:sz w:val="24"/>
                <w:szCs w:val="24"/>
                <w14:textFill>
                  <w14:solidFill>
                    <w14:schemeClr w14:val="tx1"/>
                  </w14:solidFill>
                </w14:textFill>
              </w:rPr>
              <w:t>表</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3-4</w:t>
            </w:r>
            <w:r>
              <w:rPr>
                <w:rFonts w:hint="eastAsia" w:ascii="Times New Roman" w:hAnsi="Times New Roman" w:eastAsia="宋体" w:cs="Times New Roman"/>
                <w:b/>
                <w:bCs/>
                <w:color w:val="000000" w:themeColor="text1"/>
                <w:sz w:val="24"/>
                <w:szCs w:val="24"/>
                <w14:textFill>
                  <w14:solidFill>
                    <w14:schemeClr w14:val="tx1"/>
                  </w14:solidFill>
                </w14:textFill>
              </w:rPr>
              <w:t xml:space="preserve">  矿区范围内植被类型面积统计表</w:t>
            </w:r>
          </w:p>
          <w:tbl>
            <w:tblPr>
              <w:tblStyle w:val="2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57" w:type="dxa"/>
                <w:bottom w:w="85" w:type="dxa"/>
                <w:right w:w="57" w:type="dxa"/>
              </w:tblCellMar>
            </w:tblPr>
            <w:tblGrid>
              <w:gridCol w:w="1306"/>
              <w:gridCol w:w="3284"/>
              <w:gridCol w:w="1772"/>
              <w:gridCol w:w="1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57" w:type="dxa"/>
                  <w:bottom w:w="85" w:type="dxa"/>
                  <w:right w:w="57" w:type="dxa"/>
                </w:tblCellMar>
              </w:tblPrEx>
              <w:trPr>
                <w:jc w:val="center"/>
              </w:trPr>
              <w:tc>
                <w:tcPr>
                  <w:tcW w:w="815"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大类</w:t>
                  </w:r>
                </w:p>
              </w:tc>
              <w:tc>
                <w:tcPr>
                  <w:tcW w:w="2048"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名称</w:t>
                  </w:r>
                </w:p>
              </w:tc>
              <w:tc>
                <w:tcPr>
                  <w:tcW w:w="1105"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面积(km</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w:t>
                  </w:r>
                </w:p>
              </w:tc>
              <w:tc>
                <w:tcPr>
                  <w:tcW w:w="103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5" w:type="pct"/>
                  <w:vMerge w:val="restar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草丛</w:t>
                  </w:r>
                </w:p>
              </w:tc>
              <w:tc>
                <w:tcPr>
                  <w:tcW w:w="2048"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长芒草、短话针茅杂类草丛</w:t>
                  </w:r>
                </w:p>
              </w:tc>
              <w:tc>
                <w:tcPr>
                  <w:tcW w:w="1105" w:type="pct"/>
                  <w:noWrap w:val="0"/>
                  <w:vAlign w:val="center"/>
                </w:tcPr>
                <w:p>
                  <w:pPr>
                    <w:widowControl/>
                    <w:jc w:val="center"/>
                    <w:rPr>
                      <w:rFonts w:hint="default" w:ascii="Times New Roman" w:hAnsi="Times New Roman" w:eastAsia="等线" w:cs="Times New Roman"/>
                      <w:color w:val="000000" w:themeColor="text1"/>
                      <w:kern w:val="0"/>
                      <w:sz w:val="21"/>
                      <w:szCs w:val="21"/>
                      <w14:textFill>
                        <w14:solidFill>
                          <w14:schemeClr w14:val="tx1"/>
                        </w14:solidFill>
                      </w14:textFill>
                    </w:rPr>
                  </w:pPr>
                  <w:r>
                    <w:rPr>
                      <w:rFonts w:hint="default" w:ascii="Times New Roman" w:hAnsi="Times New Roman" w:eastAsia="等线" w:cs="Times New Roman"/>
                      <w:color w:val="000000" w:themeColor="text1"/>
                      <w:sz w:val="21"/>
                      <w:szCs w:val="21"/>
                      <w14:textFill>
                        <w14:solidFill>
                          <w14:schemeClr w14:val="tx1"/>
                        </w14:solidFill>
                      </w14:textFill>
                    </w:rPr>
                    <w:t>0.0296</w:t>
                  </w:r>
                </w:p>
              </w:tc>
              <w:tc>
                <w:tcPr>
                  <w:tcW w:w="1032" w:type="pct"/>
                  <w:noWrap w:val="0"/>
                  <w:vAlign w:val="center"/>
                </w:tcPr>
                <w:p>
                  <w:pPr>
                    <w:jc w:val="center"/>
                    <w:rPr>
                      <w:rFonts w:hint="default" w:ascii="Times New Roman" w:hAnsi="Times New Roman" w:eastAsia="等线" w:cs="Times New Roman"/>
                      <w:color w:val="000000" w:themeColor="text1"/>
                      <w:sz w:val="21"/>
                      <w:szCs w:val="21"/>
                      <w14:textFill>
                        <w14:solidFill>
                          <w14:schemeClr w14:val="tx1"/>
                        </w14:solidFill>
                      </w14:textFill>
                    </w:rPr>
                  </w:pPr>
                  <w:r>
                    <w:rPr>
                      <w:rFonts w:hint="default" w:ascii="Times New Roman" w:hAnsi="Times New Roman" w:eastAsia="等线" w:cs="Times New Roman"/>
                      <w:color w:val="000000" w:themeColor="text1"/>
                      <w:sz w:val="21"/>
                      <w:szCs w:val="21"/>
                      <w14:textFill>
                        <w14:solidFill>
                          <w14:schemeClr w14:val="tx1"/>
                        </w14:solidFill>
                      </w14:textFill>
                    </w:rPr>
                    <w:t>33.75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57" w:type="dxa"/>
                  <w:bottom w:w="85" w:type="dxa"/>
                  <w:right w:w="57" w:type="dxa"/>
                </w:tblCellMar>
              </w:tblPrEx>
              <w:trPr>
                <w:jc w:val="center"/>
              </w:trPr>
              <w:tc>
                <w:tcPr>
                  <w:tcW w:w="815" w:type="pct"/>
                  <w:vMerge w:val="continue"/>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2048"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短柄草、蒿草杂类草丛</w:t>
                  </w:r>
                </w:p>
              </w:tc>
              <w:tc>
                <w:tcPr>
                  <w:tcW w:w="1105" w:type="pct"/>
                  <w:noWrap w:val="0"/>
                  <w:vAlign w:val="center"/>
                </w:tcPr>
                <w:p>
                  <w:pPr>
                    <w:jc w:val="center"/>
                    <w:rPr>
                      <w:rFonts w:hint="default" w:ascii="Times New Roman" w:hAnsi="Times New Roman" w:eastAsia="等线" w:cs="Times New Roman"/>
                      <w:color w:val="000000" w:themeColor="text1"/>
                      <w:sz w:val="21"/>
                      <w:szCs w:val="21"/>
                      <w14:textFill>
                        <w14:solidFill>
                          <w14:schemeClr w14:val="tx1"/>
                        </w14:solidFill>
                      </w14:textFill>
                    </w:rPr>
                  </w:pPr>
                  <w:r>
                    <w:rPr>
                      <w:rFonts w:hint="default" w:ascii="Times New Roman" w:hAnsi="Times New Roman" w:eastAsia="等线" w:cs="Times New Roman"/>
                      <w:color w:val="000000" w:themeColor="text1"/>
                      <w:sz w:val="21"/>
                      <w:szCs w:val="21"/>
                      <w14:textFill>
                        <w14:solidFill>
                          <w14:schemeClr w14:val="tx1"/>
                        </w14:solidFill>
                      </w14:textFill>
                    </w:rPr>
                    <w:t>0.0502</w:t>
                  </w:r>
                </w:p>
              </w:tc>
              <w:tc>
                <w:tcPr>
                  <w:tcW w:w="1032" w:type="pct"/>
                  <w:noWrap w:val="0"/>
                  <w:vAlign w:val="center"/>
                </w:tcPr>
                <w:p>
                  <w:pPr>
                    <w:jc w:val="center"/>
                    <w:rPr>
                      <w:rFonts w:hint="default" w:ascii="Times New Roman" w:hAnsi="Times New Roman" w:eastAsia="等线" w:cs="Times New Roman"/>
                      <w:color w:val="000000" w:themeColor="text1"/>
                      <w:sz w:val="21"/>
                      <w:szCs w:val="21"/>
                      <w14:textFill>
                        <w14:solidFill>
                          <w14:schemeClr w14:val="tx1"/>
                        </w14:solidFill>
                      </w14:textFill>
                    </w:rPr>
                  </w:pPr>
                  <w:r>
                    <w:rPr>
                      <w:rFonts w:hint="default" w:ascii="Times New Roman" w:hAnsi="Times New Roman" w:eastAsia="等线" w:cs="Times New Roman"/>
                      <w:color w:val="000000" w:themeColor="text1"/>
                      <w:sz w:val="21"/>
                      <w:szCs w:val="21"/>
                      <w14:textFill>
                        <w14:solidFill>
                          <w14:schemeClr w14:val="tx1"/>
                        </w14:solidFill>
                      </w14:textFill>
                    </w:rPr>
                    <w:t>57.24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15"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非植被区</w:t>
                  </w:r>
                </w:p>
              </w:tc>
              <w:tc>
                <w:tcPr>
                  <w:tcW w:w="2048"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采矿区等</w:t>
                  </w:r>
                </w:p>
              </w:tc>
              <w:tc>
                <w:tcPr>
                  <w:tcW w:w="1105" w:type="pct"/>
                  <w:noWrap w:val="0"/>
                  <w:vAlign w:val="center"/>
                </w:tcPr>
                <w:p>
                  <w:pPr>
                    <w:jc w:val="center"/>
                    <w:rPr>
                      <w:rFonts w:hint="default" w:ascii="Times New Roman" w:hAnsi="Times New Roman" w:eastAsia="等线" w:cs="Times New Roman"/>
                      <w:color w:val="000000" w:themeColor="text1"/>
                      <w:sz w:val="21"/>
                      <w:szCs w:val="21"/>
                      <w14:textFill>
                        <w14:solidFill>
                          <w14:schemeClr w14:val="tx1"/>
                        </w14:solidFill>
                      </w14:textFill>
                    </w:rPr>
                  </w:pPr>
                  <w:r>
                    <w:rPr>
                      <w:rFonts w:hint="default" w:ascii="Times New Roman" w:hAnsi="Times New Roman" w:eastAsia="等线" w:cs="Times New Roman"/>
                      <w:color w:val="000000" w:themeColor="text1"/>
                      <w:sz w:val="21"/>
                      <w:szCs w:val="21"/>
                      <w14:textFill>
                        <w14:solidFill>
                          <w14:schemeClr w14:val="tx1"/>
                        </w14:solidFill>
                      </w14:textFill>
                    </w:rPr>
                    <w:t>0.0079</w:t>
                  </w:r>
                </w:p>
              </w:tc>
              <w:tc>
                <w:tcPr>
                  <w:tcW w:w="1032" w:type="pct"/>
                  <w:noWrap w:val="0"/>
                  <w:vAlign w:val="center"/>
                </w:tcPr>
                <w:p>
                  <w:pPr>
                    <w:jc w:val="center"/>
                    <w:rPr>
                      <w:rFonts w:hint="default" w:ascii="Times New Roman" w:hAnsi="Times New Roman" w:eastAsia="等线" w:cs="Times New Roman"/>
                      <w:color w:val="000000" w:themeColor="text1"/>
                      <w:sz w:val="21"/>
                      <w:szCs w:val="21"/>
                      <w14:textFill>
                        <w14:solidFill>
                          <w14:schemeClr w14:val="tx1"/>
                        </w14:solidFill>
                      </w14:textFill>
                    </w:rPr>
                  </w:pPr>
                  <w:r>
                    <w:rPr>
                      <w:rFonts w:hint="default" w:ascii="Times New Roman" w:hAnsi="Times New Roman" w:eastAsia="等线" w:cs="Times New Roman"/>
                      <w:color w:val="000000" w:themeColor="text1"/>
                      <w:sz w:val="21"/>
                      <w:szCs w:val="21"/>
                      <w14:textFill>
                        <w14:solidFill>
                          <w14:schemeClr w14:val="tx1"/>
                        </w14:solidFill>
                      </w14:textFill>
                    </w:rPr>
                    <w:t>9.01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85" w:type="dxa"/>
                  <w:left w:w="57" w:type="dxa"/>
                  <w:bottom w:w="85" w:type="dxa"/>
                  <w:right w:w="57" w:type="dxa"/>
                </w:tblCellMar>
              </w:tblPrEx>
              <w:trPr>
                <w:jc w:val="center"/>
              </w:trPr>
              <w:tc>
                <w:tcPr>
                  <w:tcW w:w="2863" w:type="pct"/>
                  <w:gridSpan w:val="2"/>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合计</w:t>
                  </w:r>
                </w:p>
              </w:tc>
              <w:tc>
                <w:tcPr>
                  <w:tcW w:w="1105" w:type="pct"/>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0.0877</w:t>
                  </w:r>
                </w:p>
              </w:tc>
              <w:tc>
                <w:tcPr>
                  <w:tcW w:w="1032" w:type="pct"/>
                  <w:noWrap w:val="0"/>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fldChar w:fldCharType="begin"/>
                  </w:r>
                  <w:r>
                    <w:rPr>
                      <w:rFonts w:hint="default" w:ascii="Times New Roman" w:hAnsi="Times New Roman" w:cs="Times New Roman"/>
                      <w:color w:val="000000" w:themeColor="text1"/>
                      <w:sz w:val="21"/>
                      <w:szCs w:val="21"/>
                      <w14:textFill>
                        <w14:solidFill>
                          <w14:schemeClr w14:val="tx1"/>
                        </w14:solidFill>
                      </w14:textFill>
                    </w:rPr>
                    <w:instrText xml:space="preserve"> =SUM(ABOVE) </w:instrText>
                  </w:r>
                  <w:r>
                    <w:rPr>
                      <w:rFonts w:hint="default" w:ascii="Times New Roman" w:hAnsi="Times New Roman" w:cs="Times New Roman"/>
                      <w:color w:val="000000" w:themeColor="text1"/>
                      <w:sz w:val="21"/>
                      <w:szCs w:val="21"/>
                      <w14:textFill>
                        <w14:solidFill>
                          <w14:schemeClr w14:val="tx1"/>
                        </w14:solidFill>
                      </w14:textFill>
                    </w:rPr>
                    <w:fldChar w:fldCharType="separate"/>
                  </w:r>
                  <w:r>
                    <w:rPr>
                      <w:rFonts w:hint="default" w:ascii="Times New Roman" w:hAnsi="Times New Roman" w:cs="Times New Roman"/>
                      <w:color w:val="000000" w:themeColor="text1"/>
                      <w:sz w:val="21"/>
                      <w:szCs w:val="21"/>
                      <w14:textFill>
                        <w14:solidFill>
                          <w14:schemeClr w14:val="tx1"/>
                        </w14:solidFill>
                      </w14:textFill>
                    </w:rPr>
                    <w:t>100</w:t>
                  </w:r>
                  <w:r>
                    <w:rPr>
                      <w:rFonts w:hint="default" w:ascii="Times New Roman" w:hAnsi="Times New Roman" w:cs="Times New Roman"/>
                      <w:color w:val="000000" w:themeColor="text1"/>
                      <w:sz w:val="21"/>
                      <w:szCs w:val="21"/>
                      <w14:textFill>
                        <w14:solidFill>
                          <w14:schemeClr w14:val="tx1"/>
                        </w14:solidFill>
                      </w14:textFill>
                    </w:rPr>
                    <w:fldChar w:fldCharType="end"/>
                  </w:r>
                </w:p>
              </w:tc>
            </w:tr>
          </w:tbl>
          <w:p>
            <w:pPr>
              <w:keepNext w:val="0"/>
              <w:keepLines w:val="0"/>
              <w:pageBreakBefore w:val="0"/>
              <w:widowControl w:val="0"/>
              <w:kinsoku/>
              <w:wordWrap/>
              <w:overflowPunct/>
              <w:topLinePunct w:val="0"/>
              <w:autoSpaceDE w:val="0"/>
              <w:autoSpaceDN w:val="0"/>
              <w:bidi w:val="0"/>
              <w:adjustRightInd w:val="0"/>
              <w:snapToGrid/>
              <w:spacing w:after="0" w:line="360" w:lineRule="auto"/>
              <w:ind w:right="0" w:firstLine="480" w:firstLineChars="200"/>
              <w:jc w:val="left"/>
              <w:textAlignment w:val="auto"/>
              <w:rPr>
                <w:rFonts w:ascii="宋体" w:hAnsi="宋体" w:cs="宋体"/>
                <w:color w:val="000000" w:themeColor="text1"/>
                <w:spacing w:val="0"/>
                <w:sz w:val="24"/>
                <w14:textFill>
                  <w14:solidFill>
                    <w14:schemeClr w14:val="tx1"/>
                  </w14:solidFill>
                </w14:textFill>
              </w:rPr>
            </w:pPr>
            <w:r>
              <w:rPr>
                <w:rFonts w:hint="default" w:ascii="Times New Roman" w:hAnsi="Times New Roman" w:eastAsia="宋体" w:cs="Times New Roman"/>
                <w:color w:val="000000" w:themeColor="text1"/>
                <w:spacing w:val="0"/>
                <w:sz w:val="24"/>
                <w14:textFill>
                  <w14:solidFill>
                    <w14:schemeClr w14:val="tx1"/>
                  </w14:solidFill>
                </w14:textFill>
              </w:rPr>
              <w:t>根据以上表可知</w:t>
            </w:r>
            <w:r>
              <w:rPr>
                <w:rFonts w:hint="eastAsia" w:ascii="Times New Roman" w:hAnsi="Times New Roman" w:eastAsia="宋体" w:cs="Times New Roman"/>
                <w:color w:val="000000" w:themeColor="text1"/>
                <w:spacing w:val="0"/>
                <w:sz w:val="24"/>
                <w:lang w:eastAsia="zh-CN"/>
                <w14:textFill>
                  <w14:solidFill>
                    <w14:schemeClr w14:val="tx1"/>
                  </w14:solidFill>
                </w14:textFill>
              </w:rPr>
              <w:t>：</w:t>
            </w:r>
            <w:r>
              <w:rPr>
                <w:rFonts w:hint="default" w:ascii="Times New Roman" w:hAnsi="Times New Roman" w:eastAsia="宋体" w:cs="Times New Roman"/>
                <w:color w:val="000000" w:themeColor="text1"/>
                <w:spacing w:val="4"/>
                <w:sz w:val="24"/>
                <w14:textFill>
                  <w14:solidFill>
                    <w14:schemeClr w14:val="tx1"/>
                  </w14:solidFill>
                </w14:textFill>
              </w:rPr>
              <w:t>本项目矿区范围内植被类型主要</w:t>
            </w:r>
            <w:r>
              <w:rPr>
                <w:rFonts w:hint="default" w:ascii="Times New Roman" w:hAnsi="Times New Roman" w:eastAsia="宋体" w:cs="Times New Roman"/>
                <w:color w:val="000000" w:themeColor="text1"/>
                <w:sz w:val="24"/>
                <w14:textFill>
                  <w14:solidFill>
                    <w14:schemeClr w14:val="tx1"/>
                  </w14:solidFill>
                </w14:textFill>
              </w:rPr>
              <w:t>草丛</w:t>
            </w:r>
            <w:r>
              <w:rPr>
                <w:rFonts w:hint="default" w:ascii="Times New Roman" w:hAnsi="Times New Roman" w:eastAsia="宋体" w:cs="Times New Roman"/>
                <w:color w:val="000000" w:themeColor="text1"/>
                <w:spacing w:val="0"/>
                <w:sz w:val="24"/>
                <w:lang w:eastAsia="zh-CN"/>
                <w14:textFill>
                  <w14:solidFill>
                    <w14:schemeClr w14:val="tx1"/>
                  </w14:solidFill>
                </w14:textFill>
              </w:rPr>
              <w:t>，</w:t>
            </w:r>
            <w:r>
              <w:rPr>
                <w:rFonts w:hint="default" w:ascii="Times New Roman" w:hAnsi="Times New Roman" w:eastAsia="宋体" w:cs="Times New Roman"/>
                <w:color w:val="000000" w:themeColor="text1"/>
                <w:spacing w:val="1"/>
                <w:sz w:val="24"/>
                <w14:textFill>
                  <w14:solidFill>
                    <w14:schemeClr w14:val="tx1"/>
                  </w14:solidFill>
                </w14:textFill>
              </w:rPr>
              <w:t xml:space="preserve">面积为 </w:t>
            </w:r>
            <w:r>
              <w:rPr>
                <w:rFonts w:hint="default" w:ascii="Times New Roman" w:hAnsi="Times New Roman" w:eastAsia="宋体" w:cs="Times New Roman"/>
                <w:color w:val="000000" w:themeColor="text1"/>
                <w:spacing w:val="0"/>
                <w:sz w:val="24"/>
                <w:lang w:val="en-US" w:eastAsia="zh-CN"/>
                <w14:textFill>
                  <w14:solidFill>
                    <w14:schemeClr w14:val="tx1"/>
                  </w14:solidFill>
                </w14:textFill>
              </w:rPr>
              <w:t>0.0</w:t>
            </w:r>
            <w:r>
              <w:rPr>
                <w:rFonts w:hint="eastAsia" w:cs="Times New Roman"/>
                <w:color w:val="000000" w:themeColor="text1"/>
                <w:spacing w:val="0"/>
                <w:sz w:val="24"/>
                <w:lang w:val="en-US" w:eastAsia="zh-CN"/>
                <w14:textFill>
                  <w14:solidFill>
                    <w14:schemeClr w14:val="tx1"/>
                  </w14:solidFill>
                </w14:textFill>
              </w:rPr>
              <w:t>798</w:t>
            </w:r>
            <w:r>
              <w:rPr>
                <w:rFonts w:hint="default" w:ascii="Times New Roman" w:hAnsi="Times New Roman" w:eastAsia="宋体" w:cs="Times New Roman"/>
                <w:color w:val="000000" w:themeColor="text1"/>
                <w:spacing w:val="0"/>
                <w:sz w:val="24"/>
                <w:lang w:val="en-US" w:eastAsia="zh-CN"/>
                <w14:textFill>
                  <w14:solidFill>
                    <w14:schemeClr w14:val="tx1"/>
                  </w14:solidFill>
                </w14:textFill>
              </w:rPr>
              <w:t>k</w:t>
            </w:r>
            <w:r>
              <w:rPr>
                <w:rFonts w:hint="default" w:ascii="Times New Roman" w:hAnsi="Times New Roman" w:eastAsia="宋体" w:cs="Times New Roman"/>
                <w:color w:val="000000" w:themeColor="text1"/>
                <w:spacing w:val="0"/>
                <w:sz w:val="24"/>
                <w14:textFill>
                  <w14:solidFill>
                    <w14:schemeClr w14:val="tx1"/>
                  </w14:solidFill>
                </w14:textFill>
              </w:rPr>
              <w:t>m</w:t>
            </w:r>
            <w:r>
              <w:rPr>
                <w:rFonts w:hint="default" w:ascii="Times New Roman" w:hAnsi="Times New Roman" w:eastAsia="宋体" w:cs="Times New Roman"/>
                <w:color w:val="000000" w:themeColor="text1"/>
                <w:spacing w:val="0"/>
                <w:sz w:val="24"/>
                <w:vertAlign w:val="superscript"/>
                <w14:textFill>
                  <w14:solidFill>
                    <w14:schemeClr w14:val="tx1"/>
                  </w14:solidFill>
                </w14:textFill>
              </w:rPr>
              <w:t>2</w:t>
            </w:r>
            <w:r>
              <w:rPr>
                <w:rFonts w:hint="eastAsia" w:ascii="Times New Roman" w:hAnsi="Times New Roman" w:eastAsia="宋体" w:cs="Times New Roman"/>
                <w:color w:val="000000" w:themeColor="text1"/>
                <w:spacing w:val="0"/>
                <w:sz w:val="24"/>
                <w:vertAlign w:val="baseline"/>
                <w:lang w:eastAsia="zh-CN"/>
                <w14:textFill>
                  <w14:solidFill>
                    <w14:schemeClr w14:val="tx1"/>
                  </w14:solidFill>
                </w14:textFill>
              </w:rPr>
              <w:t>，</w:t>
            </w:r>
            <w:r>
              <w:rPr>
                <w:rFonts w:hint="default" w:ascii="Times New Roman" w:hAnsi="Times New Roman" w:eastAsia="宋体" w:cs="Times New Roman"/>
                <w:color w:val="000000" w:themeColor="text1"/>
                <w:spacing w:val="1"/>
                <w:sz w:val="24"/>
                <w14:textFill>
                  <w14:solidFill>
                    <w14:schemeClr w14:val="tx1"/>
                  </w14:solidFill>
                </w14:textFill>
              </w:rPr>
              <w:t>占总面积的</w:t>
            </w:r>
            <w:r>
              <w:rPr>
                <w:rFonts w:hint="default" w:ascii="Times New Roman" w:hAnsi="Times New Roman" w:eastAsia="宋体" w:cs="Times New Roman"/>
                <w:color w:val="000000" w:themeColor="text1"/>
                <w:spacing w:val="-1"/>
                <w:sz w:val="24"/>
                <w14:textFill>
                  <w14:solidFill>
                    <w14:schemeClr w14:val="tx1"/>
                  </w14:solidFill>
                </w14:textFill>
              </w:rPr>
              <w:t xml:space="preserve"> </w:t>
            </w:r>
            <w:r>
              <w:rPr>
                <w:rFonts w:hint="eastAsia" w:cs="Times New Roman"/>
                <w:color w:val="000000" w:themeColor="text1"/>
                <w:spacing w:val="0"/>
                <w:sz w:val="24"/>
                <w:lang w:val="en-US" w:eastAsia="zh-CN"/>
                <w14:textFill>
                  <w14:solidFill>
                    <w14:schemeClr w14:val="tx1"/>
                  </w14:solidFill>
                </w14:textFill>
              </w:rPr>
              <w:t>90.99</w:t>
            </w:r>
            <w:r>
              <w:rPr>
                <w:rFonts w:hint="default" w:ascii="Times New Roman" w:hAnsi="Times New Roman" w:eastAsia="宋体" w:cs="Times New Roman"/>
                <w:color w:val="000000" w:themeColor="text1"/>
                <w:spacing w:val="0"/>
                <w:sz w:val="24"/>
                <w14:textFill>
                  <w14:solidFill>
                    <w14:schemeClr w14:val="tx1"/>
                  </w14:solidFill>
                </w14:textFill>
              </w:rPr>
              <w:t>%</w:t>
            </w:r>
            <w:r>
              <w:rPr>
                <w:rFonts w:hint="eastAsia" w:ascii="Times New Roman" w:hAnsi="Times New Roman" w:eastAsia="宋体" w:cs="Times New Roman"/>
                <w:color w:val="000000" w:themeColor="text1"/>
                <w:spacing w:val="0"/>
                <w:sz w:val="24"/>
                <w:lang w:eastAsia="zh-CN"/>
                <w14:textFill>
                  <w14:solidFill>
                    <w14:schemeClr w14:val="tx1"/>
                  </w14:solidFill>
                </w14:textFill>
              </w:rPr>
              <w:t>；</w:t>
            </w:r>
            <w:r>
              <w:rPr>
                <w:rFonts w:hint="default" w:ascii="Times New Roman" w:hAnsi="Times New Roman" w:eastAsia="宋体" w:cs="Times New Roman"/>
                <w:color w:val="000000" w:themeColor="text1"/>
                <w:spacing w:val="1"/>
                <w:sz w:val="24"/>
                <w14:textFill>
                  <w14:solidFill>
                    <w14:schemeClr w14:val="tx1"/>
                  </w14:solidFill>
                </w14:textFill>
              </w:rPr>
              <w:t>其</w:t>
            </w:r>
            <w:r>
              <w:rPr>
                <w:rFonts w:hint="eastAsia" w:cs="Times New Roman"/>
                <w:color w:val="000000" w:themeColor="text1"/>
                <w:spacing w:val="1"/>
                <w:sz w:val="24"/>
                <w:lang w:eastAsia="zh-CN"/>
                <w14:textFill>
                  <w14:solidFill>
                    <w14:schemeClr w14:val="tx1"/>
                  </w14:solidFill>
                </w14:textFill>
              </w:rPr>
              <w:t>他</w:t>
            </w:r>
            <w:r>
              <w:rPr>
                <w:rFonts w:hint="default" w:ascii="Times New Roman" w:hAnsi="Times New Roman" w:eastAsia="宋体" w:cs="Times New Roman"/>
                <w:color w:val="000000" w:themeColor="text1"/>
                <w:spacing w:val="4"/>
                <w:sz w:val="24"/>
                <w14:textFill>
                  <w14:solidFill>
                    <w14:schemeClr w14:val="tx1"/>
                  </w14:solidFill>
                </w14:textFill>
              </w:rPr>
              <w:t>为非植被区</w:t>
            </w:r>
            <w:r>
              <w:rPr>
                <w:rFonts w:hint="default" w:ascii="Times New Roman" w:hAnsi="Times New Roman" w:eastAsia="宋体" w:cs="Times New Roman"/>
                <w:color w:val="000000" w:themeColor="text1"/>
                <w:spacing w:val="1"/>
                <w:sz w:val="24"/>
                <w:lang w:val="en-US" w:eastAsia="zh-CN"/>
                <w14:textFill>
                  <w14:solidFill>
                    <w14:schemeClr w14:val="tx1"/>
                  </w14:solidFill>
                </w14:textFill>
              </w:rPr>
              <w:t>，</w:t>
            </w:r>
            <w:r>
              <w:rPr>
                <w:rFonts w:hint="default" w:ascii="Times New Roman" w:hAnsi="Times New Roman" w:eastAsia="宋体" w:cs="Times New Roman"/>
                <w:color w:val="000000" w:themeColor="text1"/>
                <w:spacing w:val="-8"/>
                <w:sz w:val="24"/>
                <w14:textFill>
                  <w14:solidFill>
                    <w14:schemeClr w14:val="tx1"/>
                  </w14:solidFill>
                </w14:textFill>
              </w:rPr>
              <w:t>面积分别为</w:t>
            </w:r>
            <w:r>
              <w:rPr>
                <w:rFonts w:hint="default" w:ascii="Times New Roman" w:hAnsi="Times New Roman" w:eastAsia="宋体" w:cs="Times New Roman"/>
                <w:color w:val="000000" w:themeColor="text1"/>
                <w:spacing w:val="0"/>
                <w:sz w:val="24"/>
                <w:lang w:val="en-US" w:eastAsia="zh-CN"/>
                <w14:textFill>
                  <w14:solidFill>
                    <w14:schemeClr w14:val="tx1"/>
                  </w14:solidFill>
                </w14:textFill>
              </w:rPr>
              <w:t>0.00</w:t>
            </w:r>
            <w:r>
              <w:rPr>
                <w:rFonts w:hint="eastAsia" w:cs="Times New Roman"/>
                <w:color w:val="000000" w:themeColor="text1"/>
                <w:spacing w:val="0"/>
                <w:sz w:val="24"/>
                <w:lang w:val="en-US" w:eastAsia="zh-CN"/>
                <w14:textFill>
                  <w14:solidFill>
                    <w14:schemeClr w14:val="tx1"/>
                  </w14:solidFill>
                </w14:textFill>
              </w:rPr>
              <w:t>79</w:t>
            </w:r>
            <w:r>
              <w:rPr>
                <w:rFonts w:hint="default" w:ascii="Times New Roman" w:hAnsi="Times New Roman" w:eastAsia="宋体" w:cs="Times New Roman"/>
                <w:color w:val="000000" w:themeColor="text1"/>
                <w:spacing w:val="0"/>
                <w:sz w:val="24"/>
                <w:lang w:val="en-US" w:eastAsia="zh-CN"/>
                <w14:textFill>
                  <w14:solidFill>
                    <w14:schemeClr w14:val="tx1"/>
                  </w14:solidFill>
                </w14:textFill>
              </w:rPr>
              <w:t>k</w:t>
            </w:r>
            <w:r>
              <w:rPr>
                <w:rFonts w:hint="default" w:ascii="Times New Roman" w:hAnsi="Times New Roman" w:eastAsia="宋体" w:cs="Times New Roman"/>
                <w:color w:val="000000" w:themeColor="text1"/>
                <w:spacing w:val="0"/>
                <w:sz w:val="24"/>
                <w14:textFill>
                  <w14:solidFill>
                    <w14:schemeClr w14:val="tx1"/>
                  </w14:solidFill>
                </w14:textFill>
              </w:rPr>
              <w:t>m</w:t>
            </w:r>
            <w:r>
              <w:rPr>
                <w:rFonts w:hint="default" w:ascii="Times New Roman" w:hAnsi="Times New Roman" w:eastAsia="宋体" w:cs="Times New Roman"/>
                <w:color w:val="000000" w:themeColor="text1"/>
                <w:spacing w:val="0"/>
                <w:sz w:val="24"/>
                <w:vertAlign w:val="superscript"/>
                <w14:textFill>
                  <w14:solidFill>
                    <w14:schemeClr w14:val="tx1"/>
                  </w14:solidFill>
                </w14:textFill>
              </w:rPr>
              <w:t>2</w:t>
            </w:r>
            <w:r>
              <w:rPr>
                <w:rFonts w:hint="eastAsia" w:ascii="Times New Roman" w:hAnsi="Times New Roman" w:eastAsia="宋体" w:cs="Times New Roman"/>
                <w:color w:val="000000" w:themeColor="text1"/>
                <w:spacing w:val="0"/>
                <w:sz w:val="24"/>
                <w:lang w:eastAsia="zh-CN"/>
                <w14:textFill>
                  <w14:solidFill>
                    <w14:schemeClr w14:val="tx1"/>
                  </w14:solidFill>
                </w14:textFill>
              </w:rPr>
              <w:t>，</w:t>
            </w:r>
            <w:r>
              <w:rPr>
                <w:rFonts w:hint="default" w:ascii="Times New Roman" w:hAnsi="Times New Roman" w:eastAsia="宋体" w:cs="Times New Roman"/>
                <w:color w:val="000000" w:themeColor="text1"/>
                <w:spacing w:val="0"/>
                <w:sz w:val="24"/>
                <w14:textFill>
                  <w14:solidFill>
                    <w14:schemeClr w14:val="tx1"/>
                  </w14:solidFill>
                </w14:textFill>
              </w:rPr>
              <w:t>占总面积的</w:t>
            </w:r>
            <w:r>
              <w:rPr>
                <w:rFonts w:hint="default" w:ascii="Times New Roman" w:hAnsi="Times New Roman" w:eastAsia="宋体" w:cs="Times New Roman"/>
                <w:color w:val="000000" w:themeColor="text1"/>
                <w:spacing w:val="2"/>
                <w:sz w:val="24"/>
                <w14:textFill>
                  <w14:solidFill>
                    <w14:schemeClr w14:val="tx1"/>
                  </w14:solidFill>
                </w14:textFill>
              </w:rPr>
              <w:t xml:space="preserve"> </w:t>
            </w:r>
            <w:r>
              <w:rPr>
                <w:rFonts w:hint="eastAsia" w:cs="Times New Roman"/>
                <w:color w:val="000000" w:themeColor="text1"/>
                <w:spacing w:val="0"/>
                <w:sz w:val="24"/>
                <w:lang w:val="en-US" w:eastAsia="zh-CN"/>
                <w14:textFill>
                  <w14:solidFill>
                    <w14:schemeClr w14:val="tx1"/>
                  </w14:solidFill>
                </w14:textFill>
              </w:rPr>
              <w:t>9.01</w:t>
            </w:r>
            <w:r>
              <w:rPr>
                <w:rFonts w:hint="default" w:ascii="Times New Roman" w:hAnsi="Times New Roman" w:eastAsia="宋体" w:cs="Times New Roman"/>
                <w:color w:val="000000" w:themeColor="text1"/>
                <w:spacing w:val="0"/>
                <w:sz w:val="24"/>
                <w14:textFill>
                  <w14:solidFill>
                    <w14:schemeClr w14:val="tx1"/>
                  </w14:solidFill>
                </w14:textFill>
              </w:rPr>
              <w:t>%</w:t>
            </w:r>
            <w:r>
              <w:rPr>
                <w:rFonts w:hint="default" w:ascii="Times New Roman" w:hAnsi="Times New Roman" w:eastAsia="宋体" w:cs="Times New Roman"/>
                <w:color w:val="000000" w:themeColor="text1"/>
                <w:spacing w:val="-82"/>
                <w:sz w:val="24"/>
                <w14:textFill>
                  <w14:solidFill>
                    <w14:schemeClr w14:val="tx1"/>
                  </w14:solidFill>
                </w14:textFill>
              </w:rPr>
              <w:t>。</w:t>
            </w:r>
            <w:r>
              <w:rPr>
                <w:rFonts w:hint="default" w:ascii="Times New Roman" w:hAnsi="Times New Roman" w:eastAsia="宋体" w:cs="Times New Roman"/>
                <w:color w:val="000000" w:themeColor="text1"/>
                <w:spacing w:val="0"/>
                <w:sz w:val="24"/>
                <w14:textFill>
                  <w14:solidFill>
                    <w14:schemeClr w14:val="tx1"/>
                  </w14:solidFill>
                </w14:textFill>
              </w:rPr>
              <w:t>植被类型图如图</w:t>
            </w:r>
            <w:r>
              <w:rPr>
                <w:rFonts w:hint="eastAsia" w:cs="Times New Roman"/>
                <w:color w:val="000000" w:themeColor="text1"/>
                <w:spacing w:val="0"/>
                <w:sz w:val="24"/>
                <w:lang w:val="en-US" w:eastAsia="zh-CN"/>
                <w14:textFill>
                  <w14:solidFill>
                    <w14:schemeClr w14:val="tx1"/>
                  </w14:solidFill>
                </w14:textFill>
              </w:rPr>
              <w:t>3-3</w:t>
            </w:r>
            <w:r>
              <w:rPr>
                <w:rFonts w:hint="default" w:ascii="Times New Roman" w:hAnsi="Times New Roman" w:eastAsia="宋体" w:cs="Times New Roman"/>
                <w:color w:val="000000" w:themeColor="text1"/>
                <w:spacing w:val="0"/>
                <w:sz w:val="24"/>
                <w14:textFill>
                  <w14:solidFill>
                    <w14:schemeClr w14:val="tx1"/>
                  </w14:solidFill>
                </w14:textFill>
              </w:rPr>
              <w:t>所示。</w:t>
            </w:r>
          </w:p>
          <w:p>
            <w:pPr>
              <w:numPr>
                <w:ilvl w:val="0"/>
                <w:numId w:val="0"/>
              </w:numPr>
              <w:adjustRightInd w:val="0"/>
              <w:snapToGrid w:val="0"/>
              <w:spacing w:line="360" w:lineRule="auto"/>
              <w:rPr>
                <w:b/>
                <w:sz w:val="24"/>
              </w:rPr>
            </w:pPr>
            <w:r>
              <w:rPr>
                <w:rFonts w:hint="eastAsia"/>
                <w:b/>
                <w:color w:val="000000" w:themeColor="text1"/>
                <w:sz w:val="24"/>
                <w:lang w:val="en-US" w:eastAsia="zh-CN"/>
                <w14:textFill>
                  <w14:solidFill>
                    <w14:schemeClr w14:val="tx1"/>
                  </w14:solidFill>
                </w14:textFill>
              </w:rPr>
              <w:t>5.</w:t>
            </w:r>
            <w:r>
              <w:rPr>
                <w:b/>
                <w:color w:val="000000" w:themeColor="text1"/>
                <w:sz w:val="24"/>
                <w14:textFill>
                  <w14:solidFill>
                    <w14:schemeClr w14:val="tx1"/>
                  </w14:solidFill>
                </w14:textFill>
              </w:rPr>
              <w:t>环境空气质量现状</w:t>
            </w:r>
          </w:p>
          <w:p>
            <w:pPr>
              <w:adjustRightInd w:val="0"/>
              <w:snapToGrid w:val="0"/>
              <w:spacing w:line="360" w:lineRule="auto"/>
              <w:ind w:firstLine="482" w:firstLineChars="200"/>
              <w:rPr>
                <w:b/>
                <w:sz w:val="24"/>
              </w:rPr>
            </w:pPr>
            <w:r>
              <w:rPr>
                <w:rFonts w:hint="eastAsia"/>
                <w:b/>
                <w:sz w:val="24"/>
                <w:lang w:val="en-US" w:eastAsia="zh-CN"/>
              </w:rPr>
              <w:t>5</w:t>
            </w:r>
            <w:r>
              <w:rPr>
                <w:b/>
                <w:sz w:val="24"/>
              </w:rPr>
              <w:t>.1区域环境空气达标区判定</w:t>
            </w:r>
          </w:p>
          <w:p>
            <w:pPr>
              <w:spacing w:line="360" w:lineRule="auto"/>
              <w:ind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根据《环境影响评价技术导则 大气环境》（HJ2.2-2018），项目所在区域达标情况判定优先采用国家或地方生态环境主管部门公</w:t>
            </w:r>
            <w:r>
              <w:rPr>
                <w:rFonts w:hint="eastAsia" w:ascii="Times New Roman" w:hAnsi="Times New Roman" w:eastAsia="宋体" w:cs="Times New Roman"/>
                <w:sz w:val="24"/>
                <w:szCs w:val="24"/>
                <w:lang w:eastAsia="zh-CN"/>
              </w:rPr>
              <w:t>开</w:t>
            </w:r>
            <w:r>
              <w:rPr>
                <w:rFonts w:hint="default" w:ascii="Times New Roman" w:hAnsi="Times New Roman" w:eastAsia="宋体" w:cs="Times New Roman"/>
                <w:sz w:val="24"/>
                <w:szCs w:val="24"/>
              </w:rPr>
              <w:t>发布的环境质量公告或环境质量报告中的数据或结论。</w:t>
            </w:r>
          </w:p>
          <w:p>
            <w:pPr>
              <w:spacing w:line="360" w:lineRule="auto"/>
              <w:ind w:firstLine="480" w:firstLineChars="200"/>
              <w:rPr>
                <w:rFonts w:hint="eastAsia" w:hAnsi="宋体"/>
                <w:color w:val="auto"/>
                <w:kern w:val="0"/>
                <w:sz w:val="24"/>
              </w:rPr>
            </w:pPr>
            <w:r>
              <w:rPr>
                <w:rFonts w:hint="default" w:ascii="Times New Roman" w:hAnsi="Times New Roman" w:eastAsia="宋体" w:cs="Times New Roman"/>
                <w:sz w:val="24"/>
                <w:szCs w:val="24"/>
              </w:rPr>
              <w:t>根据生态环境部环境空气质量模型技术支持服务系统</w:t>
            </w:r>
            <w:r>
              <w:rPr>
                <w:rFonts w:hint="eastAsia" w:ascii="Times New Roman" w:hAnsi="Times New Roman" w:eastAsia="宋体"/>
                <w:sz w:val="24"/>
                <w:lang w:eastAsia="zh-CN"/>
              </w:rPr>
              <w:t>临夏州20</w:t>
            </w:r>
            <w:r>
              <w:rPr>
                <w:rFonts w:hint="eastAsia" w:ascii="Times New Roman" w:hAnsi="Times New Roman" w:eastAsia="宋体"/>
                <w:sz w:val="24"/>
                <w:lang w:val="en-US" w:eastAsia="zh-CN"/>
              </w:rPr>
              <w:t>20</w:t>
            </w:r>
            <w:r>
              <w:rPr>
                <w:rFonts w:hint="eastAsia" w:ascii="Times New Roman" w:hAnsi="Times New Roman" w:eastAsia="宋体"/>
                <w:sz w:val="24"/>
                <w:lang w:eastAsia="zh-CN"/>
              </w:rPr>
              <w:t xml:space="preserve"> 年SO</w:t>
            </w:r>
            <w:r>
              <w:rPr>
                <w:rFonts w:hint="eastAsia" w:ascii="Times New Roman" w:hAnsi="Times New Roman" w:eastAsia="宋体"/>
                <w:sz w:val="24"/>
                <w:vertAlign w:val="subscript"/>
                <w:lang w:eastAsia="zh-CN"/>
              </w:rPr>
              <w:t>2</w:t>
            </w:r>
            <w:r>
              <w:rPr>
                <w:rFonts w:hint="eastAsia" w:ascii="Times New Roman" w:hAnsi="Times New Roman" w:eastAsia="宋体"/>
                <w:sz w:val="24"/>
                <w:lang w:eastAsia="zh-CN"/>
              </w:rPr>
              <w:t>、NO</w:t>
            </w:r>
            <w:r>
              <w:rPr>
                <w:rFonts w:hint="eastAsia" w:ascii="Times New Roman" w:hAnsi="Times New Roman" w:eastAsia="宋体"/>
                <w:sz w:val="24"/>
                <w:vertAlign w:val="subscript"/>
                <w:lang w:eastAsia="zh-CN"/>
              </w:rPr>
              <w:t>2</w:t>
            </w:r>
            <w:r>
              <w:rPr>
                <w:rFonts w:hint="eastAsia" w:ascii="Times New Roman" w:hAnsi="Times New Roman" w:eastAsia="宋体"/>
                <w:sz w:val="24"/>
                <w:lang w:eastAsia="zh-CN"/>
              </w:rPr>
              <w:t>、PM</w:t>
            </w:r>
            <w:r>
              <w:rPr>
                <w:rFonts w:hint="eastAsia" w:ascii="Times New Roman" w:hAnsi="Times New Roman" w:eastAsia="宋体"/>
                <w:sz w:val="24"/>
                <w:vertAlign w:val="subscript"/>
                <w:lang w:eastAsia="zh-CN"/>
              </w:rPr>
              <w:t>10</w:t>
            </w:r>
            <w:r>
              <w:rPr>
                <w:rFonts w:hint="eastAsia" w:ascii="Times New Roman" w:hAnsi="Times New Roman" w:eastAsia="宋体"/>
                <w:sz w:val="24"/>
                <w:lang w:eastAsia="zh-CN"/>
              </w:rPr>
              <w:t>、P</w:t>
            </w:r>
            <w:r>
              <w:rPr>
                <w:rFonts w:hint="eastAsia" w:ascii="Times New Roman" w:hAnsi="Times New Roman"/>
                <w:sz w:val="24"/>
                <w:lang w:val="en-US" w:eastAsia="zh-CN"/>
              </w:rPr>
              <w:t>M</w:t>
            </w:r>
            <w:r>
              <w:rPr>
                <w:rFonts w:hint="eastAsia" w:ascii="Times New Roman" w:hAnsi="Times New Roman"/>
                <w:sz w:val="24"/>
                <w:vertAlign w:val="subscript"/>
                <w:lang w:val="en-US" w:eastAsia="zh-CN"/>
              </w:rPr>
              <w:t>2</w:t>
            </w:r>
            <w:r>
              <w:rPr>
                <w:rFonts w:hint="eastAsia" w:ascii="Times New Roman" w:hAnsi="Times New Roman" w:eastAsia="宋体"/>
                <w:sz w:val="24"/>
                <w:vertAlign w:val="subscript"/>
                <w:lang w:eastAsia="zh-CN"/>
              </w:rPr>
              <w:t>.5</w:t>
            </w:r>
            <w:r>
              <w:rPr>
                <w:rFonts w:hint="eastAsia" w:ascii="Times New Roman" w:hAnsi="Times New Roman" w:eastAsia="宋体"/>
                <w:sz w:val="24"/>
                <w:lang w:eastAsia="zh-CN"/>
              </w:rPr>
              <w:t xml:space="preserve"> 年均浓度分别为</w:t>
            </w:r>
            <w:r>
              <w:rPr>
                <w:rFonts w:hint="eastAsia" w:ascii="Times New Roman" w:hAnsi="Times New Roman" w:eastAsia="宋体"/>
                <w:sz w:val="24"/>
                <w:lang w:val="en-US" w:eastAsia="zh-CN"/>
              </w:rPr>
              <w:t>9</w:t>
            </w:r>
            <w:r>
              <w:rPr>
                <w:rFonts w:hint="eastAsia" w:ascii="Times New Roman" w:hAnsi="Times New Roman" w:eastAsia="宋体"/>
                <w:sz w:val="24"/>
                <w:lang w:eastAsia="zh-CN"/>
              </w:rPr>
              <w:t>ug/m³、2</w:t>
            </w:r>
            <w:r>
              <w:rPr>
                <w:rFonts w:hint="eastAsia" w:ascii="Times New Roman" w:hAnsi="Times New Roman" w:eastAsia="宋体"/>
                <w:sz w:val="24"/>
                <w:lang w:val="en-US" w:eastAsia="zh-CN"/>
              </w:rPr>
              <w:t>4</w:t>
            </w:r>
            <w:r>
              <w:rPr>
                <w:rFonts w:hint="eastAsia" w:ascii="Times New Roman" w:hAnsi="Times New Roman" w:eastAsia="宋体"/>
                <w:sz w:val="24"/>
                <w:lang w:eastAsia="zh-CN"/>
              </w:rPr>
              <w:t>ug/m³、5</w:t>
            </w:r>
            <w:r>
              <w:rPr>
                <w:rFonts w:hint="eastAsia" w:ascii="Times New Roman" w:hAnsi="Times New Roman" w:eastAsia="宋体"/>
                <w:sz w:val="24"/>
                <w:lang w:val="en-US" w:eastAsia="zh-CN"/>
              </w:rPr>
              <w:t>5</w:t>
            </w:r>
            <w:r>
              <w:rPr>
                <w:rFonts w:hint="eastAsia" w:ascii="Times New Roman" w:hAnsi="Times New Roman" w:eastAsia="宋体"/>
                <w:sz w:val="24"/>
                <w:lang w:eastAsia="zh-CN"/>
              </w:rPr>
              <w:t>ug/m³、2</w:t>
            </w:r>
            <w:r>
              <w:rPr>
                <w:rFonts w:hint="eastAsia" w:ascii="Times New Roman" w:hAnsi="Times New Roman" w:eastAsia="宋体"/>
                <w:sz w:val="24"/>
                <w:lang w:val="en-US" w:eastAsia="zh-CN"/>
              </w:rPr>
              <w:t>8</w:t>
            </w:r>
            <w:r>
              <w:rPr>
                <w:rFonts w:hint="eastAsia" w:ascii="Times New Roman" w:hAnsi="Times New Roman" w:eastAsia="宋体"/>
                <w:sz w:val="24"/>
                <w:lang w:eastAsia="zh-CN"/>
              </w:rPr>
              <w:t>ug/m³；CO24 小时平均第95 百分位数为1.</w:t>
            </w:r>
            <w:r>
              <w:rPr>
                <w:rFonts w:hint="eastAsia" w:ascii="Times New Roman" w:hAnsi="Times New Roman" w:eastAsia="宋体"/>
                <w:sz w:val="24"/>
                <w:lang w:val="en-US" w:eastAsia="zh-CN"/>
              </w:rPr>
              <w:t>6</w:t>
            </w:r>
            <w:r>
              <w:rPr>
                <w:rFonts w:hint="eastAsia" w:ascii="Times New Roman" w:hAnsi="Times New Roman" w:eastAsia="宋体"/>
                <w:sz w:val="24"/>
                <w:lang w:eastAsia="zh-CN"/>
              </w:rPr>
              <w:t>mg/m³，O</w:t>
            </w:r>
            <w:r>
              <w:rPr>
                <w:rFonts w:hint="eastAsia" w:ascii="Times New Roman" w:hAnsi="Times New Roman" w:eastAsia="宋体"/>
                <w:sz w:val="24"/>
                <w:vertAlign w:val="subscript"/>
                <w:lang w:eastAsia="zh-CN"/>
              </w:rPr>
              <w:t>3</w:t>
            </w:r>
            <w:r>
              <w:rPr>
                <w:rFonts w:hint="eastAsia" w:ascii="Times New Roman" w:hAnsi="Times New Roman" w:eastAsia="宋体"/>
                <w:sz w:val="24"/>
                <w:lang w:eastAsia="zh-CN"/>
              </w:rPr>
              <w:t xml:space="preserve"> 日最大8 小时平均第90 百分位数为1</w:t>
            </w:r>
            <w:r>
              <w:rPr>
                <w:rFonts w:hint="eastAsia" w:ascii="Times New Roman" w:hAnsi="Times New Roman" w:eastAsia="宋体"/>
                <w:sz w:val="24"/>
                <w:lang w:val="en-US" w:eastAsia="zh-CN"/>
              </w:rPr>
              <w:t>3</w:t>
            </w:r>
            <w:r>
              <w:rPr>
                <w:rFonts w:hint="eastAsia" w:ascii="Times New Roman" w:hAnsi="Times New Roman" w:eastAsia="宋体"/>
                <w:sz w:val="24"/>
                <w:lang w:eastAsia="zh-CN"/>
              </w:rPr>
              <w:t>6ug/m³；各污染物平均浓度均优于《环境空气质量标准》（</w:t>
            </w:r>
            <w:r>
              <w:rPr>
                <w:rFonts w:hint="eastAsia" w:ascii="Times New Roman" w:hAnsi="Times New Roman" w:eastAsia="宋体"/>
                <w:color w:val="auto"/>
                <w:sz w:val="24"/>
                <w:lang w:eastAsia="zh-CN"/>
              </w:rPr>
              <w:t>GB3095-2012）中二级标准限值，项目所在区域为达标区。</w:t>
            </w:r>
          </w:p>
          <w:p>
            <w:pPr>
              <w:adjustRightInd w:val="0"/>
              <w:snapToGrid w:val="0"/>
              <w:spacing w:line="360" w:lineRule="auto"/>
              <w:ind w:firstLine="482" w:firstLineChars="200"/>
              <w:rPr>
                <w:b/>
                <w:color w:val="auto"/>
                <w:sz w:val="24"/>
              </w:rPr>
            </w:pPr>
            <w:r>
              <w:rPr>
                <w:rFonts w:hint="eastAsia"/>
                <w:b/>
                <w:color w:val="auto"/>
                <w:sz w:val="24"/>
                <w:lang w:val="en-US" w:eastAsia="zh-CN"/>
              </w:rPr>
              <w:t>5</w:t>
            </w:r>
            <w:r>
              <w:rPr>
                <w:rFonts w:hint="eastAsia"/>
                <w:b/>
                <w:color w:val="auto"/>
                <w:sz w:val="24"/>
              </w:rPr>
              <w:t>.2.</w:t>
            </w:r>
            <w:r>
              <w:rPr>
                <w:rFonts w:ascii="宋体" w:hAnsi="宋体"/>
                <w:b/>
                <w:color w:val="auto"/>
                <w:sz w:val="24"/>
              </w:rPr>
              <w:t>环境空气质量现状调查</w:t>
            </w:r>
          </w:p>
          <w:p>
            <w:pPr>
              <w:adjustRightInd w:val="0"/>
              <w:snapToGrid w:val="0"/>
              <w:spacing w:line="360" w:lineRule="auto"/>
              <w:ind w:firstLine="480" w:firstLineChars="200"/>
              <w:rPr>
                <w:color w:val="auto"/>
                <w:sz w:val="24"/>
                <w:highlight w:val="none"/>
              </w:rPr>
            </w:pPr>
            <w:r>
              <w:rPr>
                <w:rFonts w:ascii="宋体" w:hAnsi="宋体"/>
                <w:color w:val="auto"/>
                <w:sz w:val="24"/>
                <w:highlight w:val="none"/>
              </w:rPr>
              <w:t>本次</w:t>
            </w:r>
            <w:r>
              <w:rPr>
                <w:rFonts w:hint="eastAsia" w:ascii="Times New Roman" w:hAnsi="Times New Roman" w:eastAsia="宋体" w:cs="Times New Roman"/>
                <w:color w:val="auto"/>
                <w:sz w:val="24"/>
                <w:szCs w:val="24"/>
                <w:highlight w:val="none"/>
                <w:lang w:val="en-US" w:eastAsia="zh-CN"/>
              </w:rPr>
              <w:t>监测</w:t>
            </w:r>
            <w:r>
              <w:rPr>
                <w:rFonts w:hint="default" w:ascii="Times New Roman" w:hAnsi="Times New Roman" w:cs="Times New Roman"/>
                <w:color w:val="auto"/>
                <w:sz w:val="24"/>
                <w:szCs w:val="24"/>
                <w:highlight w:val="none"/>
                <w:lang w:eastAsia="zh-CN"/>
              </w:rPr>
              <w:t>于</w:t>
            </w:r>
            <w:r>
              <w:rPr>
                <w:rFonts w:hint="default" w:ascii="Times New Roman" w:hAnsi="Times New Roman" w:cs="Times New Roman"/>
                <w:color w:val="auto"/>
                <w:sz w:val="24"/>
                <w:szCs w:val="24"/>
                <w:highlight w:val="none"/>
              </w:rPr>
              <w:t>20</w:t>
            </w:r>
            <w:r>
              <w:rPr>
                <w:rFonts w:hint="eastAsia" w:cs="Times New Roman"/>
                <w:color w:val="auto"/>
                <w:sz w:val="24"/>
                <w:szCs w:val="24"/>
                <w:highlight w:val="none"/>
                <w:lang w:val="en-US" w:eastAsia="zh-CN"/>
              </w:rPr>
              <w:t>22</w:t>
            </w:r>
            <w:r>
              <w:rPr>
                <w:rFonts w:hint="default" w:ascii="Times New Roman" w:hAnsi="Times New Roman" w:cs="Times New Roman"/>
                <w:color w:val="auto"/>
                <w:sz w:val="24"/>
                <w:szCs w:val="24"/>
                <w:highlight w:val="none"/>
              </w:rPr>
              <w:t>年</w:t>
            </w:r>
            <w:r>
              <w:rPr>
                <w:rFonts w:hint="eastAsia"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月委托</w:t>
            </w:r>
            <w:r>
              <w:rPr>
                <w:rFonts w:hint="default" w:ascii="Times New Roman" w:hAnsi="Times New Roman" w:cs="Times New Roman"/>
                <w:color w:val="auto"/>
                <w:sz w:val="24"/>
                <w:szCs w:val="24"/>
                <w:highlight w:val="none"/>
                <w:lang w:eastAsia="zh-CN"/>
              </w:rPr>
              <w:t>进行了现场监测</w:t>
            </w:r>
            <w:r>
              <w:rPr>
                <w:rFonts w:ascii="宋体" w:hAnsi="宋体"/>
                <w:color w:val="auto"/>
                <w:sz w:val="24"/>
                <w:highlight w:val="none"/>
              </w:rPr>
              <w:t>。</w:t>
            </w:r>
          </w:p>
          <w:p>
            <w:pPr>
              <w:adjustRightInd w:val="0"/>
              <w:snapToGrid w:val="0"/>
              <w:spacing w:line="360" w:lineRule="auto"/>
              <w:ind w:firstLine="480" w:firstLineChars="200"/>
              <w:rPr>
                <w:color w:val="auto"/>
                <w:sz w:val="24"/>
                <w:highlight w:val="none"/>
              </w:rPr>
            </w:pPr>
            <w:r>
              <w:rPr>
                <w:rFonts w:hint="eastAsia" w:ascii="宋体" w:hAnsi="宋体"/>
                <w:color w:val="auto"/>
                <w:sz w:val="24"/>
                <w:highlight w:val="none"/>
              </w:rPr>
              <w:t>⑴</w:t>
            </w:r>
            <w:r>
              <w:rPr>
                <w:rFonts w:ascii="宋体" w:hAnsi="宋体"/>
                <w:color w:val="auto"/>
                <w:sz w:val="24"/>
                <w:highlight w:val="none"/>
              </w:rPr>
              <w:t>监测布点</w:t>
            </w:r>
            <w:r>
              <w:rPr>
                <w:rFonts w:hint="eastAsia" w:ascii="宋体" w:hAnsi="宋体"/>
                <w:color w:val="auto"/>
                <w:sz w:val="24"/>
                <w:highlight w:val="none"/>
              </w:rPr>
              <w:t>及频次</w:t>
            </w:r>
          </w:p>
          <w:p>
            <w:pPr>
              <w:adjustRightInd w:val="0"/>
              <w:snapToGrid w:val="0"/>
              <w:spacing w:line="360" w:lineRule="auto"/>
              <w:ind w:firstLine="480" w:firstLineChars="200"/>
              <w:rPr>
                <w:rFonts w:hint="eastAsia" w:ascii="宋体" w:hAnsi="宋体"/>
                <w:b/>
                <w:color w:val="auto"/>
                <w:sz w:val="24"/>
                <w:highlight w:val="none"/>
              </w:rPr>
            </w:pPr>
            <w:r>
              <w:rPr>
                <w:rFonts w:ascii="宋体" w:hAnsi="宋体"/>
                <w:color w:val="auto"/>
                <w:sz w:val="24"/>
                <w:highlight w:val="none"/>
              </w:rPr>
              <w:t>具体监测点位置详见表</w:t>
            </w:r>
            <w:r>
              <w:rPr>
                <w:rFonts w:hint="eastAsia"/>
                <w:color w:val="auto"/>
                <w:sz w:val="24"/>
                <w:highlight w:val="none"/>
                <w:lang w:val="en-US" w:eastAsia="zh-CN"/>
              </w:rPr>
              <w:t>3-5</w:t>
            </w:r>
            <w:r>
              <w:rPr>
                <w:rFonts w:ascii="宋体" w:hAnsi="宋体"/>
                <w:color w:val="auto"/>
                <w:sz w:val="24"/>
                <w:highlight w:val="none"/>
              </w:rPr>
              <w:t>。</w:t>
            </w:r>
          </w:p>
          <w:p>
            <w:pPr>
              <w:adjustRightInd w:val="0"/>
              <w:snapToGrid w:val="0"/>
              <w:spacing w:line="360" w:lineRule="auto"/>
              <w:ind w:firstLine="2168" w:firstLineChars="900"/>
              <w:rPr>
                <w:color w:val="auto"/>
                <w:sz w:val="24"/>
                <w:highlight w:val="none"/>
              </w:rPr>
            </w:pPr>
            <w:r>
              <w:rPr>
                <w:rFonts w:ascii="宋体" w:hAnsi="宋体"/>
                <w:b/>
                <w:color w:val="auto"/>
                <w:sz w:val="24"/>
                <w:highlight w:val="none"/>
              </w:rPr>
              <w:t>表</w:t>
            </w:r>
            <w:r>
              <w:rPr>
                <w:rFonts w:hint="eastAsia"/>
                <w:b/>
                <w:color w:val="auto"/>
                <w:sz w:val="24"/>
                <w:highlight w:val="none"/>
                <w:lang w:val="en-US" w:eastAsia="zh-CN"/>
              </w:rPr>
              <w:t>3-5</w:t>
            </w:r>
            <w:r>
              <w:rPr>
                <w:b/>
                <w:color w:val="auto"/>
                <w:sz w:val="24"/>
                <w:highlight w:val="none"/>
              </w:rPr>
              <w:t xml:space="preserve">        </w:t>
            </w:r>
            <w:r>
              <w:rPr>
                <w:rFonts w:hint="eastAsia"/>
                <w:b/>
                <w:color w:val="auto"/>
                <w:sz w:val="24"/>
                <w:highlight w:val="none"/>
              </w:rPr>
              <w:t xml:space="preserve">    </w:t>
            </w:r>
            <w:r>
              <w:rPr>
                <w:b/>
                <w:color w:val="auto"/>
                <w:sz w:val="24"/>
                <w:highlight w:val="none"/>
              </w:rPr>
              <w:t xml:space="preserve"> </w:t>
            </w:r>
            <w:r>
              <w:rPr>
                <w:rFonts w:ascii="宋体" w:hAnsi="宋体"/>
                <w:b/>
                <w:color w:val="auto"/>
                <w:sz w:val="24"/>
                <w:highlight w:val="none"/>
              </w:rPr>
              <w:t>大气监测布点位置</w:t>
            </w:r>
          </w:p>
          <w:tbl>
            <w:tblPr>
              <w:tblStyle w:val="28"/>
              <w:tblW w:w="493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679"/>
              <w:gridCol w:w="2257"/>
              <w:gridCol w:w="2173"/>
              <w:gridCol w:w="28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29" w:hRule="atLeast"/>
                <w:jc w:val="center"/>
              </w:trPr>
              <w:tc>
                <w:tcPr>
                  <w:tcW w:w="4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序号</w:t>
                  </w:r>
                </w:p>
              </w:tc>
              <w:tc>
                <w:tcPr>
                  <w:tcW w:w="14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监测点位</w:t>
                  </w:r>
                </w:p>
              </w:tc>
              <w:tc>
                <w:tcPr>
                  <w:tcW w:w="137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监测项目</w:t>
                  </w:r>
                </w:p>
              </w:tc>
              <w:tc>
                <w:tcPr>
                  <w:tcW w:w="17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监测频次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41" w:hRule="atLeast"/>
                <w:jc w:val="center"/>
              </w:trPr>
              <w:tc>
                <w:tcPr>
                  <w:tcW w:w="4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vertAlign w:val="baseline"/>
                    </w:rPr>
                    <w:t>1#</w:t>
                  </w:r>
                </w:p>
              </w:tc>
              <w:tc>
                <w:tcPr>
                  <w:tcW w:w="14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w:t>
                  </w:r>
                  <w:r>
                    <w:rPr>
                      <w:rFonts w:hint="eastAsia" w:cs="Times New Roman"/>
                      <w:color w:val="auto"/>
                      <w:sz w:val="21"/>
                      <w:szCs w:val="21"/>
                      <w:highlight w:val="none"/>
                      <w:lang w:eastAsia="zh-CN"/>
                    </w:rPr>
                    <w:t>采矿</w:t>
                  </w:r>
                  <w:r>
                    <w:rPr>
                      <w:rFonts w:hint="default" w:ascii="Times New Roman" w:hAnsi="Times New Roman" w:cs="Times New Roman"/>
                      <w:color w:val="auto"/>
                      <w:sz w:val="21"/>
                      <w:szCs w:val="21"/>
                      <w:highlight w:val="none"/>
                    </w:rPr>
                    <w:t>区</w:t>
                  </w:r>
                </w:p>
              </w:tc>
              <w:tc>
                <w:tcPr>
                  <w:tcW w:w="137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TSP</w:t>
                  </w:r>
                </w:p>
              </w:tc>
              <w:tc>
                <w:tcPr>
                  <w:tcW w:w="177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连续监测</w:t>
                  </w:r>
                  <w:r>
                    <w:rPr>
                      <w:rFonts w:hint="eastAsia" w:cs="Times New Roman"/>
                      <w:color w:val="auto"/>
                      <w:sz w:val="21"/>
                      <w:szCs w:val="21"/>
                      <w:highlight w:val="none"/>
                      <w:lang w:val="en-US" w:eastAsia="zh-CN"/>
                    </w:rPr>
                    <w:t>3</w:t>
                  </w:r>
                  <w:r>
                    <w:rPr>
                      <w:rFonts w:hint="eastAsia" w:ascii="Times New Roman" w:hAnsi="Times New Roman" w:cs="Times New Roman"/>
                      <w:color w:val="auto"/>
                      <w:sz w:val="21"/>
                      <w:szCs w:val="21"/>
                      <w:highlight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41" w:hRule="atLeast"/>
                <w:jc w:val="center"/>
              </w:trPr>
              <w:tc>
                <w:tcPr>
                  <w:tcW w:w="4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2</w:t>
                  </w:r>
                  <w:r>
                    <w:rPr>
                      <w:rFonts w:hint="default" w:ascii="Times New Roman" w:hAnsi="Times New Roman" w:cs="Times New Roman"/>
                      <w:color w:val="auto"/>
                      <w:sz w:val="21"/>
                      <w:szCs w:val="21"/>
                      <w:highlight w:val="none"/>
                      <w:vertAlign w:val="baseline"/>
                    </w:rPr>
                    <w:t>#</w:t>
                  </w:r>
                </w:p>
              </w:tc>
              <w:tc>
                <w:tcPr>
                  <w:tcW w:w="14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加工区</w:t>
                  </w:r>
                </w:p>
              </w:tc>
              <w:tc>
                <w:tcPr>
                  <w:tcW w:w="137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auto"/>
                      <w:sz w:val="21"/>
                      <w:szCs w:val="21"/>
                      <w:highlight w:val="none"/>
                      <w:lang w:val="en-US" w:eastAsia="zh-CN"/>
                    </w:rPr>
                  </w:pPr>
                </w:p>
              </w:tc>
              <w:tc>
                <w:tcPr>
                  <w:tcW w:w="1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37" w:hRule="atLeast"/>
                <w:jc w:val="center"/>
              </w:trPr>
              <w:tc>
                <w:tcPr>
                  <w:tcW w:w="42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3</w:t>
                  </w:r>
                  <w:r>
                    <w:rPr>
                      <w:rFonts w:hint="default" w:ascii="Times New Roman" w:hAnsi="Times New Roman" w:cs="Times New Roman"/>
                      <w:color w:val="auto"/>
                      <w:sz w:val="21"/>
                      <w:szCs w:val="21"/>
                      <w:highlight w:val="none"/>
                      <w:vertAlign w:val="baseline"/>
                    </w:rPr>
                    <w:t>#</w:t>
                  </w:r>
                </w:p>
              </w:tc>
              <w:tc>
                <w:tcPr>
                  <w:tcW w:w="14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下风向</w:t>
                  </w:r>
                </w:p>
              </w:tc>
              <w:tc>
                <w:tcPr>
                  <w:tcW w:w="137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auto"/>
                      <w:sz w:val="21"/>
                      <w:szCs w:val="21"/>
                      <w:highlight w:val="none"/>
                      <w:lang w:val="en-US" w:eastAsia="zh-CN"/>
                    </w:rPr>
                  </w:pPr>
                </w:p>
              </w:tc>
              <w:tc>
                <w:tcPr>
                  <w:tcW w:w="177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auto"/>
                      <w:sz w:val="21"/>
                      <w:szCs w:val="21"/>
                      <w:highlight w:val="none"/>
                      <w:lang w:val="en-US" w:eastAsia="zh-CN"/>
                    </w:rPr>
                  </w:pPr>
                </w:p>
              </w:tc>
            </w:tr>
          </w:tbl>
          <w:p>
            <w:pPr>
              <w:adjustRightInd w:val="0"/>
              <w:snapToGrid w:val="0"/>
              <w:spacing w:before="120" w:beforeLines="50" w:line="360" w:lineRule="auto"/>
              <w:ind w:firstLine="480" w:firstLineChars="200"/>
              <w:rPr>
                <w:rFonts w:ascii="宋体" w:hAnsi="宋体"/>
                <w:color w:val="auto"/>
                <w:sz w:val="24"/>
                <w:highlight w:val="none"/>
              </w:rPr>
            </w:pPr>
            <w:r>
              <w:rPr>
                <w:rFonts w:hint="eastAsia" w:ascii="宋体" w:hAnsi="宋体"/>
                <w:color w:val="auto"/>
                <w:sz w:val="24"/>
                <w:highlight w:val="none"/>
              </w:rPr>
              <w:t>⑵</w:t>
            </w:r>
            <w:r>
              <w:rPr>
                <w:rFonts w:ascii="宋体" w:hAnsi="宋体"/>
                <w:color w:val="auto"/>
                <w:sz w:val="24"/>
                <w:highlight w:val="none"/>
              </w:rPr>
              <w:t>分析方法</w:t>
            </w:r>
          </w:p>
          <w:p>
            <w:pPr>
              <w:pStyle w:val="12"/>
              <w:adjustRightInd w:val="0"/>
              <w:spacing w:before="0" w:after="0" w:line="360" w:lineRule="auto"/>
              <w:ind w:firstLine="480" w:firstLineChars="200"/>
              <w:jc w:val="left"/>
              <w:rPr>
                <w:rFonts w:hint="eastAsia" w:ascii="宋体" w:hAnsi="宋体"/>
                <w:color w:val="auto"/>
                <w:sz w:val="24"/>
                <w:szCs w:val="24"/>
                <w:highlight w:val="none"/>
                <w:lang w:val="en-US" w:eastAsia="zh-CN"/>
              </w:rPr>
            </w:pPr>
            <w:r>
              <w:rPr>
                <w:rFonts w:ascii="宋体" w:hAnsi="宋体"/>
                <w:color w:val="auto"/>
                <w:sz w:val="24"/>
                <w:szCs w:val="24"/>
                <w:highlight w:val="none"/>
                <w:lang w:val="en-US" w:eastAsia="zh-CN"/>
              </w:rPr>
              <w:t>具体检测方法见表</w:t>
            </w:r>
            <w:r>
              <w:rPr>
                <w:rFonts w:hint="eastAsia"/>
                <w:color w:val="auto"/>
                <w:sz w:val="24"/>
                <w:szCs w:val="24"/>
                <w:highlight w:val="none"/>
                <w:lang w:val="en-US" w:eastAsia="zh-CN"/>
              </w:rPr>
              <w:t>3-6</w:t>
            </w:r>
            <w:r>
              <w:rPr>
                <w:rFonts w:ascii="宋体" w:hAnsi="宋体"/>
                <w:color w:val="auto"/>
                <w:sz w:val="24"/>
                <w:szCs w:val="24"/>
                <w:highlight w:val="none"/>
                <w:lang w:val="en-US" w:eastAsia="zh-CN"/>
              </w:rPr>
              <w:t>。</w:t>
            </w:r>
          </w:p>
          <w:p>
            <w:pPr>
              <w:pStyle w:val="12"/>
              <w:adjustRightInd w:val="0"/>
              <w:spacing w:before="0" w:after="0" w:line="240" w:lineRule="auto"/>
              <w:jc w:val="center"/>
              <w:rPr>
                <w:color w:val="auto"/>
                <w:sz w:val="24"/>
                <w:szCs w:val="24"/>
                <w:highlight w:val="none"/>
                <w:lang w:val="en-US" w:eastAsia="zh-CN"/>
              </w:rPr>
            </w:pPr>
            <w:r>
              <w:rPr>
                <w:rFonts w:ascii="宋体" w:hAnsi="宋体"/>
                <w:b/>
                <w:color w:val="auto"/>
                <w:sz w:val="24"/>
                <w:highlight w:val="none"/>
              </w:rPr>
              <w:t>表</w:t>
            </w:r>
            <w:r>
              <w:rPr>
                <w:rFonts w:hint="eastAsia"/>
                <w:b/>
                <w:color w:val="auto"/>
                <w:sz w:val="24"/>
                <w:highlight w:val="none"/>
                <w:lang w:val="en-US" w:eastAsia="zh-CN"/>
              </w:rPr>
              <w:t>3-6</w:t>
            </w:r>
            <w:r>
              <w:rPr>
                <w:rFonts w:hint="eastAsia"/>
                <w:b/>
                <w:color w:val="auto"/>
                <w:sz w:val="24"/>
                <w:highlight w:val="none"/>
              </w:rPr>
              <w:t xml:space="preserve"> </w:t>
            </w:r>
            <w:r>
              <w:rPr>
                <w:b/>
                <w:color w:val="auto"/>
                <w:sz w:val="24"/>
                <w:highlight w:val="none"/>
              </w:rPr>
              <w:t xml:space="preserve"> </w:t>
            </w:r>
            <w:r>
              <w:rPr>
                <w:rFonts w:hint="eastAsia"/>
                <w:b/>
                <w:color w:val="auto"/>
                <w:sz w:val="24"/>
                <w:highlight w:val="none"/>
                <w:lang w:eastAsia="zh-CN"/>
              </w:rPr>
              <w:t xml:space="preserve">      </w:t>
            </w:r>
            <w:r>
              <w:rPr>
                <w:b/>
                <w:color w:val="auto"/>
                <w:sz w:val="24"/>
                <w:highlight w:val="none"/>
              </w:rPr>
              <w:t xml:space="preserve"> </w:t>
            </w:r>
            <w:r>
              <w:rPr>
                <w:rFonts w:ascii="宋体" w:hAnsi="宋体"/>
                <w:b/>
                <w:color w:val="auto"/>
                <w:sz w:val="24"/>
                <w:highlight w:val="none"/>
              </w:rPr>
              <w:t>环境空气检测方法一览表</w:t>
            </w:r>
          </w:p>
          <w:tbl>
            <w:tblPr>
              <w:tblStyle w:val="28"/>
              <w:tblpPr w:leftFromText="180" w:rightFromText="180" w:vertAnchor="text" w:horzAnchor="margin" w:tblpXSpec="center" w:tblpY="158"/>
              <w:tblW w:w="0" w:type="auto"/>
              <w:tblInd w:w="15"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072"/>
              <w:gridCol w:w="2458"/>
              <w:gridCol w:w="1888"/>
              <w:gridCol w:w="203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trHeight w:val="313" w:hRule="atLeast"/>
              </w:trPr>
              <w:tc>
                <w:tcPr>
                  <w:tcW w:w="745" w:type="dxa"/>
                  <w:tcBorders>
                    <w:top w:val="single" w:color="auto" w:sz="4" w:space="0"/>
                    <w:left w:val="single" w:color="auto" w:sz="0" w:space="0"/>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序号</w:t>
                  </w:r>
                </w:p>
              </w:tc>
              <w:tc>
                <w:tcPr>
                  <w:tcW w:w="1072" w:type="dxa"/>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监测项目</w:t>
                  </w:r>
                </w:p>
              </w:tc>
              <w:tc>
                <w:tcPr>
                  <w:tcW w:w="2458" w:type="dxa"/>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分析方法</w:t>
                  </w:r>
                </w:p>
              </w:tc>
              <w:tc>
                <w:tcPr>
                  <w:tcW w:w="1888" w:type="dxa"/>
                  <w:tcBorders>
                    <w:top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方法来源</w:t>
                  </w:r>
                </w:p>
              </w:tc>
              <w:tc>
                <w:tcPr>
                  <w:tcW w:w="2036" w:type="dxa"/>
                  <w:tcBorders>
                    <w:top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方法检出限( mg/m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 w:val="21"/>
                      <w:szCs w:val="21"/>
                      <w:highlight w:val="none"/>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45" w:type="dxa"/>
                  <w:tcBorders>
                    <w:left w:val="single" w:color="auto" w:sz="4" w:space="0"/>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072" w:type="dxa"/>
                  <w:tcBorders>
                    <w:bottom w:val="single" w:color="auto" w:sz="4" w:space="0"/>
                    <w:tl2br w:val="nil"/>
                    <w:tr2bl w:val="nil"/>
                  </w:tcBorders>
                  <w:noWrap w:val="0"/>
                  <w:vAlign w:val="center"/>
                </w:tcPr>
                <w:p>
                  <w:pPr>
                    <w:pStyle w:val="59"/>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TSP</w:t>
                  </w:r>
                </w:p>
              </w:tc>
              <w:tc>
                <w:tcPr>
                  <w:tcW w:w="2458"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重量法</w:t>
                  </w:r>
                </w:p>
              </w:tc>
              <w:tc>
                <w:tcPr>
                  <w:tcW w:w="1888" w:type="dxa"/>
                  <w:tcBorders>
                    <w:bottom w:val="single" w:color="auto" w:sz="4" w:space="0"/>
                    <w:tl2br w:val="nil"/>
                    <w:tr2bl w:val="nil"/>
                  </w:tcBorders>
                  <w:noWrap w:val="0"/>
                  <w:vAlign w:val="center"/>
                </w:tcPr>
                <w:p>
                  <w:pPr>
                    <w:pStyle w:val="59"/>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GB/T 15432-1995</w:t>
                  </w:r>
                </w:p>
              </w:tc>
              <w:tc>
                <w:tcPr>
                  <w:tcW w:w="2036" w:type="dxa"/>
                  <w:tcBorders>
                    <w:bottom w:val="single" w:color="auto" w:sz="4" w:space="0"/>
                    <w:right w:val="single" w:color="auto" w:sz="4" w:space="0"/>
                    <w:tl2br w:val="nil"/>
                    <w:tr2bl w:val="nil"/>
                  </w:tcBorders>
                  <w:noWrap w:val="0"/>
                  <w:vAlign w:val="center"/>
                </w:tcPr>
                <w:p>
                  <w:pPr>
                    <w:pStyle w:val="59"/>
                    <w:keepNext w:val="0"/>
                    <w:keepLines w:val="0"/>
                    <w:pageBreakBefore w:val="0"/>
                    <w:widowControl w:val="0"/>
                    <w:kinsoku/>
                    <w:wordWrap/>
                    <w:overflowPunct/>
                    <w:topLinePunct w:val="0"/>
                    <w:autoSpaceDE/>
                    <w:autoSpaceDN/>
                    <w:bidi w:val="0"/>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0.001</w:t>
                  </w:r>
                </w:p>
              </w:tc>
            </w:tr>
          </w:tbl>
          <w:p>
            <w:pPr>
              <w:adjustRightInd w:val="0"/>
              <w:snapToGrid w:val="0"/>
              <w:spacing w:before="120" w:beforeLines="50" w:line="360" w:lineRule="auto"/>
              <w:ind w:firstLine="480" w:firstLineChars="200"/>
              <w:rPr>
                <w:color w:val="auto"/>
                <w:sz w:val="24"/>
                <w:highlight w:val="none"/>
              </w:rPr>
            </w:pPr>
            <w:r>
              <w:rPr>
                <w:rFonts w:hint="eastAsia" w:ascii="宋体" w:hAnsi="宋体"/>
                <w:color w:val="auto"/>
                <w:sz w:val="24"/>
                <w:highlight w:val="none"/>
              </w:rPr>
              <w:t>⑶</w:t>
            </w:r>
            <w:r>
              <w:rPr>
                <w:rFonts w:ascii="宋体" w:hAnsi="宋体"/>
                <w:color w:val="auto"/>
                <w:sz w:val="24"/>
                <w:highlight w:val="none"/>
              </w:rPr>
              <w:t>监测结果及评价</w:t>
            </w:r>
          </w:p>
          <w:p>
            <w:pPr>
              <w:adjustRightInd w:val="0"/>
              <w:snapToGrid w:val="0"/>
              <w:spacing w:line="360" w:lineRule="auto"/>
              <w:ind w:firstLine="480" w:firstLineChars="200"/>
              <w:rPr>
                <w:color w:val="auto"/>
                <w:sz w:val="24"/>
                <w:highlight w:val="none"/>
              </w:rPr>
            </w:pPr>
            <w:r>
              <w:rPr>
                <w:rFonts w:ascii="宋体" w:hAnsi="宋体"/>
                <w:color w:val="auto"/>
                <w:sz w:val="24"/>
                <w:highlight w:val="none"/>
              </w:rPr>
              <w:t>环境空气质量现状监测结果及评价统计见表</w:t>
            </w:r>
            <w:r>
              <w:rPr>
                <w:rFonts w:hint="eastAsia"/>
                <w:color w:val="auto"/>
                <w:sz w:val="24"/>
                <w:highlight w:val="none"/>
                <w:lang w:val="en-US" w:eastAsia="zh-CN"/>
              </w:rPr>
              <w:t>3-7</w:t>
            </w:r>
            <w:r>
              <w:rPr>
                <w:rFonts w:ascii="宋体" w:hAnsi="宋体"/>
                <w:color w:val="auto"/>
                <w:sz w:val="24"/>
                <w:highlight w:val="none"/>
              </w:rPr>
              <w:t>。</w:t>
            </w:r>
          </w:p>
          <w:p>
            <w:pPr>
              <w:adjustRightInd w:val="0"/>
              <w:snapToGrid w:val="0"/>
              <w:spacing w:line="360" w:lineRule="auto"/>
              <w:jc w:val="center"/>
              <w:rPr>
                <w:b/>
                <w:bCs/>
                <w:color w:val="auto"/>
                <w:sz w:val="28"/>
                <w:szCs w:val="28"/>
                <w:highlight w:val="none"/>
              </w:rPr>
            </w:pPr>
            <w:r>
              <w:rPr>
                <w:rFonts w:ascii="宋体" w:hAnsi="宋体"/>
                <w:b/>
                <w:bCs/>
                <w:color w:val="auto"/>
                <w:sz w:val="24"/>
                <w:highlight w:val="none"/>
              </w:rPr>
              <w:t>表</w:t>
            </w:r>
            <w:r>
              <w:rPr>
                <w:rFonts w:hint="eastAsia"/>
                <w:b/>
                <w:bCs/>
                <w:color w:val="auto"/>
                <w:sz w:val="24"/>
                <w:highlight w:val="none"/>
                <w:lang w:val="en-US" w:eastAsia="zh-CN"/>
              </w:rPr>
              <w:t>3-7</w:t>
            </w:r>
            <w:r>
              <w:rPr>
                <w:b/>
                <w:bCs/>
                <w:color w:val="auto"/>
                <w:sz w:val="24"/>
                <w:highlight w:val="none"/>
              </w:rPr>
              <w:t xml:space="preserve">  </w:t>
            </w:r>
            <w:r>
              <w:rPr>
                <w:rFonts w:hint="eastAsia"/>
                <w:b/>
                <w:bCs/>
                <w:color w:val="auto"/>
                <w:sz w:val="24"/>
                <w:highlight w:val="none"/>
              </w:rPr>
              <w:t xml:space="preserve"> </w:t>
            </w:r>
            <w:r>
              <w:rPr>
                <w:b/>
                <w:bCs/>
                <w:color w:val="auto"/>
                <w:sz w:val="24"/>
                <w:highlight w:val="none"/>
              </w:rPr>
              <w:t xml:space="preserve"> </w:t>
            </w:r>
            <w:r>
              <w:rPr>
                <w:rFonts w:ascii="宋体" w:hAnsi="宋体"/>
                <w:b/>
                <w:bCs/>
                <w:color w:val="auto"/>
                <w:sz w:val="24"/>
                <w:highlight w:val="none"/>
              </w:rPr>
              <w:t>环境空气质量</w:t>
            </w:r>
            <w:r>
              <w:rPr>
                <w:b/>
                <w:bCs/>
                <w:color w:val="auto"/>
                <w:sz w:val="24"/>
                <w:highlight w:val="none"/>
              </w:rPr>
              <w:t>24</w:t>
            </w:r>
            <w:r>
              <w:rPr>
                <w:rFonts w:ascii="宋体" w:hAnsi="宋体"/>
                <w:b/>
                <w:bCs/>
                <w:color w:val="auto"/>
                <w:sz w:val="24"/>
                <w:highlight w:val="none"/>
              </w:rPr>
              <w:t xml:space="preserve">小时平均监测结果统计表    </w:t>
            </w:r>
            <w:r>
              <w:rPr>
                <w:rFonts w:ascii="宋体" w:hAnsi="宋体"/>
                <w:b/>
                <w:bCs/>
                <w:color w:val="auto"/>
                <w:highlight w:val="none"/>
              </w:rPr>
              <w:t>单位：</w:t>
            </w:r>
            <w:r>
              <w:rPr>
                <w:b/>
                <w:bCs/>
                <w:color w:val="auto"/>
                <w:highlight w:val="none"/>
              </w:rPr>
              <w:t>ug/m</w:t>
            </w:r>
            <w:r>
              <w:rPr>
                <w:b/>
                <w:bCs/>
                <w:color w:val="auto"/>
                <w:sz w:val="28"/>
                <w:szCs w:val="28"/>
                <w:highlight w:val="none"/>
                <w:vertAlign w:val="superscript"/>
              </w:rPr>
              <w:t>3</w:t>
            </w:r>
          </w:p>
          <w:tbl>
            <w:tblPr>
              <w:tblStyle w:val="29"/>
              <w:tblW w:w="8079"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554"/>
              <w:gridCol w:w="1808"/>
              <w:gridCol w:w="270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73" w:type="dxa"/>
                  <w:gridSpan w:val="3"/>
                  <w:tcBorders>
                    <w:top w:val="single" w:color="auto" w:sz="4" w:space="0"/>
                    <w:left w:val="single" w:color="auto" w:sz="0"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21"/>
                      <w:szCs w:val="21"/>
                      <w:highlight w:val="none"/>
                      <w:vertAlign w:val="baseline"/>
                    </w:rPr>
                  </w:pPr>
                  <w:r>
                    <w:rPr>
                      <w:rFonts w:hint="default" w:ascii="Times New Roman" w:hAnsi="Times New Roman" w:cs="Times New Roman"/>
                      <w:color w:val="auto"/>
                      <w:sz w:val="21"/>
                      <w:szCs w:val="21"/>
                      <w:highlight w:val="none"/>
                    </w:rPr>
                    <w:t>监测时间/监测点</w:t>
                  </w:r>
                </w:p>
              </w:tc>
              <w:tc>
                <w:tcPr>
                  <w:tcW w:w="2706" w:type="dxa"/>
                  <w:tcBorders>
                    <w:top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r>
                    <w:rPr>
                      <w:rFonts w:hint="default" w:ascii="Times New Roman" w:hAnsi="Times New Roman" w:cs="Times New Roman"/>
                      <w:color w:val="auto"/>
                      <w:sz w:val="21"/>
                      <w:szCs w:val="21"/>
                      <w:highlight w:val="none"/>
                    </w:rPr>
                    <w:t>TSP</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011" w:type="dxa"/>
                  <w:vMerge w:val="restart"/>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ascii="Times New Roman" w:hAnsi="Times New Roman" w:cs="Times New Roman"/>
                      <w:color w:val="auto"/>
                      <w:sz w:val="21"/>
                      <w:szCs w:val="21"/>
                      <w:highlight w:val="none"/>
                      <w:lang w:val="en-US" w:eastAsia="zh-CN"/>
                    </w:rPr>
                    <w:t>TSP</w:t>
                  </w:r>
                </w:p>
              </w:tc>
              <w:tc>
                <w:tcPr>
                  <w:tcW w:w="15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vertAlign w:val="baseline"/>
                      <w:lang w:eastAsia="zh-CN"/>
                    </w:rPr>
                  </w:pPr>
                  <w:r>
                    <w:rPr>
                      <w:rFonts w:hint="eastAsia" w:cs="Times New Roman"/>
                      <w:color w:val="auto"/>
                      <w:sz w:val="21"/>
                      <w:szCs w:val="21"/>
                      <w:highlight w:val="none"/>
                      <w:vertAlign w:val="baseline"/>
                      <w:lang w:eastAsia="zh-CN"/>
                    </w:rPr>
                    <w:t>加工区</w:t>
                  </w:r>
                </w:p>
              </w:tc>
              <w:tc>
                <w:tcPr>
                  <w:tcW w:w="1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月</w:t>
                  </w:r>
                  <w:r>
                    <w:rPr>
                      <w:rFonts w:hint="eastAsia"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日</w:t>
                  </w:r>
                </w:p>
              </w:tc>
              <w:tc>
                <w:tcPr>
                  <w:tcW w:w="2706"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0.436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011" w:type="dxa"/>
                  <w:vMerge w:val="continue"/>
                  <w:tcBorders>
                    <w:left w:val="single" w:color="auto"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21"/>
                      <w:szCs w:val="21"/>
                      <w:highlight w:val="none"/>
                      <w:vertAlign w:val="baseline"/>
                    </w:rPr>
                  </w:pPr>
                </w:p>
              </w:tc>
              <w:tc>
                <w:tcPr>
                  <w:tcW w:w="15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p>
              </w:tc>
              <w:tc>
                <w:tcPr>
                  <w:tcW w:w="1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月</w:t>
                  </w:r>
                  <w:r>
                    <w:rPr>
                      <w:rFonts w:hint="eastAsia" w:cs="Times New Roman"/>
                      <w:color w:val="auto"/>
                      <w:sz w:val="21"/>
                      <w:szCs w:val="21"/>
                      <w:highlight w:val="none"/>
                      <w:lang w:val="en-US" w:eastAsia="zh-CN"/>
                    </w:rPr>
                    <w:t>12</w:t>
                  </w:r>
                  <w:r>
                    <w:rPr>
                      <w:rFonts w:hint="default" w:ascii="Times New Roman" w:hAnsi="Times New Roman" w:cs="Times New Roman"/>
                      <w:color w:val="auto"/>
                      <w:sz w:val="21"/>
                      <w:szCs w:val="21"/>
                      <w:highlight w:val="none"/>
                    </w:rPr>
                    <w:t>日</w:t>
                  </w:r>
                </w:p>
              </w:tc>
              <w:tc>
                <w:tcPr>
                  <w:tcW w:w="2706"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0.396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011" w:type="dxa"/>
                  <w:vMerge w:val="continue"/>
                  <w:tcBorders>
                    <w:left w:val="single" w:color="auto"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21"/>
                      <w:szCs w:val="21"/>
                      <w:highlight w:val="none"/>
                      <w:vertAlign w:val="baseline"/>
                    </w:rPr>
                  </w:pPr>
                </w:p>
              </w:tc>
              <w:tc>
                <w:tcPr>
                  <w:tcW w:w="15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p>
              </w:tc>
              <w:tc>
                <w:tcPr>
                  <w:tcW w:w="1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月</w:t>
                  </w:r>
                  <w:r>
                    <w:rPr>
                      <w:rFonts w:hint="eastAsia" w:cs="Times New Roman"/>
                      <w:color w:val="auto"/>
                      <w:sz w:val="21"/>
                      <w:szCs w:val="21"/>
                      <w:highlight w:val="none"/>
                      <w:lang w:val="en-US" w:eastAsia="zh-CN"/>
                    </w:rPr>
                    <w:t>13</w:t>
                  </w:r>
                  <w:r>
                    <w:rPr>
                      <w:rFonts w:hint="default" w:ascii="Times New Roman" w:hAnsi="Times New Roman" w:cs="Times New Roman"/>
                      <w:color w:val="auto"/>
                      <w:sz w:val="21"/>
                      <w:szCs w:val="21"/>
                      <w:highlight w:val="none"/>
                    </w:rPr>
                    <w:t>日</w:t>
                  </w:r>
                </w:p>
              </w:tc>
              <w:tc>
                <w:tcPr>
                  <w:tcW w:w="2706"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lang w:val="en-US"/>
                    </w:rPr>
                  </w:pPr>
                  <w:r>
                    <w:rPr>
                      <w:rFonts w:hint="eastAsia" w:ascii="Times New Roman" w:hAnsi="Times New Roman" w:cs="Times New Roman"/>
                      <w:color w:val="auto"/>
                      <w:sz w:val="21"/>
                      <w:szCs w:val="21"/>
                      <w:highlight w:val="none"/>
                      <w:lang w:val="en-US" w:eastAsia="zh-CN"/>
                    </w:rPr>
                    <w:t>0.420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2011" w:type="dxa"/>
                  <w:vMerge w:val="continue"/>
                  <w:tcBorders>
                    <w:left w:val="single" w:color="auto"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21"/>
                      <w:szCs w:val="21"/>
                      <w:highlight w:val="none"/>
                      <w:vertAlign w:val="baseline"/>
                    </w:rPr>
                  </w:pPr>
                </w:p>
              </w:tc>
              <w:tc>
                <w:tcPr>
                  <w:tcW w:w="15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vertAlign w:val="baseline"/>
                      <w:lang w:eastAsia="zh-CN"/>
                    </w:rPr>
                  </w:pPr>
                  <w:r>
                    <w:rPr>
                      <w:rFonts w:hint="eastAsia" w:cs="Times New Roman"/>
                      <w:color w:val="auto"/>
                      <w:sz w:val="21"/>
                      <w:szCs w:val="21"/>
                      <w:highlight w:val="none"/>
                      <w:lang w:eastAsia="zh-CN"/>
                    </w:rPr>
                    <w:t>采矿区</w:t>
                  </w:r>
                </w:p>
              </w:tc>
              <w:tc>
                <w:tcPr>
                  <w:tcW w:w="1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月</w:t>
                  </w:r>
                  <w:r>
                    <w:rPr>
                      <w:rFonts w:hint="eastAsia"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日</w:t>
                  </w:r>
                </w:p>
              </w:tc>
              <w:tc>
                <w:tcPr>
                  <w:tcW w:w="2706"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0.443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trHeight w:val="279" w:hRule="atLeast"/>
                <w:jc w:val="center"/>
              </w:trPr>
              <w:tc>
                <w:tcPr>
                  <w:tcW w:w="2011" w:type="dxa"/>
                  <w:vMerge w:val="continue"/>
                  <w:tcBorders>
                    <w:left w:val="single" w:color="auto"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21"/>
                      <w:szCs w:val="21"/>
                      <w:highlight w:val="none"/>
                      <w:vertAlign w:val="baseline"/>
                    </w:rPr>
                  </w:pPr>
                </w:p>
              </w:tc>
              <w:tc>
                <w:tcPr>
                  <w:tcW w:w="15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p>
              </w:tc>
              <w:tc>
                <w:tcPr>
                  <w:tcW w:w="1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月</w:t>
                  </w:r>
                  <w:r>
                    <w:rPr>
                      <w:rFonts w:hint="eastAsia" w:cs="Times New Roman"/>
                      <w:color w:val="auto"/>
                      <w:sz w:val="21"/>
                      <w:szCs w:val="21"/>
                      <w:highlight w:val="none"/>
                      <w:lang w:val="en-US" w:eastAsia="zh-CN"/>
                    </w:rPr>
                    <w:t>12</w:t>
                  </w:r>
                  <w:r>
                    <w:rPr>
                      <w:rFonts w:hint="default" w:ascii="Times New Roman" w:hAnsi="Times New Roman" w:cs="Times New Roman"/>
                      <w:color w:val="auto"/>
                      <w:sz w:val="21"/>
                      <w:szCs w:val="21"/>
                      <w:highlight w:val="none"/>
                    </w:rPr>
                    <w:t>日</w:t>
                  </w:r>
                </w:p>
              </w:tc>
              <w:tc>
                <w:tcPr>
                  <w:tcW w:w="2706"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0.390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2011" w:type="dxa"/>
                  <w:vMerge w:val="continue"/>
                  <w:tcBorders>
                    <w:left w:val="single" w:color="auto"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21"/>
                      <w:szCs w:val="21"/>
                      <w:highlight w:val="none"/>
                      <w:vertAlign w:val="baseline"/>
                    </w:rPr>
                  </w:pPr>
                </w:p>
              </w:tc>
              <w:tc>
                <w:tcPr>
                  <w:tcW w:w="15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p>
              </w:tc>
              <w:tc>
                <w:tcPr>
                  <w:tcW w:w="1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月</w:t>
                  </w:r>
                  <w:r>
                    <w:rPr>
                      <w:rFonts w:hint="eastAsia" w:cs="Times New Roman"/>
                      <w:color w:val="auto"/>
                      <w:sz w:val="21"/>
                      <w:szCs w:val="21"/>
                      <w:highlight w:val="none"/>
                      <w:lang w:val="en-US" w:eastAsia="zh-CN"/>
                    </w:rPr>
                    <w:t>13</w:t>
                  </w:r>
                  <w:r>
                    <w:rPr>
                      <w:rFonts w:hint="default" w:ascii="Times New Roman" w:hAnsi="Times New Roman" w:cs="Times New Roman"/>
                      <w:color w:val="auto"/>
                      <w:sz w:val="21"/>
                      <w:szCs w:val="21"/>
                      <w:highlight w:val="none"/>
                    </w:rPr>
                    <w:t>日</w:t>
                  </w:r>
                </w:p>
              </w:tc>
              <w:tc>
                <w:tcPr>
                  <w:tcW w:w="2706"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0.390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011" w:type="dxa"/>
                  <w:vMerge w:val="continue"/>
                  <w:tcBorders>
                    <w:left w:val="single" w:color="auto"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21"/>
                      <w:szCs w:val="21"/>
                      <w:highlight w:val="none"/>
                      <w:vertAlign w:val="baseline"/>
                    </w:rPr>
                  </w:pPr>
                </w:p>
              </w:tc>
              <w:tc>
                <w:tcPr>
                  <w:tcW w:w="155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lang w:eastAsia="zh-CN"/>
                    </w:rPr>
                    <w:t>下风向</w:t>
                  </w:r>
                </w:p>
              </w:tc>
              <w:tc>
                <w:tcPr>
                  <w:tcW w:w="1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vertAlign w:val="baseline"/>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月</w:t>
                  </w:r>
                  <w:r>
                    <w:rPr>
                      <w:rFonts w:hint="eastAsia"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日</w:t>
                  </w:r>
                </w:p>
              </w:tc>
              <w:tc>
                <w:tcPr>
                  <w:tcW w:w="2706"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0.426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011" w:type="dxa"/>
                  <w:vMerge w:val="continue"/>
                  <w:tcBorders>
                    <w:left w:val="single" w:color="auto"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21"/>
                      <w:szCs w:val="21"/>
                      <w:highlight w:val="none"/>
                      <w:vertAlign w:val="baseline"/>
                    </w:rPr>
                  </w:pPr>
                </w:p>
              </w:tc>
              <w:tc>
                <w:tcPr>
                  <w:tcW w:w="155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c>
                <w:tcPr>
                  <w:tcW w:w="1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月</w:t>
                  </w:r>
                  <w:r>
                    <w:rPr>
                      <w:rFonts w:hint="eastAsia" w:cs="Times New Roman"/>
                      <w:color w:val="auto"/>
                      <w:sz w:val="21"/>
                      <w:szCs w:val="21"/>
                      <w:highlight w:val="none"/>
                      <w:lang w:val="en-US" w:eastAsia="zh-CN"/>
                    </w:rPr>
                    <w:t>12</w:t>
                  </w:r>
                  <w:r>
                    <w:rPr>
                      <w:rFonts w:hint="default" w:ascii="Times New Roman" w:hAnsi="Times New Roman" w:cs="Times New Roman"/>
                      <w:color w:val="auto"/>
                      <w:sz w:val="21"/>
                      <w:szCs w:val="21"/>
                      <w:highlight w:val="none"/>
                    </w:rPr>
                    <w:t>日</w:t>
                  </w:r>
                </w:p>
              </w:tc>
              <w:tc>
                <w:tcPr>
                  <w:tcW w:w="2706"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0.413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011" w:type="dxa"/>
                  <w:vMerge w:val="continue"/>
                  <w:tcBorders>
                    <w:left w:val="single" w:color="auto" w:sz="4" w:space="0"/>
                    <w:bottom w:val="single" w:color="auto"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center"/>
                    <w:textAlignment w:val="auto"/>
                    <w:rPr>
                      <w:rFonts w:hint="default" w:ascii="Times New Roman" w:hAnsi="Times New Roman" w:cs="Times New Roman"/>
                      <w:color w:val="auto"/>
                      <w:sz w:val="21"/>
                      <w:szCs w:val="21"/>
                      <w:highlight w:val="none"/>
                      <w:vertAlign w:val="baseline"/>
                    </w:rPr>
                  </w:pPr>
                </w:p>
              </w:tc>
              <w:tc>
                <w:tcPr>
                  <w:tcW w:w="1554" w:type="dxa"/>
                  <w:vMerge w:val="continue"/>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c>
                <w:tcPr>
                  <w:tcW w:w="1808"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月</w:t>
                  </w:r>
                  <w:r>
                    <w:rPr>
                      <w:rFonts w:hint="eastAsia" w:cs="Times New Roman"/>
                      <w:color w:val="auto"/>
                      <w:sz w:val="21"/>
                      <w:szCs w:val="21"/>
                      <w:highlight w:val="none"/>
                      <w:lang w:val="en-US" w:eastAsia="zh-CN"/>
                    </w:rPr>
                    <w:t>13</w:t>
                  </w:r>
                  <w:r>
                    <w:rPr>
                      <w:rFonts w:hint="default" w:ascii="Times New Roman" w:hAnsi="Times New Roman" w:cs="Times New Roman"/>
                      <w:color w:val="auto"/>
                      <w:sz w:val="21"/>
                      <w:szCs w:val="21"/>
                      <w:highlight w:val="none"/>
                    </w:rPr>
                    <w:t>日</w:t>
                  </w:r>
                </w:p>
              </w:tc>
              <w:tc>
                <w:tcPr>
                  <w:tcW w:w="2706" w:type="dxa"/>
                  <w:tcBorders>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0.410</w:t>
                  </w:r>
                </w:p>
              </w:tc>
            </w:tr>
          </w:tbl>
          <w:p>
            <w:pPr>
              <w:widowControl/>
              <w:spacing w:line="36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①评价方法</w:t>
            </w:r>
          </w:p>
          <w:p>
            <w:pPr>
              <w:widowControl/>
              <w:spacing w:line="360" w:lineRule="auto"/>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采用单因子污染指数法，计算模式为：</w:t>
            </w:r>
          </w:p>
          <w:p>
            <w:pPr>
              <w:widowControl/>
              <w:spacing w:line="360" w:lineRule="auto"/>
              <w:ind w:firstLine="2942" w:firstLineChars="1226"/>
              <w:jc w:val="both"/>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position w:val="-12"/>
                <w:sz w:val="24"/>
                <w:highlight w:val="none"/>
              </w:rPr>
              <w:object>
                <v:shape id="_x0000_i1026" o:spt="75" type="#_x0000_t75" style="height:18pt;width:56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6" r:id="rId11">
                  <o:LockedField>false</o:LockedField>
                </o:OLEObject>
              </w:object>
            </w:r>
          </w:p>
          <w:p>
            <w:pPr>
              <w:widowControl/>
              <w:spacing w:line="360" w:lineRule="auto"/>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式中：</w:t>
            </w:r>
            <w:r>
              <w:rPr>
                <w:rFonts w:hint="default" w:ascii="Times New Roman" w:hAnsi="Times New Roman" w:cs="Times New Roman"/>
                <w:i/>
                <w:color w:val="auto"/>
                <w:kern w:val="0"/>
                <w:sz w:val="24"/>
                <w:highlight w:val="none"/>
              </w:rPr>
              <w:t>i</w:t>
            </w:r>
            <w:r>
              <w:rPr>
                <w:rFonts w:hint="default" w:ascii="Times New Roman" w:hAnsi="Times New Roman" w:cs="Times New Roman"/>
                <w:color w:val="auto"/>
                <w:kern w:val="0"/>
                <w:sz w:val="24"/>
                <w:highlight w:val="none"/>
              </w:rPr>
              <w:t>―污染物；</w:t>
            </w:r>
          </w:p>
          <w:p>
            <w:pPr>
              <w:widowControl/>
              <w:spacing w:line="360" w:lineRule="auto"/>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w:t>
            </w:r>
            <w:r>
              <w:rPr>
                <w:rFonts w:hint="default" w:ascii="Times New Roman" w:hAnsi="Times New Roman" w:cs="Times New Roman"/>
                <w:i/>
                <w:color w:val="auto"/>
                <w:kern w:val="0"/>
                <w:sz w:val="24"/>
                <w:highlight w:val="none"/>
              </w:rPr>
              <w:t>I</w:t>
            </w:r>
            <w:r>
              <w:rPr>
                <w:rFonts w:hint="default" w:ascii="Times New Roman" w:hAnsi="Times New Roman" w:cs="Times New Roman"/>
                <w:i/>
                <w:color w:val="auto"/>
                <w:kern w:val="0"/>
                <w:sz w:val="24"/>
                <w:highlight w:val="none"/>
                <w:vertAlign w:val="subscript"/>
              </w:rPr>
              <w:t>i</w:t>
            </w:r>
            <w:r>
              <w:rPr>
                <w:rFonts w:hint="default" w:ascii="Times New Roman" w:hAnsi="Times New Roman" w:cs="Times New Roman"/>
                <w:color w:val="auto"/>
                <w:kern w:val="0"/>
                <w:sz w:val="24"/>
                <w:highlight w:val="none"/>
              </w:rPr>
              <w:t>―污染物质量指数；</w:t>
            </w:r>
          </w:p>
          <w:p>
            <w:pPr>
              <w:widowControl/>
              <w:spacing w:line="360" w:lineRule="auto"/>
              <w:ind w:firstLine="48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w:t>
            </w:r>
            <w:r>
              <w:rPr>
                <w:rFonts w:hint="default" w:ascii="Times New Roman" w:hAnsi="Times New Roman" w:cs="Times New Roman"/>
                <w:i/>
                <w:color w:val="auto"/>
                <w:kern w:val="0"/>
                <w:sz w:val="24"/>
                <w:highlight w:val="none"/>
              </w:rPr>
              <w:t>C</w:t>
            </w:r>
            <w:r>
              <w:rPr>
                <w:rFonts w:hint="default" w:ascii="Times New Roman" w:hAnsi="Times New Roman" w:cs="Times New Roman"/>
                <w:i/>
                <w:color w:val="auto"/>
                <w:kern w:val="0"/>
                <w:sz w:val="24"/>
                <w:highlight w:val="none"/>
                <w:vertAlign w:val="subscript"/>
              </w:rPr>
              <w:t>i</w:t>
            </w:r>
            <w:r>
              <w:rPr>
                <w:rFonts w:hint="default" w:ascii="Times New Roman" w:hAnsi="Times New Roman" w:cs="Times New Roman"/>
                <w:color w:val="auto"/>
                <w:kern w:val="0"/>
                <w:sz w:val="24"/>
                <w:highlight w:val="none"/>
              </w:rPr>
              <w:t>―</w:t>
            </w:r>
            <w:r>
              <w:rPr>
                <w:rFonts w:hint="default" w:ascii="Times New Roman" w:hAnsi="Times New Roman" w:cs="Times New Roman"/>
                <w:i/>
                <w:color w:val="auto"/>
                <w:kern w:val="0"/>
                <w:sz w:val="24"/>
                <w:highlight w:val="none"/>
              </w:rPr>
              <w:t>i</w:t>
            </w:r>
            <w:r>
              <w:rPr>
                <w:rFonts w:hint="default" w:ascii="Times New Roman" w:hAnsi="Times New Roman" w:cs="Times New Roman"/>
                <w:color w:val="auto"/>
                <w:kern w:val="0"/>
                <w:sz w:val="24"/>
                <w:highlight w:val="none"/>
              </w:rPr>
              <w:t>污染物监测值，ug/m</w:t>
            </w:r>
            <w:r>
              <w:rPr>
                <w:rFonts w:hint="default" w:ascii="Times New Roman" w:hAnsi="Times New Roman" w:cs="Times New Roman"/>
                <w:color w:val="auto"/>
                <w:kern w:val="0"/>
                <w:sz w:val="24"/>
                <w:highlight w:val="none"/>
                <w:vertAlign w:val="superscript"/>
              </w:rPr>
              <w:t>3</w:t>
            </w:r>
            <w:r>
              <w:rPr>
                <w:rFonts w:hint="default" w:ascii="Times New Roman" w:hAnsi="Times New Roman" w:cs="Times New Roman"/>
                <w:color w:val="auto"/>
                <w:kern w:val="0"/>
                <w:sz w:val="24"/>
                <w:highlight w:val="none"/>
              </w:rPr>
              <w:t>；</w:t>
            </w:r>
          </w:p>
          <w:p>
            <w:pPr>
              <w:widowControl/>
              <w:spacing w:line="360" w:lineRule="auto"/>
              <w:ind w:firstLine="96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 xml:space="preserve"> </w:t>
            </w:r>
            <w:r>
              <w:rPr>
                <w:rFonts w:hint="default" w:ascii="Times New Roman" w:hAnsi="Times New Roman" w:cs="Times New Roman"/>
                <w:i/>
                <w:color w:val="auto"/>
                <w:kern w:val="0"/>
                <w:sz w:val="24"/>
                <w:highlight w:val="none"/>
              </w:rPr>
              <w:t xml:space="preserve"> C</w:t>
            </w:r>
            <w:r>
              <w:rPr>
                <w:rFonts w:hint="default" w:ascii="Times New Roman" w:hAnsi="Times New Roman" w:cs="Times New Roman"/>
                <w:i/>
                <w:color w:val="auto"/>
                <w:kern w:val="0"/>
                <w:sz w:val="24"/>
                <w:highlight w:val="none"/>
                <w:vertAlign w:val="subscript"/>
              </w:rPr>
              <w:t>0i</w:t>
            </w:r>
            <w:r>
              <w:rPr>
                <w:rFonts w:hint="default" w:ascii="Times New Roman" w:hAnsi="Times New Roman" w:cs="Times New Roman"/>
                <w:color w:val="auto"/>
                <w:kern w:val="0"/>
                <w:sz w:val="24"/>
                <w:highlight w:val="none"/>
              </w:rPr>
              <w:t>―</w:t>
            </w:r>
            <w:r>
              <w:rPr>
                <w:rFonts w:hint="default" w:ascii="Times New Roman" w:hAnsi="Times New Roman" w:cs="Times New Roman"/>
                <w:i/>
                <w:color w:val="auto"/>
                <w:kern w:val="0"/>
                <w:sz w:val="24"/>
                <w:highlight w:val="none"/>
              </w:rPr>
              <w:t>i</w:t>
            </w:r>
            <w:r>
              <w:rPr>
                <w:rFonts w:hint="default" w:ascii="Times New Roman" w:hAnsi="Times New Roman" w:cs="Times New Roman"/>
                <w:color w:val="auto"/>
                <w:kern w:val="0"/>
                <w:sz w:val="24"/>
                <w:highlight w:val="none"/>
              </w:rPr>
              <w:t>污染物评价质量标准限值，ug/m</w:t>
            </w:r>
            <w:r>
              <w:rPr>
                <w:rFonts w:hint="default" w:ascii="Times New Roman" w:hAnsi="Times New Roman" w:cs="Times New Roman"/>
                <w:color w:val="auto"/>
                <w:kern w:val="0"/>
                <w:sz w:val="24"/>
                <w:highlight w:val="none"/>
                <w:vertAlign w:val="superscript"/>
              </w:rPr>
              <w:t>3</w:t>
            </w:r>
            <w:r>
              <w:rPr>
                <w:rFonts w:hint="default" w:ascii="Times New Roman" w:hAnsi="Times New Roman" w:cs="Times New Roman"/>
                <w:color w:val="auto"/>
                <w:kern w:val="0"/>
                <w:sz w:val="24"/>
                <w:highlight w:val="none"/>
              </w:rPr>
              <w:t>。</w:t>
            </w:r>
          </w:p>
          <w:p>
            <w:pPr>
              <w:widowControl/>
              <w:spacing w:line="360" w:lineRule="auto"/>
              <w:ind w:firstLine="480" w:firstLineChars="200"/>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②评价结果分析</w:t>
            </w:r>
          </w:p>
          <w:p>
            <w:pPr>
              <w:widowControl/>
              <w:spacing w:line="360" w:lineRule="auto"/>
              <w:ind w:firstLine="480" w:firstLineChars="200"/>
              <w:rPr>
                <w:rFonts w:hint="default" w:ascii="Times New Roman" w:hAnsi="Times New Roman" w:cs="Times New Roman"/>
                <w:b/>
                <w:color w:val="auto"/>
                <w:sz w:val="24"/>
                <w:highlight w:val="none"/>
              </w:rPr>
            </w:pPr>
            <w:r>
              <w:rPr>
                <w:rFonts w:hint="default" w:ascii="Times New Roman" w:hAnsi="Times New Roman" w:cs="Times New Roman"/>
                <w:color w:val="auto"/>
                <w:kern w:val="0"/>
                <w:sz w:val="24"/>
                <w:highlight w:val="none"/>
              </w:rPr>
              <w:t>环境空气质量现状评价结果见表</w:t>
            </w:r>
            <w:r>
              <w:rPr>
                <w:rFonts w:hint="eastAsia" w:cs="Times New Roman"/>
                <w:color w:val="auto"/>
                <w:kern w:val="0"/>
                <w:sz w:val="24"/>
                <w:highlight w:val="none"/>
                <w:lang w:val="en-US" w:eastAsia="zh-CN"/>
              </w:rPr>
              <w:t>3-8</w:t>
            </w:r>
            <w:r>
              <w:rPr>
                <w:rFonts w:hint="default" w:ascii="Times New Roman" w:hAnsi="Times New Roman" w:cs="Times New Roman"/>
                <w:color w:val="auto"/>
                <w:kern w:val="0"/>
                <w:sz w:val="24"/>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表</w:t>
            </w:r>
            <w:r>
              <w:rPr>
                <w:rFonts w:hint="eastAsia" w:cs="Times New Roman"/>
                <w:b/>
                <w:color w:val="auto"/>
                <w:sz w:val="24"/>
                <w:highlight w:val="none"/>
                <w:lang w:val="en-US" w:eastAsia="zh-CN"/>
              </w:rPr>
              <w:t>3-8</w:t>
            </w:r>
            <w:r>
              <w:rPr>
                <w:rFonts w:hint="default" w:ascii="Times New Roman" w:hAnsi="Times New Roman" w:cs="Times New Roman"/>
                <w:b/>
                <w:color w:val="auto"/>
                <w:sz w:val="24"/>
                <w:highlight w:val="none"/>
              </w:rPr>
              <w:t xml:space="preserve"> </w:t>
            </w:r>
            <w:r>
              <w:rPr>
                <w:rFonts w:hint="default" w:ascii="Times New Roman" w:hAnsi="Times New Roman" w:cs="Times New Roman"/>
                <w:b/>
                <w:color w:val="auto"/>
                <w:sz w:val="24"/>
                <w:highlight w:val="none"/>
                <w:lang w:val="en-US" w:eastAsia="zh-CN"/>
              </w:rPr>
              <w:t xml:space="preserve">      </w:t>
            </w:r>
            <w:r>
              <w:rPr>
                <w:rFonts w:hint="default" w:ascii="Times New Roman" w:hAnsi="Times New Roman" w:cs="Times New Roman"/>
                <w:b/>
                <w:color w:val="auto"/>
                <w:sz w:val="24"/>
                <w:highlight w:val="none"/>
              </w:rPr>
              <w:t xml:space="preserve">  </w:t>
            </w:r>
            <w:r>
              <w:rPr>
                <w:rFonts w:hint="default" w:ascii="Times New Roman" w:hAnsi="Times New Roman" w:cs="Times New Roman"/>
                <w:b/>
                <w:color w:val="auto"/>
                <w:sz w:val="24"/>
                <w:highlight w:val="none"/>
                <w:lang w:eastAsia="zh-CN"/>
              </w:rPr>
              <w:t>日</w:t>
            </w:r>
            <w:r>
              <w:rPr>
                <w:rFonts w:hint="default" w:ascii="Times New Roman" w:hAnsi="Times New Roman" w:cs="Times New Roman"/>
                <w:b/>
                <w:color w:val="auto"/>
                <w:sz w:val="24"/>
                <w:highlight w:val="none"/>
              </w:rPr>
              <w:t>均值监测</w:t>
            </w:r>
            <w:r>
              <w:rPr>
                <w:rFonts w:hint="default" w:ascii="Times New Roman" w:hAnsi="Times New Roman" w:cs="Times New Roman"/>
                <w:b/>
                <w:color w:val="auto"/>
                <w:sz w:val="24"/>
                <w:highlight w:val="none"/>
                <w:lang w:eastAsia="zh-CN"/>
              </w:rPr>
              <w:t>评价</w:t>
            </w:r>
            <w:r>
              <w:rPr>
                <w:rFonts w:hint="default" w:ascii="Times New Roman" w:hAnsi="Times New Roman" w:cs="Times New Roman"/>
                <w:b/>
                <w:color w:val="auto"/>
                <w:sz w:val="24"/>
                <w:highlight w:val="none"/>
              </w:rPr>
              <w:t>结果统计</w:t>
            </w:r>
            <w:r>
              <w:rPr>
                <w:rFonts w:hint="default" w:ascii="Times New Roman" w:hAnsi="Times New Roman" w:cs="Times New Roman"/>
                <w:b/>
                <w:color w:val="auto"/>
                <w:sz w:val="24"/>
                <w:highlight w:val="none"/>
                <w:lang w:eastAsia="zh-CN"/>
              </w:rPr>
              <w:t>表</w:t>
            </w:r>
          </w:p>
          <w:tbl>
            <w:tblPr>
              <w:tblStyle w:val="28"/>
              <w:tblW w:w="809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pct5" w:color="auto" w:fill="auto"/>
              <w:tblLayout w:type="fixed"/>
              <w:tblCellMar>
                <w:top w:w="0" w:type="dxa"/>
                <w:left w:w="0" w:type="dxa"/>
                <w:bottom w:w="0" w:type="dxa"/>
                <w:right w:w="0" w:type="dxa"/>
              </w:tblCellMar>
            </w:tblPr>
            <w:tblGrid>
              <w:gridCol w:w="1721"/>
              <w:gridCol w:w="2328"/>
              <w:gridCol w:w="40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pct5" w:color="auto" w:fill="auto"/>
                <w:tblCellMar>
                  <w:top w:w="0" w:type="dxa"/>
                  <w:left w:w="0" w:type="dxa"/>
                  <w:bottom w:w="0" w:type="dxa"/>
                  <w:right w:w="0" w:type="dxa"/>
                </w:tblCellMar>
              </w:tblPrEx>
              <w:trPr>
                <w:trHeight w:val="304" w:hRule="atLeast"/>
                <w:jc w:val="center"/>
              </w:trPr>
              <w:tc>
                <w:tcPr>
                  <w:tcW w:w="1721"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lang w:eastAsia="zh-CN"/>
                    </w:rPr>
                    <w:t>监</w:t>
                  </w:r>
                  <w:r>
                    <w:rPr>
                      <w:rFonts w:hint="default" w:ascii="Times New Roman" w:hAnsi="Times New Roman" w:eastAsia="宋体" w:cs="Times New Roman"/>
                      <w:color w:val="auto"/>
                      <w:sz w:val="21"/>
                      <w:szCs w:val="21"/>
                      <w:highlight w:val="none"/>
                    </w:rPr>
                    <w:t>测点</w:t>
                  </w:r>
                </w:p>
              </w:tc>
              <w:tc>
                <w:tcPr>
                  <w:tcW w:w="232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统计指标</w:t>
                  </w:r>
                </w:p>
              </w:tc>
              <w:tc>
                <w:tcPr>
                  <w:tcW w:w="4050"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TSP</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89" w:hRule="atLeast"/>
                <w:jc w:val="center"/>
              </w:trPr>
              <w:tc>
                <w:tcPr>
                  <w:tcW w:w="1721" w:type="dxa"/>
                  <w:vMerge w:val="restart"/>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vertAlign w:val="baseline"/>
                    </w:rPr>
                  </w:pPr>
                  <w:r>
                    <w:rPr>
                      <w:rFonts w:hint="eastAsia" w:ascii="Times New Roman" w:hAnsi="Times New Roman" w:cs="Times New Roman"/>
                      <w:color w:val="auto"/>
                      <w:sz w:val="21"/>
                      <w:szCs w:val="21"/>
                      <w:highlight w:val="none"/>
                      <w:lang w:val="en-US" w:eastAsia="zh-CN"/>
                    </w:rPr>
                    <w:t>TSP</w:t>
                  </w:r>
                </w:p>
              </w:tc>
              <w:tc>
                <w:tcPr>
                  <w:tcW w:w="232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日均值浓度范围(mg/m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4050"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0.117-0.133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89" w:hRule="atLeast"/>
                <w:jc w:val="center"/>
              </w:trPr>
              <w:tc>
                <w:tcPr>
                  <w:tcW w:w="1721" w:type="dxa"/>
                  <w:vMerge w:val="continue"/>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vertAlign w:val="baseline"/>
                    </w:rPr>
                  </w:pPr>
                </w:p>
              </w:tc>
              <w:tc>
                <w:tcPr>
                  <w:tcW w:w="232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标准值(mg/m</w:t>
                  </w:r>
                  <w:r>
                    <w:rPr>
                      <w:rFonts w:hint="default" w:ascii="Times New Roman" w:hAnsi="Times New Roman" w:eastAsia="宋体" w:cs="Times New Roman"/>
                      <w:color w:val="auto"/>
                      <w:sz w:val="21"/>
                      <w:szCs w:val="21"/>
                      <w:highlight w:val="none"/>
                      <w:vertAlign w:val="superscript"/>
                    </w:rPr>
                    <w:t>3</w:t>
                  </w:r>
                  <w:r>
                    <w:rPr>
                      <w:rFonts w:hint="default" w:ascii="Times New Roman" w:hAnsi="Times New Roman" w:eastAsia="宋体" w:cs="Times New Roman"/>
                      <w:color w:val="auto"/>
                      <w:sz w:val="21"/>
                      <w:szCs w:val="21"/>
                      <w:highlight w:val="none"/>
                    </w:rPr>
                    <w:t>)</w:t>
                  </w:r>
                </w:p>
              </w:tc>
              <w:tc>
                <w:tcPr>
                  <w:tcW w:w="4050"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89" w:hRule="atLeast"/>
                <w:jc w:val="center"/>
              </w:trPr>
              <w:tc>
                <w:tcPr>
                  <w:tcW w:w="1721" w:type="dxa"/>
                  <w:vMerge w:val="continue"/>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vertAlign w:val="baseline"/>
                    </w:rPr>
                  </w:pPr>
                </w:p>
              </w:tc>
              <w:tc>
                <w:tcPr>
                  <w:tcW w:w="232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超标率(%)</w:t>
                  </w:r>
                </w:p>
              </w:tc>
              <w:tc>
                <w:tcPr>
                  <w:tcW w:w="4050"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388" w:hRule="atLeast"/>
                <w:jc w:val="center"/>
              </w:trPr>
              <w:tc>
                <w:tcPr>
                  <w:tcW w:w="1721" w:type="dxa"/>
                  <w:vMerge w:val="continue"/>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vertAlign w:val="baseline"/>
                    </w:rPr>
                  </w:pPr>
                </w:p>
              </w:tc>
              <w:tc>
                <w:tcPr>
                  <w:tcW w:w="2328"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评价指数(Pi)</w:t>
                  </w:r>
                </w:p>
              </w:tc>
              <w:tc>
                <w:tcPr>
                  <w:tcW w:w="4050" w:type="dxa"/>
                  <w:tcBorders>
                    <w:tl2br w:val="nil"/>
                    <w:tr2bl w:val="nil"/>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0.</w:t>
                  </w:r>
                  <w:r>
                    <w:rPr>
                      <w:rFonts w:hint="eastAsia" w:cs="Times New Roman"/>
                      <w:color w:val="auto"/>
                      <w:sz w:val="21"/>
                      <w:szCs w:val="21"/>
                      <w:highlight w:val="none"/>
                      <w:lang w:val="en-US" w:eastAsia="zh-CN"/>
                    </w:rPr>
                    <w:t>396-0.443</w:t>
                  </w:r>
                </w:p>
              </w:tc>
            </w:tr>
          </w:tbl>
          <w:p>
            <w:pPr>
              <w:pStyle w:val="12"/>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480" w:firstLineChars="200"/>
              <w:jc w:val="both"/>
              <w:textAlignment w:val="auto"/>
              <w:rPr>
                <w:rFonts w:hint="default" w:ascii="Times New Roman" w:hAnsi="Times New Roman" w:eastAsia="宋体" w:cs="Times New Roman"/>
                <w:b w:val="0"/>
                <w:bCs w:val="0"/>
                <w:color w:val="auto"/>
                <w:sz w:val="24"/>
                <w:szCs w:val="24"/>
                <w:highlight w:val="none"/>
                <w:lang w:eastAsia="zh-CN"/>
              </w:rPr>
            </w:pPr>
            <w:r>
              <w:rPr>
                <w:rFonts w:hint="default" w:ascii="Times New Roman" w:hAnsi="Times New Roman" w:cs="Times New Roman"/>
                <w:b w:val="0"/>
                <w:bCs w:val="0"/>
                <w:color w:val="auto"/>
                <w:sz w:val="24"/>
                <w:szCs w:val="24"/>
                <w:highlight w:val="none"/>
              </w:rPr>
              <w:t>由</w:t>
            </w:r>
            <w:r>
              <w:rPr>
                <w:rFonts w:hint="default" w:ascii="Times New Roman" w:hAnsi="Times New Roman" w:cs="Times New Roman"/>
                <w:b w:val="0"/>
                <w:bCs w:val="0"/>
                <w:color w:val="auto"/>
                <w:sz w:val="24"/>
                <w:szCs w:val="24"/>
                <w:highlight w:val="none"/>
                <w:lang w:eastAsia="zh-CN"/>
              </w:rPr>
              <w:t>上</w:t>
            </w:r>
            <w:r>
              <w:rPr>
                <w:rFonts w:hint="default" w:ascii="Times New Roman" w:hAnsi="Times New Roman" w:cs="Times New Roman"/>
                <w:b w:val="0"/>
                <w:bCs w:val="0"/>
                <w:color w:val="auto"/>
                <w:sz w:val="24"/>
                <w:szCs w:val="24"/>
                <w:highlight w:val="none"/>
              </w:rPr>
              <w:t>表可知，监测期间评价区内</w:t>
            </w:r>
            <w:r>
              <w:rPr>
                <w:rFonts w:hint="default" w:ascii="Times New Roman" w:hAnsi="Times New Roman" w:cs="Times New Roman"/>
                <w:b w:val="0"/>
                <w:bCs w:val="0"/>
                <w:color w:val="auto"/>
                <w:sz w:val="24"/>
                <w:szCs w:val="24"/>
                <w:highlight w:val="none"/>
                <w:lang w:val="en-US" w:eastAsia="zh-CN"/>
              </w:rPr>
              <w:t>TSP</w:t>
            </w:r>
            <w:r>
              <w:rPr>
                <w:rFonts w:hint="default" w:ascii="Times New Roman" w:hAnsi="Times New Roman" w:cs="Times New Roman"/>
                <w:b w:val="0"/>
                <w:bCs w:val="0"/>
                <w:color w:val="auto"/>
                <w:sz w:val="24"/>
                <w:szCs w:val="24"/>
                <w:highlight w:val="none"/>
              </w:rPr>
              <w:t>的</w:t>
            </w:r>
            <w:r>
              <w:rPr>
                <w:rFonts w:hint="default" w:ascii="Times New Roman" w:hAnsi="Times New Roman" w:cs="Times New Roman"/>
                <w:b w:val="0"/>
                <w:bCs w:val="0"/>
                <w:color w:val="auto"/>
                <w:sz w:val="24"/>
                <w:szCs w:val="24"/>
                <w:highlight w:val="none"/>
                <w:lang w:eastAsia="zh-CN"/>
              </w:rPr>
              <w:t>日均</w:t>
            </w:r>
            <w:r>
              <w:rPr>
                <w:rFonts w:hint="default" w:ascii="Times New Roman" w:hAnsi="Times New Roman" w:cs="Times New Roman"/>
                <w:b w:val="0"/>
                <w:bCs w:val="0"/>
                <w:color w:val="auto"/>
                <w:sz w:val="24"/>
                <w:szCs w:val="24"/>
                <w:highlight w:val="none"/>
              </w:rPr>
              <w:t>浓度均能够满足《环境空气质量标准》(GB3095-2012)的二级标准要求，说明项目区域内环境空气质量较好</w:t>
            </w:r>
            <w:r>
              <w:rPr>
                <w:rFonts w:hint="default" w:ascii="Times New Roman" w:hAnsi="Times New Roman" w:cs="Times New Roman"/>
                <w:b w:val="0"/>
                <w:bCs w:val="0"/>
                <w:color w:val="auto"/>
                <w:sz w:val="24"/>
                <w:szCs w:val="24"/>
                <w:highlight w:val="none"/>
                <w:lang w:eastAsia="zh-CN"/>
              </w:rPr>
              <w:t>。</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Chars="0" w:right="45" w:rightChars="0"/>
              <w:jc w:val="both"/>
              <w:rPr>
                <w:rFonts w:hint="default" w:ascii="Times New Roman" w:hAnsi="Times New Roman" w:cs="Times New Roman"/>
                <w:b/>
                <w:bCs/>
                <w:color w:val="auto"/>
                <w:sz w:val="24"/>
                <w:szCs w:val="24"/>
                <w:lang w:eastAsia="zh-CN"/>
              </w:rPr>
            </w:pPr>
            <w:r>
              <w:rPr>
                <w:rFonts w:hint="eastAsia" w:ascii="Times New Roman" w:hAnsi="Times New Roman" w:cs="Times New Roman"/>
                <w:b/>
                <w:bCs/>
                <w:color w:val="auto"/>
                <w:sz w:val="24"/>
                <w:szCs w:val="24"/>
                <w:lang w:val="en-US" w:eastAsia="zh-CN"/>
              </w:rPr>
              <w:t>6.</w:t>
            </w:r>
            <w:r>
              <w:rPr>
                <w:rFonts w:hint="default" w:ascii="Times New Roman" w:hAnsi="Times New Roman" w:cs="Times New Roman"/>
                <w:b/>
                <w:bCs/>
                <w:color w:val="auto"/>
                <w:sz w:val="24"/>
                <w:szCs w:val="24"/>
                <w:lang w:eastAsia="zh-CN"/>
              </w:rPr>
              <w:t>地表水质量现状评价</w:t>
            </w:r>
          </w:p>
          <w:p>
            <w:pPr>
              <w:autoSpaceDE w:val="0"/>
              <w:autoSpaceDN w:val="0"/>
              <w:adjustRightInd w:val="0"/>
              <w:spacing w:line="360" w:lineRule="auto"/>
              <w:ind w:firstLine="480" w:firstLineChars="200"/>
              <w:rPr>
                <w:rFonts w:ascii="Times New Roman" w:hAnsi="Times New Roman" w:eastAsia="宋体"/>
                <w:color w:val="auto"/>
                <w:sz w:val="24"/>
                <w:highlight w:val="none"/>
                <w:lang w:eastAsia="zh-CN"/>
              </w:rPr>
            </w:pPr>
            <w:r>
              <w:rPr>
                <w:rFonts w:hint="eastAsia" w:ascii="Times New Roman" w:hAnsi="Times New Roman" w:eastAsia="宋体"/>
                <w:color w:val="auto"/>
                <w:sz w:val="24"/>
                <w:highlight w:val="none"/>
                <w:lang w:eastAsia="zh-CN"/>
              </w:rPr>
              <w:t>项目</w:t>
            </w:r>
            <w:r>
              <w:rPr>
                <w:rFonts w:hint="eastAsia" w:ascii="Times New Roman" w:hAnsi="Times New Roman" w:eastAsia="宋体"/>
                <w:color w:val="auto"/>
                <w:sz w:val="24"/>
                <w:highlight w:val="none"/>
                <w:lang w:val="en-US" w:eastAsia="zh-CN"/>
              </w:rPr>
              <w:t>西</w:t>
            </w:r>
            <w:r>
              <w:rPr>
                <w:rFonts w:hint="eastAsia" w:ascii="Times New Roman" w:hAnsi="Times New Roman" w:eastAsia="宋体"/>
                <w:color w:val="auto"/>
                <w:sz w:val="24"/>
                <w:highlight w:val="none"/>
                <w:lang w:eastAsia="zh-CN"/>
              </w:rPr>
              <w:t>北侧</w:t>
            </w:r>
            <w:r>
              <w:rPr>
                <w:rFonts w:hint="eastAsia" w:ascii="Times New Roman" w:hAnsi="Times New Roman" w:eastAsia="宋体"/>
                <w:color w:val="auto"/>
                <w:sz w:val="24"/>
                <w:highlight w:val="none"/>
                <w:lang w:val="en-US" w:eastAsia="zh-CN"/>
              </w:rPr>
              <w:t>800</w:t>
            </w:r>
            <w:r>
              <w:rPr>
                <w:rFonts w:ascii="Times New Roman" w:hAnsi="Times New Roman" w:eastAsia="宋体"/>
                <w:color w:val="auto"/>
                <w:sz w:val="24"/>
                <w:highlight w:val="none"/>
                <w:lang w:eastAsia="zh-CN"/>
              </w:rPr>
              <w:t>m</w:t>
            </w:r>
            <w:r>
              <w:rPr>
                <w:rFonts w:hint="eastAsia" w:ascii="Times New Roman" w:hAnsi="Times New Roman" w:eastAsia="宋体"/>
                <w:color w:val="auto"/>
                <w:sz w:val="24"/>
                <w:highlight w:val="none"/>
                <w:lang w:eastAsia="zh-CN"/>
              </w:rPr>
              <w:t>为洮河，依据</w:t>
            </w:r>
            <w:r>
              <w:rPr>
                <w:rFonts w:ascii="Times New Roman" w:hAnsi="Times New Roman" w:eastAsia="宋体"/>
                <w:color w:val="auto"/>
                <w:sz w:val="24"/>
                <w:highlight w:val="none"/>
                <w:lang w:eastAsia="zh-CN"/>
              </w:rPr>
              <w:t>20</w:t>
            </w:r>
            <w:r>
              <w:rPr>
                <w:rFonts w:hint="eastAsia" w:ascii="Times New Roman" w:hAnsi="Times New Roman" w:eastAsia="宋体"/>
                <w:color w:val="auto"/>
                <w:sz w:val="24"/>
                <w:highlight w:val="none"/>
                <w:lang w:val="en-US" w:eastAsia="zh-CN"/>
              </w:rPr>
              <w:t>20</w:t>
            </w:r>
            <w:r>
              <w:rPr>
                <w:rFonts w:hint="eastAsia" w:ascii="Times New Roman" w:hAnsi="Times New Roman" w:eastAsia="宋体"/>
                <w:color w:val="auto"/>
                <w:sz w:val="24"/>
                <w:highlight w:val="none"/>
                <w:lang w:eastAsia="zh-CN"/>
              </w:rPr>
              <w:t>年《甘肃省生态环境状况公报》洮河水质质量监测结果，地表水环境质量监测结果见表</w:t>
            </w:r>
            <w:r>
              <w:rPr>
                <w:rFonts w:ascii="Times New Roman" w:hAnsi="Times New Roman" w:eastAsia="宋体"/>
                <w:color w:val="auto"/>
                <w:sz w:val="24"/>
                <w:highlight w:val="none"/>
                <w:lang w:eastAsia="zh-CN"/>
              </w:rPr>
              <w:t>3-</w:t>
            </w:r>
            <w:r>
              <w:rPr>
                <w:rFonts w:hint="eastAsia"/>
                <w:color w:val="auto"/>
                <w:sz w:val="24"/>
                <w:highlight w:val="none"/>
                <w:lang w:val="en-US" w:eastAsia="zh-CN"/>
              </w:rPr>
              <w:t>9</w:t>
            </w:r>
            <w:r>
              <w:rPr>
                <w:rFonts w:hint="eastAsia" w:ascii="Times New Roman" w:hAnsi="Times New Roman" w:eastAsia="宋体"/>
                <w:color w:val="auto"/>
                <w:sz w:val="24"/>
                <w:highlight w:val="none"/>
                <w:lang w:eastAsia="zh-CN"/>
              </w:rPr>
              <w:t>。</w:t>
            </w:r>
          </w:p>
          <w:p>
            <w:pPr>
              <w:autoSpaceDE w:val="0"/>
              <w:autoSpaceDN w:val="0"/>
              <w:adjustRightInd w:val="0"/>
              <w:spacing w:line="360" w:lineRule="auto"/>
              <w:ind w:firstLine="482" w:firstLineChars="200"/>
              <w:jc w:val="center"/>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eastAsia="zh-CN"/>
              </w:rPr>
              <w:t>表3-</w:t>
            </w:r>
            <w:r>
              <w:rPr>
                <w:rFonts w:hint="eastAsia" w:ascii="宋体" w:hAnsi="宋体" w:cs="宋体"/>
                <w:b/>
                <w:bCs/>
                <w:color w:val="auto"/>
                <w:sz w:val="24"/>
                <w:highlight w:val="none"/>
                <w:lang w:val="en-US" w:eastAsia="zh-CN"/>
              </w:rPr>
              <w:t>9</w:t>
            </w: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highlight w:val="none"/>
                <w:lang w:eastAsia="zh-CN"/>
              </w:rPr>
              <w:t>地表水环境质量监测结果表</w:t>
            </w:r>
          </w:p>
          <w:tbl>
            <w:tblPr>
              <w:tblStyle w:val="28"/>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1331"/>
              <w:gridCol w:w="1373"/>
              <w:gridCol w:w="1392"/>
              <w:gridCol w:w="1350"/>
              <w:gridCol w:w="1289"/>
              <w:gridCol w:w="12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5" w:hRule="atLeast"/>
                <w:jc w:val="center"/>
              </w:trPr>
              <w:tc>
                <w:tcPr>
                  <w:tcW w:w="829" w:type="pct"/>
                  <w:tcBorders>
                    <w:top w:val="single" w:color="auto" w:sz="4" w:space="0"/>
                    <w:left w:val="single" w:color="auto" w:sz="0" w:space="0"/>
                    <w:tl2br w:val="nil"/>
                    <w:tr2bl w:val="nil"/>
                  </w:tcBorders>
                  <w:vAlign w:val="center"/>
                </w:tcPr>
                <w:p>
                  <w:pPr>
                    <w:autoSpaceDE w:val="0"/>
                    <w:autoSpaceDN w:val="0"/>
                    <w:adjustRightInd w:val="0"/>
                    <w:spacing w:line="240" w:lineRule="auto"/>
                    <w:jc w:val="center"/>
                    <w:rPr>
                      <w:rFonts w:ascii="Times New Roman" w:hAnsi="Times New Roman" w:eastAsia="宋体"/>
                      <w:b w:val="0"/>
                      <w:bCs w:val="0"/>
                      <w:color w:val="auto"/>
                      <w:sz w:val="21"/>
                      <w:szCs w:val="21"/>
                      <w:highlight w:val="none"/>
                      <w:lang w:eastAsia="zh-CN"/>
                    </w:rPr>
                  </w:pPr>
                  <w:r>
                    <w:rPr>
                      <w:rFonts w:hint="eastAsia" w:ascii="Times New Roman" w:hAnsi="Times New Roman" w:eastAsia="宋体"/>
                      <w:b w:val="0"/>
                      <w:bCs w:val="0"/>
                      <w:color w:val="auto"/>
                      <w:sz w:val="21"/>
                      <w:szCs w:val="21"/>
                      <w:highlight w:val="none"/>
                      <w:lang w:eastAsia="zh-CN"/>
                    </w:rPr>
                    <w:t>河段</w:t>
                  </w:r>
                </w:p>
              </w:tc>
              <w:tc>
                <w:tcPr>
                  <w:tcW w:w="855" w:type="pct"/>
                  <w:tcBorders>
                    <w:top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b w:val="0"/>
                      <w:bCs w:val="0"/>
                      <w:color w:val="auto"/>
                      <w:sz w:val="21"/>
                      <w:szCs w:val="21"/>
                      <w:highlight w:val="none"/>
                      <w:lang w:eastAsia="zh-CN"/>
                    </w:rPr>
                  </w:pPr>
                  <w:r>
                    <w:rPr>
                      <w:rFonts w:hint="eastAsia" w:ascii="Times New Roman" w:hAnsi="Times New Roman" w:eastAsia="宋体"/>
                      <w:b w:val="0"/>
                      <w:bCs w:val="0"/>
                      <w:color w:val="auto"/>
                      <w:sz w:val="21"/>
                      <w:szCs w:val="21"/>
                      <w:highlight w:val="none"/>
                      <w:lang w:eastAsia="zh-CN"/>
                    </w:rPr>
                    <w:t>考核断面</w:t>
                  </w:r>
                </w:p>
              </w:tc>
              <w:tc>
                <w:tcPr>
                  <w:tcW w:w="867" w:type="pct"/>
                  <w:tcBorders>
                    <w:top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b w:val="0"/>
                      <w:bCs w:val="0"/>
                      <w:color w:val="auto"/>
                      <w:sz w:val="21"/>
                      <w:szCs w:val="21"/>
                      <w:highlight w:val="none"/>
                      <w:lang w:eastAsia="zh-CN"/>
                    </w:rPr>
                  </w:pPr>
                  <w:r>
                    <w:rPr>
                      <w:rFonts w:hint="eastAsia" w:ascii="Times New Roman" w:hAnsi="Times New Roman" w:eastAsia="宋体"/>
                      <w:b w:val="0"/>
                      <w:bCs w:val="0"/>
                      <w:color w:val="auto"/>
                      <w:sz w:val="21"/>
                      <w:szCs w:val="21"/>
                      <w:highlight w:val="none"/>
                      <w:lang w:eastAsia="zh-CN"/>
                    </w:rPr>
                    <w:t>考核目标</w:t>
                  </w:r>
                </w:p>
              </w:tc>
              <w:tc>
                <w:tcPr>
                  <w:tcW w:w="841" w:type="pct"/>
                  <w:tcBorders>
                    <w:top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b w:val="0"/>
                      <w:bCs w:val="0"/>
                      <w:color w:val="auto"/>
                      <w:sz w:val="21"/>
                      <w:szCs w:val="21"/>
                      <w:highlight w:val="none"/>
                      <w:lang w:eastAsia="zh-CN"/>
                    </w:rPr>
                  </w:pPr>
                  <w:r>
                    <w:rPr>
                      <w:rFonts w:hint="eastAsia" w:ascii="Times New Roman" w:hAnsi="Times New Roman" w:eastAsia="宋体"/>
                      <w:b w:val="0"/>
                      <w:bCs w:val="0"/>
                      <w:color w:val="auto"/>
                      <w:sz w:val="21"/>
                      <w:szCs w:val="21"/>
                      <w:highlight w:val="none"/>
                      <w:lang w:eastAsia="zh-CN"/>
                    </w:rPr>
                    <w:t>水质状况</w:t>
                  </w:r>
                </w:p>
              </w:tc>
              <w:tc>
                <w:tcPr>
                  <w:tcW w:w="803" w:type="pct"/>
                  <w:tcBorders>
                    <w:top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b w:val="0"/>
                      <w:bCs w:val="0"/>
                      <w:color w:val="auto"/>
                      <w:sz w:val="21"/>
                      <w:szCs w:val="21"/>
                      <w:highlight w:val="none"/>
                      <w:lang w:eastAsia="zh-CN"/>
                    </w:rPr>
                  </w:pPr>
                  <w:r>
                    <w:rPr>
                      <w:rFonts w:hint="eastAsia" w:ascii="Times New Roman" w:hAnsi="Times New Roman" w:eastAsia="宋体"/>
                      <w:b w:val="0"/>
                      <w:bCs w:val="0"/>
                      <w:color w:val="auto"/>
                      <w:sz w:val="21"/>
                      <w:szCs w:val="21"/>
                      <w:highlight w:val="none"/>
                      <w:lang w:eastAsia="zh-CN"/>
                    </w:rPr>
                    <w:t>水质评价</w:t>
                  </w:r>
                </w:p>
              </w:tc>
              <w:tc>
                <w:tcPr>
                  <w:tcW w:w="802" w:type="pct"/>
                  <w:tcBorders>
                    <w:top w:val="single" w:color="auto" w:sz="4" w:space="0"/>
                    <w:right w:val="single" w:color="auto" w:sz="4" w:space="0"/>
                    <w:tl2br w:val="nil"/>
                    <w:tr2bl w:val="nil"/>
                  </w:tcBorders>
                </w:tcPr>
                <w:p>
                  <w:pPr>
                    <w:autoSpaceDE w:val="0"/>
                    <w:autoSpaceDN w:val="0"/>
                    <w:adjustRightInd w:val="0"/>
                    <w:spacing w:line="240" w:lineRule="auto"/>
                    <w:jc w:val="center"/>
                    <w:rPr>
                      <w:rFonts w:ascii="Times New Roman" w:hAnsi="Times New Roman" w:eastAsia="宋体"/>
                      <w:b w:val="0"/>
                      <w:bCs w:val="0"/>
                      <w:color w:val="auto"/>
                      <w:sz w:val="21"/>
                      <w:szCs w:val="21"/>
                      <w:highlight w:val="none"/>
                      <w:lang w:eastAsia="zh-CN"/>
                    </w:rPr>
                  </w:pPr>
                  <w:r>
                    <w:rPr>
                      <w:rFonts w:hint="eastAsia" w:ascii="Times New Roman" w:hAnsi="Times New Roman" w:eastAsia="宋体"/>
                      <w:b w:val="0"/>
                      <w:bCs w:val="0"/>
                      <w:color w:val="auto"/>
                      <w:sz w:val="21"/>
                      <w:szCs w:val="21"/>
                      <w:highlight w:val="none"/>
                      <w:lang w:eastAsia="zh-CN"/>
                    </w:rPr>
                    <w:t>主要污染指数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25" w:hRule="atLeast"/>
                <w:jc w:val="center"/>
              </w:trPr>
              <w:tc>
                <w:tcPr>
                  <w:tcW w:w="829" w:type="pct"/>
                  <w:vMerge w:val="restart"/>
                  <w:tcBorders>
                    <w:left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洮河</w:t>
                  </w:r>
                </w:p>
              </w:tc>
              <w:tc>
                <w:tcPr>
                  <w:tcW w:w="855" w:type="pct"/>
                  <w:tcBorders>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玉井</w:t>
                  </w:r>
                </w:p>
              </w:tc>
              <w:tc>
                <w:tcPr>
                  <w:tcW w:w="867" w:type="pct"/>
                  <w:tcBorders>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Ⅰ</w:t>
                  </w:r>
                </w:p>
              </w:tc>
              <w:tc>
                <w:tcPr>
                  <w:tcW w:w="841" w:type="pct"/>
                  <w:tcBorders>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Ⅰ</w:t>
                  </w:r>
                </w:p>
              </w:tc>
              <w:tc>
                <w:tcPr>
                  <w:tcW w:w="803" w:type="pct"/>
                  <w:tcBorders>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优</w:t>
                  </w:r>
                </w:p>
              </w:tc>
              <w:tc>
                <w:tcPr>
                  <w:tcW w:w="802" w:type="pct"/>
                  <w:tcBorders>
                    <w:right w:val="single" w:color="auto" w:sz="4" w:space="0"/>
                    <w:tl2br w:val="nil"/>
                    <w:tr2bl w:val="nil"/>
                  </w:tcBorders>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25" w:hRule="atLeast"/>
                <w:jc w:val="center"/>
              </w:trPr>
              <w:tc>
                <w:tcPr>
                  <w:tcW w:w="829" w:type="pct"/>
                  <w:vMerge w:val="continue"/>
                  <w:tcBorders>
                    <w:left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p>
              </w:tc>
              <w:tc>
                <w:tcPr>
                  <w:tcW w:w="855" w:type="pct"/>
                  <w:tcBorders>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洮园桥</w:t>
                  </w:r>
                </w:p>
              </w:tc>
              <w:tc>
                <w:tcPr>
                  <w:tcW w:w="867" w:type="pct"/>
                  <w:tcBorders>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Ⅱ</w:t>
                  </w:r>
                </w:p>
              </w:tc>
              <w:tc>
                <w:tcPr>
                  <w:tcW w:w="841" w:type="pct"/>
                  <w:tcBorders>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Ⅱ</w:t>
                  </w:r>
                </w:p>
              </w:tc>
              <w:tc>
                <w:tcPr>
                  <w:tcW w:w="803" w:type="pct"/>
                  <w:tcBorders>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优</w:t>
                  </w:r>
                </w:p>
              </w:tc>
              <w:tc>
                <w:tcPr>
                  <w:tcW w:w="802" w:type="pct"/>
                  <w:tcBorders>
                    <w:right w:val="single" w:color="auto" w:sz="4" w:space="0"/>
                    <w:tl2br w:val="nil"/>
                    <w:tr2bl w:val="nil"/>
                  </w:tcBorders>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25" w:hRule="atLeast"/>
                <w:jc w:val="center"/>
              </w:trPr>
              <w:tc>
                <w:tcPr>
                  <w:tcW w:w="829" w:type="pct"/>
                  <w:vMerge w:val="continue"/>
                  <w:tcBorders>
                    <w:left w:val="single" w:color="auto" w:sz="4" w:space="0"/>
                    <w:bottom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p>
              </w:tc>
              <w:tc>
                <w:tcPr>
                  <w:tcW w:w="855" w:type="pct"/>
                  <w:tcBorders>
                    <w:bottom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九甸峡水库</w:t>
                  </w:r>
                </w:p>
              </w:tc>
              <w:tc>
                <w:tcPr>
                  <w:tcW w:w="867" w:type="pct"/>
                  <w:tcBorders>
                    <w:bottom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Ⅱ</w:t>
                  </w:r>
                </w:p>
              </w:tc>
              <w:tc>
                <w:tcPr>
                  <w:tcW w:w="841" w:type="pct"/>
                  <w:tcBorders>
                    <w:bottom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Ⅱ</w:t>
                  </w:r>
                </w:p>
              </w:tc>
              <w:tc>
                <w:tcPr>
                  <w:tcW w:w="803" w:type="pct"/>
                  <w:tcBorders>
                    <w:bottom w:val="single" w:color="auto" w:sz="4" w:space="0"/>
                    <w:tl2br w:val="nil"/>
                    <w:tr2bl w:val="nil"/>
                  </w:tcBorders>
                  <w:vAlign w:val="center"/>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优</w:t>
                  </w:r>
                </w:p>
              </w:tc>
              <w:tc>
                <w:tcPr>
                  <w:tcW w:w="802" w:type="pct"/>
                  <w:tcBorders>
                    <w:bottom w:val="single" w:color="auto" w:sz="4" w:space="0"/>
                    <w:right w:val="single" w:color="auto" w:sz="4" w:space="0"/>
                    <w:tl2br w:val="nil"/>
                    <w:tr2bl w:val="nil"/>
                  </w:tcBorders>
                </w:tcPr>
                <w:p>
                  <w:pPr>
                    <w:autoSpaceDE w:val="0"/>
                    <w:autoSpaceDN w:val="0"/>
                    <w:adjustRightInd w:val="0"/>
                    <w:spacing w:line="240" w:lineRule="auto"/>
                    <w:jc w:val="center"/>
                    <w:rPr>
                      <w:rFonts w:ascii="Times New Roman" w:hAnsi="Times New Roman" w:eastAsia="宋体"/>
                      <w:color w:val="auto"/>
                      <w:sz w:val="21"/>
                      <w:szCs w:val="21"/>
                      <w:highlight w:val="none"/>
                      <w:lang w:eastAsia="zh-CN"/>
                    </w:rPr>
                  </w:pPr>
                  <w:r>
                    <w:rPr>
                      <w:rFonts w:hint="eastAsia" w:ascii="Times New Roman" w:hAnsi="Times New Roman" w:eastAsia="宋体"/>
                      <w:color w:val="auto"/>
                      <w:sz w:val="21"/>
                      <w:szCs w:val="21"/>
                      <w:highlight w:val="none"/>
                      <w:lang w:eastAsia="zh-CN"/>
                    </w:rPr>
                    <w:t>/</w:t>
                  </w:r>
                </w:p>
              </w:tc>
            </w:tr>
          </w:tbl>
          <w:p>
            <w:pPr>
              <w:autoSpaceDE w:val="0"/>
              <w:autoSpaceDN w:val="0"/>
              <w:adjustRightInd w:val="0"/>
              <w:spacing w:line="360" w:lineRule="auto"/>
              <w:ind w:firstLine="480" w:firstLineChars="200"/>
              <w:rPr>
                <w:rFonts w:ascii="Times New Roman" w:hAnsi="Times New Roman" w:eastAsia="宋体"/>
                <w:color w:val="auto"/>
                <w:sz w:val="24"/>
                <w:highlight w:val="none"/>
                <w:lang w:eastAsia="zh-CN"/>
              </w:rPr>
            </w:pPr>
            <w:r>
              <w:rPr>
                <w:rFonts w:hint="eastAsia" w:ascii="Times New Roman" w:hAnsi="Times New Roman" w:eastAsia="宋体"/>
                <w:color w:val="auto"/>
                <w:sz w:val="24"/>
                <w:highlight w:val="none"/>
                <w:lang w:eastAsia="zh-CN"/>
              </w:rPr>
              <w:t>由上表可知，洮河玉井断面水质状况为Ⅰ类，水质优，洮园桥、九甸峡水库水质为Ⅱ类，水质优。</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Chars="0" w:right="45" w:rightChars="0"/>
              <w:jc w:val="both"/>
              <w:rPr>
                <w:rFonts w:hint="eastAsia" w:ascii="Times New Roman" w:hAnsi="Times New Roman" w:cs="Times New Roman"/>
                <w:b/>
                <w:bCs/>
                <w:color w:val="auto"/>
                <w:sz w:val="24"/>
                <w:szCs w:val="24"/>
                <w:highlight w:val="none"/>
                <w:lang w:val="en-US" w:eastAsia="zh-CN"/>
              </w:rPr>
            </w:pPr>
            <w:r>
              <w:rPr>
                <w:rFonts w:hint="eastAsia" w:ascii="Times New Roman" w:hAnsi="Times New Roman" w:cs="Times New Roman"/>
                <w:b/>
                <w:bCs/>
                <w:color w:val="auto"/>
                <w:sz w:val="24"/>
                <w:szCs w:val="24"/>
                <w:highlight w:val="none"/>
                <w:lang w:val="en-US" w:eastAsia="zh-CN"/>
              </w:rPr>
              <w:t>7.声环境</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60" w:rightChars="0"/>
              <w:jc w:val="left"/>
              <w:rPr>
                <w:rFonts w:hint="eastAsia" w:ascii="Times New Roman" w:hAnsi="Times New Roman" w:cs="Times New Roman"/>
                <w:b w:val="0"/>
                <w:i w:val="0"/>
                <w:caps w:val="0"/>
                <w:color w:val="auto"/>
                <w:spacing w:val="0"/>
                <w:sz w:val="24"/>
                <w:szCs w:val="24"/>
                <w:highlight w:val="none"/>
                <w:u w:val="none"/>
                <w:shd w:val="clear" w:color="auto" w:fill="FFFFFF"/>
                <w:vertAlign w:val="baseline"/>
                <w:lang w:val="en-US" w:eastAsia="zh-CN"/>
              </w:rPr>
            </w:pPr>
            <w:r>
              <w:rPr>
                <w:rFonts w:hint="eastAsia" w:ascii="Times New Roman" w:hAnsi="Times New Roman" w:cs="Times New Roman"/>
                <w:b w:val="0"/>
                <w:i w:val="0"/>
                <w:caps w:val="0"/>
                <w:color w:val="auto"/>
                <w:spacing w:val="0"/>
                <w:sz w:val="24"/>
                <w:szCs w:val="24"/>
                <w:highlight w:val="none"/>
                <w:u w:val="none"/>
                <w:shd w:val="clear" w:color="auto" w:fill="FFFFFF"/>
                <w:vertAlign w:val="baseline"/>
                <w:lang w:val="en-US" w:eastAsia="zh-CN"/>
              </w:rPr>
              <w:t xml:space="preserve">    项目矿区及加工区各厂界外50m范围内无环境敏感目标，则噪声可不进行监测。</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Chars="0" w:right="45" w:rightChars="0"/>
              <w:jc w:val="both"/>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8.地下水、土壤环境</w:t>
            </w:r>
          </w:p>
          <w:p>
            <w:pPr>
              <w:pStyle w:val="2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right="60" w:rightChars="0" w:firstLine="480" w:firstLineChars="200"/>
              <w:jc w:val="left"/>
              <w:rPr>
                <w:rFonts w:hint="default" w:ascii="Times New Roman" w:hAnsi="Times New Roman" w:cs="Times New Roman"/>
                <w:b w:val="0"/>
                <w:i w:val="0"/>
                <w:caps w:val="0"/>
                <w:color w:val="000000"/>
                <w:spacing w:val="0"/>
                <w:sz w:val="24"/>
                <w:szCs w:val="24"/>
                <w:u w:val="none"/>
                <w:shd w:val="clear" w:color="auto" w:fill="FFFFFF"/>
                <w:vertAlign w:val="baseline"/>
                <w:lang w:val="en-US" w:eastAsia="zh-CN"/>
              </w:rPr>
            </w:pPr>
            <w:r>
              <w:rPr>
                <w:rFonts w:hint="eastAsia" w:ascii="Times New Roman" w:hAnsi="Times New Roman" w:cs="Times New Roman"/>
                <w:b w:val="0"/>
                <w:i w:val="0"/>
                <w:caps w:val="0"/>
                <w:color w:val="000000"/>
                <w:spacing w:val="0"/>
                <w:sz w:val="24"/>
                <w:szCs w:val="24"/>
                <w:u w:val="none"/>
                <w:shd w:val="clear" w:color="auto" w:fill="FFFFFF"/>
                <w:vertAlign w:val="baseline"/>
                <w:lang w:val="en-US" w:eastAsia="zh-CN"/>
              </w:rPr>
              <w:t>本项目为建筑用砂矿项目，项目周边不存在土壤环境敏感目标，不存在地下水与土壤污染途径，根据报告表编制技术指南中，不开展专项评价的环境要素，土壤、地下水参照环境影响评价技术导则，根据环境影响评价技术导则，该项目不开展地下水、土壤环境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650" w:type="dxa"/>
            <w:noWrap w:val="0"/>
            <w:vAlign w:val="center"/>
          </w:tcPr>
          <w:p>
            <w:pPr>
              <w:adjustRightInd w:val="0"/>
              <w:snapToGrid w:val="0"/>
              <w:jc w:val="center"/>
              <w:rPr>
                <w:kern w:val="0"/>
                <w:szCs w:val="21"/>
                <w:highlight w:val="yellow"/>
              </w:rPr>
            </w:pPr>
            <w:r>
              <w:rPr>
                <w:bCs/>
                <w:sz w:val="24"/>
                <w:szCs w:val="24"/>
              </w:rPr>
              <w:t>与项目有关的原有环境污染和生态破坏问题</w:t>
            </w:r>
          </w:p>
        </w:tc>
        <w:tc>
          <w:tcPr>
            <w:tcW w:w="8243" w:type="dxa"/>
            <w:noWrap w:val="0"/>
            <w:vAlign w:val="center"/>
          </w:tcPr>
          <w:p>
            <w:pPr>
              <w:pStyle w:val="2"/>
              <w:spacing w:line="360" w:lineRule="auto"/>
              <w:jc w:val="both"/>
              <w:rPr>
                <w:rFonts w:hint="eastAsia" w:ascii="Times New Roman" w:cs="Times New Roman"/>
                <w:color w:val="FF0000"/>
                <w:lang w:val="en-US" w:eastAsia="zh-CN"/>
              </w:rPr>
            </w:pPr>
          </w:p>
          <w:p>
            <w:pPr>
              <w:pStyle w:val="2"/>
              <w:spacing w:line="360" w:lineRule="auto"/>
              <w:ind w:firstLine="480" w:firstLineChars="200"/>
              <w:jc w:val="both"/>
              <w:rPr>
                <w:rFonts w:hint="eastAsia" w:ascii="Times New Roman" w:cs="Times New Roman"/>
                <w:color w:val="FF0000"/>
                <w:lang w:val="en-US" w:eastAsia="zh-CN"/>
              </w:rPr>
            </w:pPr>
          </w:p>
          <w:p>
            <w:pPr>
              <w:pStyle w:val="2"/>
              <w:keepNext w:val="0"/>
              <w:keepLines w:val="0"/>
              <w:pageBreakBefore w:val="0"/>
              <w:widowControl w:val="0"/>
              <w:kinsoku/>
              <w:wordWrap/>
              <w:overflowPunct/>
              <w:topLinePunct w:val="0"/>
              <w:bidi w:val="0"/>
              <w:adjustRightInd w:val="0"/>
              <w:spacing w:line="360" w:lineRule="auto"/>
              <w:jc w:val="both"/>
              <w:textAlignment w:val="auto"/>
              <w:rPr>
                <w:rFonts w:hint="default" w:ascii="Times New Roman" w:hAnsi="Times New Roman" w:cs="Times New Roman"/>
                <w:color w:val="000000"/>
                <w:lang w:val="en-US" w:eastAsia="zh-CN"/>
              </w:rPr>
            </w:pPr>
            <w:r>
              <w:rPr>
                <w:rFonts w:hint="eastAsia" w:ascii="Times New Roman" w:cs="Times New Roman"/>
                <w:color w:val="FF0000"/>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9" w:hRule="atLeast"/>
          <w:jc w:val="center"/>
        </w:trPr>
        <w:tc>
          <w:tcPr>
            <w:tcW w:w="650" w:type="dxa"/>
            <w:noWrap w:val="0"/>
            <w:vAlign w:val="center"/>
          </w:tcPr>
          <w:p>
            <w:pPr>
              <w:adjustRightInd w:val="0"/>
              <w:snapToGrid w:val="0"/>
              <w:jc w:val="center"/>
              <w:rPr>
                <w:kern w:val="0"/>
                <w:sz w:val="24"/>
                <w:highlight w:val="yellow"/>
              </w:rPr>
            </w:pPr>
            <w:r>
              <w:rPr>
                <w:kern w:val="0"/>
                <w:sz w:val="24"/>
              </w:rPr>
              <w:t>生态环境保护目标</w:t>
            </w:r>
          </w:p>
        </w:tc>
        <w:tc>
          <w:tcPr>
            <w:tcW w:w="8243" w:type="dxa"/>
            <w:noWrap w:val="0"/>
            <w:vAlign w:val="center"/>
          </w:tcPr>
          <w:p>
            <w:pPr>
              <w:adjustRightInd w:val="0"/>
              <w:snapToGrid w:val="0"/>
              <w:spacing w:line="360" w:lineRule="auto"/>
              <w:rPr>
                <w:b/>
                <w:sz w:val="24"/>
              </w:rPr>
            </w:pPr>
            <w:r>
              <w:rPr>
                <w:b/>
                <w:sz w:val="24"/>
              </w:rPr>
              <w:t>1</w:t>
            </w:r>
            <w:r>
              <w:rPr>
                <w:rFonts w:hint="eastAsia"/>
                <w:b/>
                <w:sz w:val="24"/>
              </w:rPr>
              <w:t>.</w:t>
            </w:r>
            <w:r>
              <w:rPr>
                <w:rFonts w:ascii="宋体" w:hAnsi="宋体"/>
                <w:b/>
                <w:sz w:val="24"/>
              </w:rPr>
              <w:t>环境保护目标</w:t>
            </w:r>
          </w:p>
          <w:p>
            <w:pPr>
              <w:adjustRightInd w:val="0"/>
              <w:snapToGrid w:val="0"/>
              <w:spacing w:line="360" w:lineRule="auto"/>
              <w:ind w:firstLine="482"/>
              <w:rPr>
                <w:rFonts w:hint="eastAsia"/>
                <w:sz w:val="24"/>
                <w:highlight w:val="none"/>
              </w:rPr>
            </w:pPr>
            <w:r>
              <w:rPr>
                <w:rFonts w:hint="eastAsia" w:ascii="宋体" w:hAnsi="宋体"/>
                <w:sz w:val="24"/>
                <w:highlight w:val="none"/>
                <w:lang w:val="en-US" w:eastAsia="zh-CN"/>
              </w:rPr>
              <w:t>本项目位于东乡县达板镇舀水村</w:t>
            </w:r>
            <w:r>
              <w:rPr>
                <w:rFonts w:hint="eastAsia" w:ascii="Times New Roman" w:hAnsi="Times New Roman" w:cs="Times New Roman"/>
                <w:sz w:val="24"/>
                <w:szCs w:val="24"/>
                <w:lang w:val="en-US" w:eastAsia="zh-CN"/>
              </w:rPr>
              <w:t>布塄沟沟口右岸支沟</w:t>
            </w:r>
            <w:r>
              <w:rPr>
                <w:rFonts w:hint="eastAsia" w:ascii="宋体" w:hAnsi="宋体"/>
                <w:sz w:val="24"/>
                <w:highlight w:val="none"/>
                <w:lang w:val="en-US" w:eastAsia="zh-CN"/>
              </w:rPr>
              <w:t>，矿区四侧均为山</w:t>
            </w:r>
            <w:r>
              <w:rPr>
                <w:rFonts w:hint="eastAsia" w:hAnsi="宋体"/>
                <w:sz w:val="24"/>
                <w:highlight w:val="none"/>
                <w:lang w:eastAsia="zh-CN"/>
              </w:rPr>
              <w:t>。</w:t>
            </w:r>
            <w:r>
              <w:rPr>
                <w:rFonts w:hint="eastAsia"/>
                <w:sz w:val="24"/>
                <w:highlight w:val="none"/>
              </w:rPr>
              <w:t xml:space="preserve"> </w:t>
            </w:r>
          </w:p>
          <w:p>
            <w:pPr>
              <w:adjustRightInd w:val="0"/>
              <w:snapToGrid w:val="0"/>
              <w:spacing w:line="360" w:lineRule="auto"/>
              <w:ind w:firstLine="482"/>
              <w:rPr>
                <w:rFonts w:hint="eastAsia" w:ascii="Times New Roman" w:hAnsi="Times New Roman" w:eastAsia="宋体" w:cs="Times New Roman"/>
                <w:color w:val="auto"/>
                <w:sz w:val="24"/>
                <w:szCs w:val="24"/>
                <w:highlight w:val="none"/>
                <w:lang w:eastAsia="zh-CN"/>
              </w:rPr>
            </w:pPr>
            <w:r>
              <w:rPr>
                <w:rFonts w:hint="eastAsia"/>
                <w:sz w:val="24"/>
                <w:highlight w:val="none"/>
              </w:rPr>
              <w:t>1、</w:t>
            </w:r>
            <w:r>
              <w:rPr>
                <w:sz w:val="24"/>
                <w:highlight w:val="none"/>
              </w:rPr>
              <w:t>大气环境：</w:t>
            </w:r>
            <w:r>
              <w:rPr>
                <w:rFonts w:hint="eastAsia" w:ascii="Times New Roman" w:hAnsi="Times New Roman" w:eastAsia="宋体" w:cs="Times New Roman"/>
                <w:color w:val="auto"/>
                <w:sz w:val="24"/>
                <w:highlight w:val="none"/>
                <w:lang w:val="zh-CN"/>
              </w:rPr>
              <w:t>距离项目区最近为</w:t>
            </w:r>
            <w:r>
              <w:rPr>
                <w:rFonts w:hint="eastAsia"/>
                <w:color w:val="auto"/>
                <w:sz w:val="24"/>
                <w:highlight w:val="none"/>
                <w:lang w:val="en-US" w:eastAsia="zh-CN"/>
              </w:rPr>
              <w:t>东侧</w:t>
            </w:r>
            <w:r>
              <w:rPr>
                <w:rFonts w:hint="eastAsia"/>
                <w:sz w:val="24"/>
                <w:highlight w:val="none"/>
                <w:lang w:val="en-US" w:eastAsia="zh-CN"/>
              </w:rPr>
              <w:t>426m处</w:t>
            </w:r>
            <w:r>
              <w:rPr>
                <w:rFonts w:hint="eastAsia" w:ascii="Times New Roman" w:hAnsi="Times New Roman" w:eastAsia="宋体" w:cs="Times New Roman"/>
                <w:color w:val="auto"/>
                <w:sz w:val="24"/>
                <w:szCs w:val="24"/>
                <w:highlight w:val="none"/>
                <w:lang w:val="en-US" w:eastAsia="zh-CN"/>
              </w:rPr>
              <w:t>康家村居民</w:t>
            </w:r>
            <w:r>
              <w:rPr>
                <w:rFonts w:hint="eastAsia"/>
                <w:sz w:val="24"/>
                <w:highlight w:val="none"/>
                <w:lang w:val="en-US" w:eastAsia="zh-CN"/>
              </w:rPr>
              <w:t>区，</w:t>
            </w:r>
            <w:r>
              <w:rPr>
                <w:rFonts w:hint="default" w:ascii="Times New Roman" w:hAnsi="Times New Roman" w:eastAsia="宋体" w:cs="Times New Roman"/>
                <w:color w:val="auto"/>
                <w:sz w:val="24"/>
                <w:szCs w:val="24"/>
                <w:highlight w:val="none"/>
              </w:rPr>
              <w:t>保护项目</w:t>
            </w:r>
            <w:r>
              <w:rPr>
                <w:sz w:val="24"/>
                <w:highlight w:val="none"/>
              </w:rPr>
              <w:t>周边500m范围内</w:t>
            </w:r>
            <w:r>
              <w:rPr>
                <w:rFonts w:hint="default" w:ascii="Times New Roman" w:hAnsi="Times New Roman" w:eastAsia="宋体" w:cs="Times New Roman"/>
                <w:color w:val="auto"/>
                <w:sz w:val="24"/>
                <w:szCs w:val="24"/>
                <w:highlight w:val="none"/>
              </w:rPr>
              <w:t>环境空气质量达到《环境空气质量标准》（GB3095-2012）的二级标准</w:t>
            </w:r>
            <w:r>
              <w:rPr>
                <w:rFonts w:hint="eastAsia" w:cs="Times New Roman"/>
                <w:color w:val="auto"/>
                <w:sz w:val="24"/>
                <w:szCs w:val="24"/>
                <w:highlight w:val="none"/>
                <w:lang w:eastAsia="zh-CN"/>
              </w:rPr>
              <w:t>。</w:t>
            </w:r>
          </w:p>
          <w:p>
            <w:pPr>
              <w:adjustRightInd w:val="0"/>
              <w:snapToGrid w:val="0"/>
              <w:spacing w:line="360" w:lineRule="auto"/>
              <w:ind w:firstLine="480" w:firstLineChars="200"/>
              <w:jc w:val="left"/>
              <w:rPr>
                <w:rFonts w:hint="default" w:ascii="Times New Roman" w:hAnsi="Times New Roman" w:eastAsia="宋体" w:cs="Times New Roman"/>
                <w:sz w:val="24"/>
                <w:highlight w:val="none"/>
                <w:lang w:val="en-US" w:eastAsia="zh-CN"/>
              </w:rPr>
            </w:pPr>
            <w:r>
              <w:rPr>
                <w:rFonts w:hint="eastAsia"/>
                <w:sz w:val="24"/>
                <w:highlight w:val="none"/>
              </w:rPr>
              <w:t>2、</w:t>
            </w:r>
            <w:r>
              <w:rPr>
                <w:sz w:val="24"/>
                <w:highlight w:val="none"/>
              </w:rPr>
              <w:t>声环境：项目厂界50m</w:t>
            </w:r>
            <w:r>
              <w:rPr>
                <w:rFonts w:hint="default" w:ascii="Times New Roman" w:hAnsi="Times New Roman" w:eastAsia="宋体" w:cs="Times New Roman"/>
                <w:sz w:val="24"/>
                <w:highlight w:val="none"/>
              </w:rPr>
              <w:t>区域</w:t>
            </w:r>
            <w:r>
              <w:rPr>
                <w:rFonts w:hint="eastAsia" w:eastAsia="宋体" w:cs="Times New Roman"/>
                <w:sz w:val="24"/>
                <w:highlight w:val="none"/>
                <w:lang w:val="en-US" w:eastAsia="zh-CN"/>
              </w:rPr>
              <w:t>无声环境敏感目标</w:t>
            </w:r>
          </w:p>
          <w:p>
            <w:pPr>
              <w:pStyle w:val="27"/>
              <w:spacing w:after="0" w:line="360" w:lineRule="auto"/>
              <w:ind w:firstLine="480" w:firstLineChars="200"/>
              <w:rPr>
                <w:snapToGrid w:val="0"/>
                <w:sz w:val="24"/>
                <w:highlight w:val="none"/>
              </w:rPr>
            </w:pPr>
            <w:r>
              <w:rPr>
                <w:sz w:val="24"/>
                <w:highlight w:val="none"/>
              </w:rPr>
              <w:t>3、地下水环境：</w:t>
            </w:r>
            <w:r>
              <w:rPr>
                <w:snapToGrid w:val="0"/>
                <w:sz w:val="24"/>
                <w:highlight w:val="none"/>
              </w:rPr>
              <w:t>经调查，项目厂界外500m范围内不存在地下水集中式引用水水源和热水、矿泉水、温泉等特殊地下水资源。</w:t>
            </w:r>
          </w:p>
          <w:p>
            <w:pPr>
              <w:adjustRightInd w:val="0"/>
              <w:snapToGrid w:val="0"/>
              <w:spacing w:line="360" w:lineRule="auto"/>
              <w:ind w:firstLine="480" w:firstLineChars="200"/>
              <w:rPr>
                <w:rFonts w:hint="eastAsia" w:hAnsi="宋体"/>
                <w:sz w:val="24"/>
                <w:highlight w:val="none"/>
                <w:lang w:val="en-US" w:eastAsia="zh-CN"/>
              </w:rPr>
            </w:pPr>
            <w:r>
              <w:rPr>
                <w:rFonts w:hint="eastAsia" w:hAnsi="宋体"/>
                <w:sz w:val="24"/>
                <w:highlight w:val="none"/>
                <w:lang w:val="en-US" w:eastAsia="zh-CN"/>
              </w:rPr>
              <w:t>根据本工程排污特征及矿区周围环境特征，主要环境保护目标见下表，敏感点分布见下表和图3-4。</w:t>
            </w:r>
          </w:p>
          <w:p>
            <w:pPr>
              <w:adjustRightInd w:val="0"/>
              <w:snapToGrid w:val="0"/>
              <w:spacing w:line="360" w:lineRule="auto"/>
              <w:ind w:firstLine="482" w:firstLineChars="200"/>
              <w:rPr>
                <w:b/>
                <w:color w:val="auto"/>
                <w:sz w:val="24"/>
                <w:highlight w:val="none"/>
              </w:rPr>
            </w:pPr>
            <w:r>
              <w:rPr>
                <w:b/>
                <w:color w:val="auto"/>
                <w:sz w:val="24"/>
                <w:highlight w:val="none"/>
              </w:rPr>
              <w:t>表</w:t>
            </w:r>
            <w:r>
              <w:rPr>
                <w:rFonts w:hint="eastAsia"/>
                <w:b/>
                <w:color w:val="auto"/>
                <w:sz w:val="24"/>
                <w:highlight w:val="none"/>
                <w:lang w:val="en-US" w:eastAsia="zh-CN"/>
              </w:rPr>
              <w:t>3-10</w:t>
            </w:r>
            <w:r>
              <w:rPr>
                <w:rFonts w:hint="eastAsia"/>
                <w:b/>
                <w:color w:val="auto"/>
                <w:sz w:val="24"/>
                <w:highlight w:val="none"/>
              </w:rPr>
              <w:t xml:space="preserve">                </w:t>
            </w:r>
            <w:r>
              <w:rPr>
                <w:b/>
                <w:color w:val="auto"/>
                <w:sz w:val="24"/>
                <w:highlight w:val="none"/>
              </w:rPr>
              <w:t xml:space="preserve">  主要环境保护目标</w:t>
            </w:r>
          </w:p>
          <w:tbl>
            <w:tblPr>
              <w:tblStyle w:val="29"/>
              <w:tblW w:w="4998" w:type="pct"/>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8"/>
              <w:gridCol w:w="783"/>
              <w:gridCol w:w="654"/>
              <w:gridCol w:w="816"/>
              <w:gridCol w:w="911"/>
              <w:gridCol w:w="798"/>
              <w:gridCol w:w="961"/>
              <w:gridCol w:w="231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490" w:type="pct"/>
                  <w:vMerge w:val="restart"/>
                  <w:tcBorders>
                    <w:top w:val="single" w:color="auto" w:sz="4" w:space="0"/>
                    <w:left w:val="single" w:color="auto" w:sz="0"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环境要素</w:t>
                  </w:r>
                </w:p>
              </w:tc>
              <w:tc>
                <w:tcPr>
                  <w:tcW w:w="487" w:type="pct"/>
                  <w:vMerge w:val="restart"/>
                  <w:tcBorders>
                    <w:top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保护目标</w:t>
                  </w:r>
                </w:p>
              </w:tc>
              <w:tc>
                <w:tcPr>
                  <w:tcW w:w="915" w:type="pct"/>
                  <w:gridSpan w:val="2"/>
                  <w:tcBorders>
                    <w:top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坐标/m</w:t>
                  </w:r>
                </w:p>
              </w:tc>
              <w:tc>
                <w:tcPr>
                  <w:tcW w:w="567" w:type="pct"/>
                  <w:vMerge w:val="restart"/>
                  <w:tcBorders>
                    <w:top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保护内容</w:t>
                  </w:r>
                </w:p>
              </w:tc>
              <w:tc>
                <w:tcPr>
                  <w:tcW w:w="497" w:type="pct"/>
                  <w:vMerge w:val="restart"/>
                  <w:tcBorders>
                    <w:top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相对厂区方位</w:t>
                  </w:r>
                </w:p>
              </w:tc>
              <w:tc>
                <w:tcPr>
                  <w:tcW w:w="598" w:type="pct"/>
                  <w:vMerge w:val="restart"/>
                  <w:tcBorders>
                    <w:top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项目最近距离（m）</w:t>
                  </w:r>
                </w:p>
              </w:tc>
              <w:tc>
                <w:tcPr>
                  <w:tcW w:w="1441" w:type="pct"/>
                  <w:vMerge w:val="restart"/>
                  <w:tcBorders>
                    <w:top w:val="single" w:color="auto" w:sz="4" w:space="0"/>
                    <w:right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保护要求</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0" w:type="pct"/>
                  <w:vMerge w:val="continue"/>
                  <w:tcBorders>
                    <w:left w:val="single" w:color="auto" w:sz="4" w:space="0"/>
                  </w:tcBorders>
                  <w:vAlign w:val="center"/>
                </w:tcPr>
                <w:p>
                  <w:pPr>
                    <w:pStyle w:val="35"/>
                    <w:spacing w:line="240" w:lineRule="auto"/>
                    <w:jc w:val="center"/>
                    <w:rPr>
                      <w:rFonts w:hint="default" w:ascii="Times New Roman" w:hAnsi="Times New Roman" w:eastAsia="宋体" w:cs="Times New Roman"/>
                      <w:spacing w:val="0"/>
                      <w:sz w:val="21"/>
                      <w:szCs w:val="21"/>
                      <w:highlight w:val="none"/>
                    </w:rPr>
                  </w:pPr>
                </w:p>
              </w:tc>
              <w:tc>
                <w:tcPr>
                  <w:tcW w:w="487" w:type="pct"/>
                  <w:vMerge w:val="continue"/>
                  <w:vAlign w:val="center"/>
                </w:tcPr>
                <w:p>
                  <w:pPr>
                    <w:pStyle w:val="35"/>
                    <w:spacing w:line="240" w:lineRule="auto"/>
                    <w:jc w:val="center"/>
                    <w:rPr>
                      <w:rFonts w:hint="default" w:ascii="Times New Roman" w:hAnsi="Times New Roman" w:eastAsia="宋体" w:cs="Times New Roman"/>
                      <w:spacing w:val="0"/>
                      <w:sz w:val="21"/>
                      <w:szCs w:val="21"/>
                      <w:highlight w:val="none"/>
                    </w:rPr>
                  </w:pPr>
                </w:p>
              </w:tc>
              <w:tc>
                <w:tcPr>
                  <w:tcW w:w="407" w:type="pct"/>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X</w:t>
                  </w:r>
                </w:p>
              </w:tc>
              <w:tc>
                <w:tcPr>
                  <w:tcW w:w="508" w:type="pct"/>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Y</w:t>
                  </w:r>
                </w:p>
              </w:tc>
              <w:tc>
                <w:tcPr>
                  <w:tcW w:w="567" w:type="pct"/>
                  <w:vMerge w:val="continue"/>
                  <w:vAlign w:val="center"/>
                </w:tcPr>
                <w:p>
                  <w:pPr>
                    <w:pStyle w:val="35"/>
                    <w:spacing w:line="240" w:lineRule="auto"/>
                    <w:jc w:val="center"/>
                    <w:rPr>
                      <w:rFonts w:hint="default" w:ascii="Times New Roman" w:hAnsi="Times New Roman" w:eastAsia="宋体" w:cs="Times New Roman"/>
                      <w:spacing w:val="0"/>
                      <w:sz w:val="21"/>
                      <w:szCs w:val="21"/>
                      <w:highlight w:val="none"/>
                      <w:vertAlign w:val="baseline"/>
                      <w:lang w:val="en-US" w:eastAsia="zh-CN"/>
                    </w:rPr>
                  </w:pPr>
                </w:p>
              </w:tc>
              <w:tc>
                <w:tcPr>
                  <w:tcW w:w="497" w:type="pct"/>
                  <w:vMerge w:val="continue"/>
                  <w:vAlign w:val="center"/>
                </w:tcPr>
                <w:p>
                  <w:pPr>
                    <w:pStyle w:val="35"/>
                    <w:spacing w:line="240" w:lineRule="auto"/>
                    <w:jc w:val="center"/>
                    <w:rPr>
                      <w:rFonts w:hint="default" w:ascii="Times New Roman" w:hAnsi="Times New Roman" w:eastAsia="宋体" w:cs="Times New Roman"/>
                      <w:spacing w:val="0"/>
                      <w:sz w:val="21"/>
                      <w:szCs w:val="21"/>
                      <w:highlight w:val="none"/>
                      <w:vertAlign w:val="baseline"/>
                      <w:lang w:val="en-US" w:eastAsia="zh-CN"/>
                    </w:rPr>
                  </w:pPr>
                </w:p>
              </w:tc>
              <w:tc>
                <w:tcPr>
                  <w:tcW w:w="598" w:type="pct"/>
                  <w:vMerge w:val="continue"/>
                  <w:vAlign w:val="center"/>
                </w:tcPr>
                <w:p>
                  <w:pPr>
                    <w:pStyle w:val="35"/>
                    <w:spacing w:line="240" w:lineRule="auto"/>
                    <w:jc w:val="center"/>
                    <w:rPr>
                      <w:rFonts w:hint="default" w:ascii="Times New Roman" w:hAnsi="Times New Roman" w:eastAsia="宋体" w:cs="Times New Roman"/>
                      <w:spacing w:val="0"/>
                      <w:sz w:val="21"/>
                      <w:szCs w:val="21"/>
                      <w:highlight w:val="none"/>
                      <w:vertAlign w:val="baseline"/>
                      <w:lang w:val="en-US" w:eastAsia="zh-CN"/>
                    </w:rPr>
                  </w:pPr>
                </w:p>
              </w:tc>
              <w:tc>
                <w:tcPr>
                  <w:tcW w:w="1441" w:type="pct"/>
                  <w:vMerge w:val="continue"/>
                  <w:tcBorders>
                    <w:right w:val="single" w:color="auto" w:sz="4" w:space="0"/>
                  </w:tcBorders>
                  <w:vAlign w:val="center"/>
                </w:tcPr>
                <w:p>
                  <w:pPr>
                    <w:pStyle w:val="35"/>
                    <w:spacing w:line="240" w:lineRule="auto"/>
                    <w:jc w:val="center"/>
                    <w:rPr>
                      <w:rFonts w:hint="default" w:ascii="Times New Roman" w:hAnsi="Times New Roman" w:eastAsia="宋体" w:cs="Times New Roman"/>
                      <w:spacing w:val="0"/>
                      <w:sz w:val="21"/>
                      <w:szCs w:val="21"/>
                      <w:highlight w:val="none"/>
                      <w:vertAlign w:val="baseline"/>
                      <w:lang w:val="en-US"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0" w:type="pct"/>
                  <w:tcBorders>
                    <w:left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大气环境</w:t>
                  </w:r>
                </w:p>
              </w:tc>
              <w:tc>
                <w:tcPr>
                  <w:tcW w:w="487" w:type="pct"/>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cs="Times New Roman"/>
                      <w:spacing w:val="0"/>
                      <w:sz w:val="21"/>
                      <w:szCs w:val="21"/>
                      <w:highlight w:val="none"/>
                      <w:lang w:val="en-US" w:eastAsia="zh-CN"/>
                    </w:rPr>
                    <w:t>康家村</w:t>
                  </w:r>
                </w:p>
              </w:tc>
              <w:tc>
                <w:tcPr>
                  <w:tcW w:w="407" w:type="pct"/>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-370</w:t>
                  </w:r>
                </w:p>
              </w:tc>
              <w:tc>
                <w:tcPr>
                  <w:tcW w:w="508" w:type="pct"/>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250</w:t>
                  </w:r>
                </w:p>
              </w:tc>
              <w:tc>
                <w:tcPr>
                  <w:tcW w:w="567" w:type="pct"/>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color w:val="000000"/>
                      <w:spacing w:val="0"/>
                      <w:sz w:val="21"/>
                      <w:szCs w:val="21"/>
                      <w:highlight w:val="none"/>
                    </w:rPr>
                    <w:t>居民区</w:t>
                  </w:r>
                  <w:r>
                    <w:rPr>
                      <w:rFonts w:hint="default" w:ascii="Times New Roman" w:hAnsi="Times New Roman" w:eastAsia="宋体" w:cs="Times New Roman"/>
                      <w:color w:val="000000"/>
                      <w:spacing w:val="0"/>
                      <w:sz w:val="21"/>
                      <w:szCs w:val="21"/>
                      <w:highlight w:val="none"/>
                      <w:lang w:eastAsia="zh-CN"/>
                    </w:rPr>
                    <w:t>；</w:t>
                  </w:r>
                  <w:r>
                    <w:rPr>
                      <w:rFonts w:hint="default" w:ascii="Times New Roman" w:hAnsi="Times New Roman" w:eastAsia="宋体" w:cs="Times New Roman"/>
                      <w:color w:val="000000"/>
                      <w:spacing w:val="0"/>
                      <w:sz w:val="21"/>
                      <w:szCs w:val="21"/>
                      <w:highlight w:val="none"/>
                      <w:lang w:val="en-US" w:eastAsia="zh-CN"/>
                    </w:rPr>
                    <w:t>42</w:t>
                  </w:r>
                  <w:r>
                    <w:rPr>
                      <w:rFonts w:hint="default" w:ascii="Times New Roman" w:hAnsi="Times New Roman" w:eastAsia="宋体" w:cs="Times New Roman"/>
                      <w:color w:val="000000"/>
                      <w:spacing w:val="0"/>
                      <w:sz w:val="21"/>
                      <w:szCs w:val="21"/>
                      <w:highlight w:val="none"/>
                    </w:rPr>
                    <w:t>户</w:t>
                  </w:r>
                </w:p>
              </w:tc>
              <w:tc>
                <w:tcPr>
                  <w:tcW w:w="1095" w:type="pct"/>
                  <w:gridSpan w:val="2"/>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距加工区西侧厂界426m</w:t>
                  </w:r>
                </w:p>
              </w:tc>
              <w:tc>
                <w:tcPr>
                  <w:tcW w:w="1441" w:type="pct"/>
                  <w:tcBorders>
                    <w:right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color w:val="000000"/>
                      <w:spacing w:val="0"/>
                      <w:sz w:val="21"/>
                      <w:szCs w:val="21"/>
                      <w:highlight w:val="none"/>
                      <w:lang w:val="zh-CN"/>
                    </w:rPr>
                    <w:t>《环境空气质量标准》(GB3095-2012)</w:t>
                  </w:r>
                  <w:r>
                    <w:rPr>
                      <w:rFonts w:hint="default" w:ascii="Times New Roman" w:hAnsi="Times New Roman" w:eastAsia="宋体" w:cs="Times New Roman"/>
                      <w:color w:val="000000"/>
                      <w:spacing w:val="0"/>
                      <w:sz w:val="21"/>
                      <w:szCs w:val="21"/>
                      <w:highlight w:val="none"/>
                      <w:lang w:val="en-US" w:eastAsia="zh-CN"/>
                    </w:rPr>
                    <w:t>二级标准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90" w:type="pct"/>
                  <w:tcBorders>
                    <w:left w:val="single" w:color="auto" w:sz="4" w:space="0"/>
                    <w:bottom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生态环境</w:t>
                  </w:r>
                </w:p>
              </w:tc>
              <w:tc>
                <w:tcPr>
                  <w:tcW w:w="487" w:type="pct"/>
                  <w:tcBorders>
                    <w:bottom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区域生态环境</w:t>
                  </w:r>
                </w:p>
              </w:tc>
              <w:tc>
                <w:tcPr>
                  <w:tcW w:w="407" w:type="pct"/>
                  <w:tcBorders>
                    <w:bottom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w:t>
                  </w:r>
                </w:p>
              </w:tc>
              <w:tc>
                <w:tcPr>
                  <w:tcW w:w="508" w:type="pct"/>
                  <w:tcBorders>
                    <w:bottom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w:t>
                  </w:r>
                </w:p>
              </w:tc>
              <w:tc>
                <w:tcPr>
                  <w:tcW w:w="567" w:type="pct"/>
                  <w:tcBorders>
                    <w:bottom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动植物及生态系统</w:t>
                  </w:r>
                </w:p>
              </w:tc>
              <w:tc>
                <w:tcPr>
                  <w:tcW w:w="1095" w:type="pct"/>
                  <w:gridSpan w:val="2"/>
                  <w:tcBorders>
                    <w:bottom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spacing w:val="0"/>
                      <w:sz w:val="21"/>
                      <w:szCs w:val="21"/>
                      <w:highlight w:val="none"/>
                      <w:vertAlign w:val="baseline"/>
                      <w:lang w:val="en-US" w:eastAsia="zh-CN"/>
                    </w:rPr>
                    <w:t>矿区周边500m评价范围内</w:t>
                  </w:r>
                </w:p>
              </w:tc>
              <w:tc>
                <w:tcPr>
                  <w:tcW w:w="1441" w:type="pct"/>
                  <w:tcBorders>
                    <w:bottom w:val="single" w:color="auto" w:sz="4" w:space="0"/>
                    <w:right w:val="single" w:color="auto" w:sz="4" w:space="0"/>
                  </w:tcBorders>
                  <w:vAlign w:val="center"/>
                </w:tcPr>
                <w:p>
                  <w:pPr>
                    <w:pStyle w:val="35"/>
                    <w:spacing w:line="240" w:lineRule="auto"/>
                    <w:ind w:left="0" w:leftChars="0" w:firstLine="0" w:firstLineChars="0"/>
                    <w:jc w:val="center"/>
                    <w:rPr>
                      <w:rFonts w:hint="default" w:ascii="Times New Roman" w:hAnsi="Times New Roman" w:eastAsia="宋体" w:cs="Times New Roman"/>
                      <w:spacing w:val="0"/>
                      <w:sz w:val="21"/>
                      <w:szCs w:val="21"/>
                      <w:highlight w:val="none"/>
                      <w:vertAlign w:val="baseline"/>
                      <w:lang w:val="en-US" w:eastAsia="zh-CN"/>
                    </w:rPr>
                  </w:pPr>
                  <w:r>
                    <w:rPr>
                      <w:rFonts w:hint="default" w:ascii="Times New Roman" w:hAnsi="Times New Roman" w:eastAsia="宋体" w:cs="Times New Roman"/>
                      <w:color w:val="000000"/>
                      <w:spacing w:val="0"/>
                      <w:sz w:val="21"/>
                      <w:szCs w:val="21"/>
                      <w:highlight w:val="none"/>
                      <w:lang w:val="en-US" w:eastAsia="zh-CN"/>
                    </w:rPr>
                    <w:t>项目运营期强化管理及工程措施，尽可能降低对区域生态的影响</w:t>
                  </w:r>
                </w:p>
              </w:tc>
            </w:tr>
          </w:tbl>
          <w:p>
            <w:pPr>
              <w:adjustRightInd w:val="0"/>
              <w:snapToGrid w:val="0"/>
              <w:rPr>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650" w:type="dxa"/>
            <w:noWrap w:val="0"/>
            <w:vAlign w:val="center"/>
          </w:tcPr>
          <w:p>
            <w:pPr>
              <w:adjustRightInd w:val="0"/>
              <w:snapToGrid w:val="0"/>
              <w:jc w:val="center"/>
              <w:rPr>
                <w:kern w:val="0"/>
                <w:sz w:val="24"/>
              </w:rPr>
            </w:pPr>
            <w:r>
              <w:rPr>
                <w:kern w:val="0"/>
                <w:sz w:val="24"/>
              </w:rPr>
              <w:t>评价</w:t>
            </w:r>
          </w:p>
          <w:p>
            <w:pPr>
              <w:adjustRightInd w:val="0"/>
              <w:snapToGrid w:val="0"/>
              <w:jc w:val="center"/>
              <w:rPr>
                <w:kern w:val="0"/>
                <w:szCs w:val="21"/>
                <w:highlight w:val="yellow"/>
              </w:rPr>
            </w:pPr>
            <w:r>
              <w:rPr>
                <w:kern w:val="0"/>
                <w:sz w:val="24"/>
              </w:rPr>
              <w:t>标准</w:t>
            </w:r>
          </w:p>
        </w:tc>
        <w:tc>
          <w:tcPr>
            <w:tcW w:w="8243" w:type="dxa"/>
            <w:noWrap w:val="0"/>
            <w:vAlign w:val="center"/>
          </w:tcPr>
          <w:p>
            <w:pPr>
              <w:adjustRightInd w:val="0"/>
              <w:snapToGrid w:val="0"/>
              <w:spacing w:line="360" w:lineRule="auto"/>
              <w:ind w:firstLine="482" w:firstLineChars="200"/>
              <w:rPr>
                <w:b/>
                <w:sz w:val="24"/>
              </w:rPr>
            </w:pPr>
            <w:r>
              <w:rPr>
                <w:b/>
                <w:sz w:val="24"/>
              </w:rPr>
              <w:t>1.</w:t>
            </w:r>
            <w:r>
              <w:rPr>
                <w:rFonts w:ascii="宋体" w:hAnsi="宋体"/>
                <w:b/>
                <w:sz w:val="24"/>
              </w:rPr>
              <w:t>环境质量标准</w:t>
            </w:r>
          </w:p>
          <w:p>
            <w:pPr>
              <w:adjustRightInd w:val="0"/>
              <w:snapToGrid w:val="0"/>
              <w:spacing w:line="360" w:lineRule="auto"/>
              <w:ind w:firstLine="480" w:firstLineChars="200"/>
              <w:rPr>
                <w:sz w:val="24"/>
              </w:rPr>
            </w:pPr>
            <w:r>
              <w:rPr>
                <w:rFonts w:hint="eastAsia" w:ascii="宋体" w:hAnsi="宋体"/>
                <w:sz w:val="24"/>
              </w:rPr>
              <w:t>⑴</w:t>
            </w:r>
            <w:r>
              <w:rPr>
                <w:rFonts w:ascii="宋体" w:hAnsi="宋体"/>
                <w:sz w:val="24"/>
              </w:rPr>
              <w:t>环境空气</w:t>
            </w:r>
          </w:p>
          <w:p>
            <w:pPr>
              <w:adjustRightInd w:val="0"/>
              <w:snapToGrid w:val="0"/>
              <w:spacing w:line="360" w:lineRule="auto"/>
              <w:ind w:firstLine="480" w:firstLineChars="200"/>
              <w:rPr>
                <w:sz w:val="24"/>
              </w:rPr>
            </w:pPr>
            <w:r>
              <w:rPr>
                <w:rFonts w:ascii="宋体" w:hAnsi="宋体"/>
                <w:sz w:val="24"/>
              </w:rPr>
              <w:t>本项目所在区域环境空气质量执行《环境空气质量标准》（</w:t>
            </w:r>
            <w:r>
              <w:rPr>
                <w:sz w:val="24"/>
              </w:rPr>
              <w:t>GB3095-2012</w:t>
            </w:r>
            <w:r>
              <w:rPr>
                <w:rFonts w:ascii="宋体" w:hAnsi="宋体"/>
                <w:sz w:val="24"/>
              </w:rPr>
              <w:t>）中二级标准要求，具体标准限值见表</w:t>
            </w:r>
            <w:r>
              <w:rPr>
                <w:rFonts w:hint="eastAsia"/>
                <w:sz w:val="24"/>
                <w:lang w:val="en-US" w:eastAsia="zh-CN"/>
              </w:rPr>
              <w:t>3-11</w:t>
            </w:r>
            <w:r>
              <w:rPr>
                <w:rFonts w:ascii="宋体" w:hAnsi="宋体"/>
                <w:sz w:val="24"/>
              </w:rPr>
              <w:t>。</w:t>
            </w:r>
          </w:p>
          <w:p>
            <w:pPr>
              <w:adjustRightInd w:val="0"/>
              <w:snapToGrid w:val="0"/>
              <w:spacing w:line="360" w:lineRule="auto"/>
              <w:jc w:val="center"/>
              <w:rPr>
                <w:b/>
                <w:sz w:val="24"/>
              </w:rPr>
            </w:pPr>
            <w:r>
              <w:rPr>
                <w:rFonts w:ascii="宋体" w:hAnsi="宋体"/>
                <w:b/>
                <w:sz w:val="24"/>
              </w:rPr>
              <w:t>表</w:t>
            </w:r>
            <w:r>
              <w:rPr>
                <w:rFonts w:hint="eastAsia"/>
                <w:b/>
                <w:sz w:val="24"/>
                <w:lang w:val="en-US" w:eastAsia="zh-CN"/>
              </w:rPr>
              <w:t>3-11</w:t>
            </w:r>
            <w:r>
              <w:rPr>
                <w:b/>
                <w:sz w:val="24"/>
              </w:rPr>
              <w:t xml:space="preserve">   </w:t>
            </w:r>
            <w:r>
              <w:rPr>
                <w:rFonts w:ascii="宋体" w:hAnsi="宋体"/>
                <w:b/>
                <w:sz w:val="24"/>
              </w:rPr>
              <w:t>《环境空气质量标准》（</w:t>
            </w:r>
            <w:r>
              <w:rPr>
                <w:b/>
                <w:sz w:val="24"/>
              </w:rPr>
              <w:t>GB3095-2012</w:t>
            </w:r>
            <w:r>
              <w:rPr>
                <w:rFonts w:ascii="宋体" w:hAnsi="宋体"/>
                <w:b/>
                <w:sz w:val="24"/>
              </w:rPr>
              <w:t>）（摘录）</w:t>
            </w:r>
          </w:p>
          <w:tbl>
            <w:tblPr>
              <w:tblStyle w:val="28"/>
              <w:tblW w:w="8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392"/>
              <w:gridCol w:w="3525"/>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noWrap w:val="0"/>
                  <w:vAlign w:val="center"/>
                </w:tcPr>
                <w:p>
                  <w:pPr>
                    <w:widowControl/>
                    <w:adjustRightInd w:val="0"/>
                    <w:snapToGrid w:val="0"/>
                    <w:jc w:val="center"/>
                    <w:rPr>
                      <w:szCs w:val="21"/>
                    </w:rPr>
                  </w:pPr>
                  <w:r>
                    <w:rPr>
                      <w:szCs w:val="21"/>
                    </w:rPr>
                    <w:t>序号</w:t>
                  </w:r>
                </w:p>
              </w:tc>
              <w:tc>
                <w:tcPr>
                  <w:tcW w:w="1392" w:type="dxa"/>
                  <w:noWrap w:val="0"/>
                  <w:vAlign w:val="center"/>
                </w:tcPr>
                <w:p>
                  <w:pPr>
                    <w:widowControl/>
                    <w:adjustRightInd w:val="0"/>
                    <w:snapToGrid w:val="0"/>
                    <w:jc w:val="center"/>
                    <w:rPr>
                      <w:szCs w:val="21"/>
                    </w:rPr>
                  </w:pPr>
                  <w:r>
                    <w:rPr>
                      <w:szCs w:val="21"/>
                    </w:rPr>
                    <w:t>污染物项目</w:t>
                  </w:r>
                </w:p>
              </w:tc>
              <w:tc>
                <w:tcPr>
                  <w:tcW w:w="3525" w:type="dxa"/>
                  <w:noWrap w:val="0"/>
                  <w:vAlign w:val="center"/>
                </w:tcPr>
                <w:p>
                  <w:pPr>
                    <w:widowControl/>
                    <w:adjustRightInd w:val="0"/>
                    <w:snapToGrid w:val="0"/>
                    <w:jc w:val="center"/>
                    <w:rPr>
                      <w:szCs w:val="21"/>
                    </w:rPr>
                  </w:pPr>
                  <w:r>
                    <w:rPr>
                      <w:szCs w:val="21"/>
                    </w:rPr>
                    <w:t>平均时间</w:t>
                  </w:r>
                </w:p>
              </w:tc>
              <w:tc>
                <w:tcPr>
                  <w:tcW w:w="2273" w:type="dxa"/>
                  <w:noWrap w:val="0"/>
                  <w:vAlign w:val="center"/>
                </w:tcPr>
                <w:p>
                  <w:pPr>
                    <w:widowControl/>
                    <w:adjustRightInd w:val="0"/>
                    <w:snapToGrid w:val="0"/>
                    <w:jc w:val="center"/>
                    <w:rPr>
                      <w:szCs w:val="21"/>
                    </w:rPr>
                  </w:pPr>
                  <w:r>
                    <w:rPr>
                      <w:szCs w:val="21"/>
                    </w:rPr>
                    <w:t>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restart"/>
                  <w:noWrap w:val="0"/>
                  <w:vAlign w:val="center"/>
                </w:tcPr>
                <w:p>
                  <w:pPr>
                    <w:widowControl/>
                    <w:adjustRightInd w:val="0"/>
                    <w:snapToGrid w:val="0"/>
                    <w:jc w:val="center"/>
                    <w:rPr>
                      <w:szCs w:val="21"/>
                    </w:rPr>
                  </w:pPr>
                  <w:r>
                    <w:rPr>
                      <w:szCs w:val="21"/>
                    </w:rPr>
                    <w:t>1</w:t>
                  </w:r>
                </w:p>
              </w:tc>
              <w:tc>
                <w:tcPr>
                  <w:tcW w:w="1392" w:type="dxa"/>
                  <w:vMerge w:val="restart"/>
                  <w:noWrap w:val="0"/>
                  <w:vAlign w:val="center"/>
                </w:tcPr>
                <w:p>
                  <w:pPr>
                    <w:widowControl/>
                    <w:adjustRightInd w:val="0"/>
                    <w:snapToGrid w:val="0"/>
                    <w:jc w:val="center"/>
                    <w:rPr>
                      <w:szCs w:val="21"/>
                    </w:rPr>
                  </w:pPr>
                  <w:r>
                    <w:rPr>
                      <w:szCs w:val="21"/>
                    </w:rPr>
                    <w:t>SO</w:t>
                  </w:r>
                  <w:r>
                    <w:rPr>
                      <w:szCs w:val="21"/>
                      <w:vertAlign w:val="subscript"/>
                    </w:rPr>
                    <w:t>2</w:t>
                  </w:r>
                </w:p>
              </w:tc>
              <w:tc>
                <w:tcPr>
                  <w:tcW w:w="3525" w:type="dxa"/>
                  <w:noWrap w:val="0"/>
                  <w:vAlign w:val="center"/>
                </w:tcPr>
                <w:p>
                  <w:pPr>
                    <w:widowControl/>
                    <w:adjustRightInd w:val="0"/>
                    <w:snapToGrid w:val="0"/>
                    <w:jc w:val="center"/>
                    <w:rPr>
                      <w:szCs w:val="21"/>
                    </w:rPr>
                  </w:pPr>
                  <w:r>
                    <w:rPr>
                      <w:szCs w:val="21"/>
                    </w:rPr>
                    <w:t>年平均</w:t>
                  </w:r>
                </w:p>
              </w:tc>
              <w:tc>
                <w:tcPr>
                  <w:tcW w:w="2273" w:type="dxa"/>
                  <w:noWrap w:val="0"/>
                  <w:vAlign w:val="center"/>
                </w:tcPr>
                <w:p>
                  <w:pPr>
                    <w:widowControl/>
                    <w:adjustRightInd w:val="0"/>
                    <w:snapToGrid w:val="0"/>
                    <w:jc w:val="center"/>
                    <w:rPr>
                      <w:szCs w:val="21"/>
                    </w:rPr>
                  </w:pPr>
                  <w:r>
                    <w:rPr>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continue"/>
                  <w:noWrap w:val="0"/>
                  <w:vAlign w:val="center"/>
                </w:tcPr>
                <w:p>
                  <w:pPr>
                    <w:widowControl/>
                    <w:adjustRightInd w:val="0"/>
                    <w:snapToGrid w:val="0"/>
                    <w:jc w:val="center"/>
                    <w:rPr>
                      <w:szCs w:val="21"/>
                    </w:rPr>
                  </w:pPr>
                </w:p>
              </w:tc>
              <w:tc>
                <w:tcPr>
                  <w:tcW w:w="1392" w:type="dxa"/>
                  <w:vMerge w:val="continue"/>
                  <w:noWrap w:val="0"/>
                  <w:vAlign w:val="center"/>
                </w:tcPr>
                <w:p>
                  <w:pPr>
                    <w:widowControl/>
                    <w:adjustRightInd w:val="0"/>
                    <w:snapToGrid w:val="0"/>
                    <w:jc w:val="center"/>
                    <w:rPr>
                      <w:szCs w:val="21"/>
                    </w:rPr>
                  </w:pPr>
                </w:p>
              </w:tc>
              <w:tc>
                <w:tcPr>
                  <w:tcW w:w="3525" w:type="dxa"/>
                  <w:noWrap w:val="0"/>
                  <w:vAlign w:val="center"/>
                </w:tcPr>
                <w:p>
                  <w:pPr>
                    <w:widowControl/>
                    <w:adjustRightInd w:val="0"/>
                    <w:snapToGrid w:val="0"/>
                    <w:jc w:val="center"/>
                    <w:rPr>
                      <w:szCs w:val="21"/>
                    </w:rPr>
                  </w:pPr>
                  <w:r>
                    <w:rPr>
                      <w:szCs w:val="21"/>
                    </w:rPr>
                    <w:t>24小时平均</w:t>
                  </w:r>
                </w:p>
              </w:tc>
              <w:tc>
                <w:tcPr>
                  <w:tcW w:w="2273" w:type="dxa"/>
                  <w:noWrap w:val="0"/>
                  <w:vAlign w:val="center"/>
                </w:tcPr>
                <w:p>
                  <w:pPr>
                    <w:widowControl/>
                    <w:adjustRightInd w:val="0"/>
                    <w:snapToGrid w:val="0"/>
                    <w:jc w:val="center"/>
                    <w:rPr>
                      <w:szCs w:val="21"/>
                    </w:rPr>
                  </w:pPr>
                  <w:r>
                    <w:rPr>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continue"/>
                  <w:noWrap w:val="0"/>
                  <w:vAlign w:val="center"/>
                </w:tcPr>
                <w:p>
                  <w:pPr>
                    <w:widowControl/>
                    <w:adjustRightInd w:val="0"/>
                    <w:snapToGrid w:val="0"/>
                    <w:jc w:val="center"/>
                    <w:rPr>
                      <w:szCs w:val="21"/>
                    </w:rPr>
                  </w:pPr>
                </w:p>
              </w:tc>
              <w:tc>
                <w:tcPr>
                  <w:tcW w:w="1392" w:type="dxa"/>
                  <w:vMerge w:val="continue"/>
                  <w:noWrap w:val="0"/>
                  <w:vAlign w:val="center"/>
                </w:tcPr>
                <w:p>
                  <w:pPr>
                    <w:widowControl/>
                    <w:adjustRightInd w:val="0"/>
                    <w:snapToGrid w:val="0"/>
                    <w:jc w:val="center"/>
                    <w:rPr>
                      <w:szCs w:val="21"/>
                    </w:rPr>
                  </w:pPr>
                </w:p>
              </w:tc>
              <w:tc>
                <w:tcPr>
                  <w:tcW w:w="3525" w:type="dxa"/>
                  <w:noWrap w:val="0"/>
                  <w:vAlign w:val="center"/>
                </w:tcPr>
                <w:p>
                  <w:pPr>
                    <w:widowControl/>
                    <w:adjustRightInd w:val="0"/>
                    <w:snapToGrid w:val="0"/>
                    <w:jc w:val="center"/>
                    <w:rPr>
                      <w:szCs w:val="21"/>
                    </w:rPr>
                  </w:pPr>
                  <w:r>
                    <w:rPr>
                      <w:szCs w:val="21"/>
                    </w:rPr>
                    <w:t>1小时平均</w:t>
                  </w:r>
                </w:p>
              </w:tc>
              <w:tc>
                <w:tcPr>
                  <w:tcW w:w="2273" w:type="dxa"/>
                  <w:noWrap w:val="0"/>
                  <w:vAlign w:val="center"/>
                </w:tcPr>
                <w:p>
                  <w:pPr>
                    <w:widowControl/>
                    <w:adjustRightInd w:val="0"/>
                    <w:snapToGrid w:val="0"/>
                    <w:jc w:val="center"/>
                    <w:rPr>
                      <w:szCs w:val="21"/>
                    </w:rPr>
                  </w:pPr>
                  <w:r>
                    <w:rPr>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exact"/>
              </w:trPr>
              <w:tc>
                <w:tcPr>
                  <w:tcW w:w="953" w:type="dxa"/>
                  <w:vMerge w:val="restart"/>
                  <w:noWrap w:val="0"/>
                  <w:vAlign w:val="center"/>
                </w:tcPr>
                <w:p>
                  <w:pPr>
                    <w:widowControl/>
                    <w:adjustRightInd w:val="0"/>
                    <w:snapToGrid w:val="0"/>
                    <w:jc w:val="center"/>
                    <w:rPr>
                      <w:szCs w:val="21"/>
                    </w:rPr>
                  </w:pPr>
                  <w:r>
                    <w:rPr>
                      <w:szCs w:val="21"/>
                    </w:rPr>
                    <w:t>2</w:t>
                  </w:r>
                </w:p>
              </w:tc>
              <w:tc>
                <w:tcPr>
                  <w:tcW w:w="1392" w:type="dxa"/>
                  <w:vMerge w:val="restart"/>
                  <w:noWrap w:val="0"/>
                  <w:vAlign w:val="center"/>
                </w:tcPr>
                <w:p>
                  <w:pPr>
                    <w:widowControl/>
                    <w:adjustRightInd w:val="0"/>
                    <w:snapToGrid w:val="0"/>
                    <w:jc w:val="center"/>
                    <w:rPr>
                      <w:szCs w:val="21"/>
                    </w:rPr>
                  </w:pPr>
                  <w:r>
                    <w:rPr>
                      <w:szCs w:val="21"/>
                    </w:rPr>
                    <w:t>NO</w:t>
                  </w:r>
                  <w:r>
                    <w:rPr>
                      <w:szCs w:val="21"/>
                      <w:vertAlign w:val="subscript"/>
                    </w:rPr>
                    <w:t>2</w:t>
                  </w:r>
                </w:p>
              </w:tc>
              <w:tc>
                <w:tcPr>
                  <w:tcW w:w="3525" w:type="dxa"/>
                  <w:noWrap w:val="0"/>
                  <w:vAlign w:val="center"/>
                </w:tcPr>
                <w:p>
                  <w:pPr>
                    <w:widowControl/>
                    <w:adjustRightInd w:val="0"/>
                    <w:snapToGrid w:val="0"/>
                    <w:jc w:val="center"/>
                    <w:rPr>
                      <w:szCs w:val="21"/>
                    </w:rPr>
                  </w:pPr>
                  <w:r>
                    <w:rPr>
                      <w:szCs w:val="21"/>
                    </w:rPr>
                    <w:t>年平均</w:t>
                  </w:r>
                </w:p>
              </w:tc>
              <w:tc>
                <w:tcPr>
                  <w:tcW w:w="2273" w:type="dxa"/>
                  <w:noWrap w:val="0"/>
                  <w:vAlign w:val="center"/>
                </w:tcPr>
                <w:p>
                  <w:pPr>
                    <w:widowControl/>
                    <w:adjustRightInd w:val="0"/>
                    <w:snapToGrid w:val="0"/>
                    <w:jc w:val="center"/>
                    <w:rPr>
                      <w:szCs w:val="21"/>
                    </w:rPr>
                  </w:pPr>
                  <w:r>
                    <w:rPr>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continue"/>
                  <w:noWrap w:val="0"/>
                  <w:vAlign w:val="center"/>
                </w:tcPr>
                <w:p>
                  <w:pPr>
                    <w:widowControl/>
                    <w:adjustRightInd w:val="0"/>
                    <w:snapToGrid w:val="0"/>
                    <w:jc w:val="center"/>
                    <w:rPr>
                      <w:szCs w:val="21"/>
                    </w:rPr>
                  </w:pPr>
                </w:p>
              </w:tc>
              <w:tc>
                <w:tcPr>
                  <w:tcW w:w="1392" w:type="dxa"/>
                  <w:vMerge w:val="continue"/>
                  <w:noWrap w:val="0"/>
                  <w:vAlign w:val="center"/>
                </w:tcPr>
                <w:p>
                  <w:pPr>
                    <w:widowControl/>
                    <w:adjustRightInd w:val="0"/>
                    <w:snapToGrid w:val="0"/>
                    <w:jc w:val="center"/>
                    <w:rPr>
                      <w:szCs w:val="21"/>
                    </w:rPr>
                  </w:pPr>
                </w:p>
              </w:tc>
              <w:tc>
                <w:tcPr>
                  <w:tcW w:w="3525" w:type="dxa"/>
                  <w:noWrap w:val="0"/>
                  <w:vAlign w:val="center"/>
                </w:tcPr>
                <w:p>
                  <w:pPr>
                    <w:widowControl/>
                    <w:adjustRightInd w:val="0"/>
                    <w:snapToGrid w:val="0"/>
                    <w:jc w:val="center"/>
                    <w:rPr>
                      <w:szCs w:val="21"/>
                    </w:rPr>
                  </w:pPr>
                  <w:r>
                    <w:rPr>
                      <w:szCs w:val="21"/>
                    </w:rPr>
                    <w:t>24小时平均</w:t>
                  </w:r>
                </w:p>
              </w:tc>
              <w:tc>
                <w:tcPr>
                  <w:tcW w:w="2273" w:type="dxa"/>
                  <w:noWrap w:val="0"/>
                  <w:vAlign w:val="center"/>
                </w:tcPr>
                <w:p>
                  <w:pPr>
                    <w:widowControl/>
                    <w:adjustRightInd w:val="0"/>
                    <w:snapToGrid w:val="0"/>
                    <w:jc w:val="center"/>
                    <w:rPr>
                      <w:szCs w:val="21"/>
                    </w:rPr>
                  </w:pPr>
                  <w:r>
                    <w:rPr>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continue"/>
                  <w:noWrap w:val="0"/>
                  <w:vAlign w:val="center"/>
                </w:tcPr>
                <w:p>
                  <w:pPr>
                    <w:widowControl/>
                    <w:adjustRightInd w:val="0"/>
                    <w:snapToGrid w:val="0"/>
                    <w:jc w:val="center"/>
                    <w:rPr>
                      <w:szCs w:val="21"/>
                    </w:rPr>
                  </w:pPr>
                </w:p>
              </w:tc>
              <w:tc>
                <w:tcPr>
                  <w:tcW w:w="1392" w:type="dxa"/>
                  <w:vMerge w:val="continue"/>
                  <w:noWrap w:val="0"/>
                  <w:vAlign w:val="center"/>
                </w:tcPr>
                <w:p>
                  <w:pPr>
                    <w:widowControl/>
                    <w:adjustRightInd w:val="0"/>
                    <w:snapToGrid w:val="0"/>
                    <w:jc w:val="center"/>
                    <w:rPr>
                      <w:szCs w:val="21"/>
                    </w:rPr>
                  </w:pPr>
                </w:p>
              </w:tc>
              <w:tc>
                <w:tcPr>
                  <w:tcW w:w="3525" w:type="dxa"/>
                  <w:noWrap w:val="0"/>
                  <w:vAlign w:val="center"/>
                </w:tcPr>
                <w:p>
                  <w:pPr>
                    <w:widowControl/>
                    <w:adjustRightInd w:val="0"/>
                    <w:snapToGrid w:val="0"/>
                    <w:jc w:val="center"/>
                    <w:rPr>
                      <w:szCs w:val="21"/>
                    </w:rPr>
                  </w:pPr>
                  <w:r>
                    <w:rPr>
                      <w:szCs w:val="21"/>
                    </w:rPr>
                    <w:t>1小时平均</w:t>
                  </w:r>
                </w:p>
              </w:tc>
              <w:tc>
                <w:tcPr>
                  <w:tcW w:w="2273" w:type="dxa"/>
                  <w:noWrap w:val="0"/>
                  <w:vAlign w:val="center"/>
                </w:tcPr>
                <w:p>
                  <w:pPr>
                    <w:widowControl/>
                    <w:adjustRightInd w:val="0"/>
                    <w:snapToGrid w:val="0"/>
                    <w:jc w:val="center"/>
                    <w:rPr>
                      <w:szCs w:val="21"/>
                    </w:rPr>
                  </w:pPr>
                  <w:r>
                    <w:rPr>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restart"/>
                  <w:noWrap w:val="0"/>
                  <w:vAlign w:val="center"/>
                </w:tcPr>
                <w:p>
                  <w:pPr>
                    <w:widowControl/>
                    <w:adjustRightInd w:val="0"/>
                    <w:snapToGrid w:val="0"/>
                    <w:jc w:val="center"/>
                    <w:rPr>
                      <w:szCs w:val="21"/>
                    </w:rPr>
                  </w:pPr>
                  <w:r>
                    <w:rPr>
                      <w:szCs w:val="21"/>
                    </w:rPr>
                    <w:t>3</w:t>
                  </w:r>
                </w:p>
              </w:tc>
              <w:tc>
                <w:tcPr>
                  <w:tcW w:w="1392" w:type="dxa"/>
                  <w:vMerge w:val="restart"/>
                  <w:noWrap w:val="0"/>
                  <w:vAlign w:val="center"/>
                </w:tcPr>
                <w:p>
                  <w:pPr>
                    <w:widowControl/>
                    <w:adjustRightInd w:val="0"/>
                    <w:snapToGrid w:val="0"/>
                    <w:jc w:val="center"/>
                    <w:rPr>
                      <w:szCs w:val="21"/>
                    </w:rPr>
                  </w:pPr>
                  <w:r>
                    <w:rPr>
                      <w:szCs w:val="21"/>
                    </w:rPr>
                    <w:t>TSP</w:t>
                  </w:r>
                </w:p>
              </w:tc>
              <w:tc>
                <w:tcPr>
                  <w:tcW w:w="3525" w:type="dxa"/>
                  <w:noWrap w:val="0"/>
                  <w:vAlign w:val="center"/>
                </w:tcPr>
                <w:p>
                  <w:pPr>
                    <w:widowControl/>
                    <w:adjustRightInd w:val="0"/>
                    <w:snapToGrid w:val="0"/>
                    <w:jc w:val="center"/>
                    <w:rPr>
                      <w:szCs w:val="21"/>
                    </w:rPr>
                  </w:pPr>
                  <w:r>
                    <w:rPr>
                      <w:szCs w:val="21"/>
                    </w:rPr>
                    <w:t>年平均</w:t>
                  </w:r>
                </w:p>
              </w:tc>
              <w:tc>
                <w:tcPr>
                  <w:tcW w:w="2273" w:type="dxa"/>
                  <w:noWrap w:val="0"/>
                  <w:vAlign w:val="center"/>
                </w:tcPr>
                <w:p>
                  <w:pPr>
                    <w:widowControl/>
                    <w:adjustRightInd w:val="0"/>
                    <w:snapToGrid w:val="0"/>
                    <w:jc w:val="center"/>
                    <w:rPr>
                      <w:szCs w:val="21"/>
                    </w:rPr>
                  </w:pPr>
                  <w:r>
                    <w:rPr>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continue"/>
                  <w:noWrap w:val="0"/>
                  <w:vAlign w:val="center"/>
                </w:tcPr>
                <w:p>
                  <w:pPr>
                    <w:widowControl/>
                    <w:adjustRightInd w:val="0"/>
                    <w:snapToGrid w:val="0"/>
                    <w:jc w:val="center"/>
                    <w:rPr>
                      <w:szCs w:val="21"/>
                    </w:rPr>
                  </w:pPr>
                </w:p>
              </w:tc>
              <w:tc>
                <w:tcPr>
                  <w:tcW w:w="1392" w:type="dxa"/>
                  <w:vMerge w:val="continue"/>
                  <w:noWrap w:val="0"/>
                  <w:vAlign w:val="center"/>
                </w:tcPr>
                <w:p>
                  <w:pPr>
                    <w:widowControl/>
                    <w:adjustRightInd w:val="0"/>
                    <w:snapToGrid w:val="0"/>
                    <w:jc w:val="center"/>
                    <w:rPr>
                      <w:szCs w:val="21"/>
                    </w:rPr>
                  </w:pPr>
                </w:p>
              </w:tc>
              <w:tc>
                <w:tcPr>
                  <w:tcW w:w="3525" w:type="dxa"/>
                  <w:noWrap w:val="0"/>
                  <w:vAlign w:val="center"/>
                </w:tcPr>
                <w:p>
                  <w:pPr>
                    <w:widowControl/>
                    <w:adjustRightInd w:val="0"/>
                    <w:snapToGrid w:val="0"/>
                    <w:jc w:val="center"/>
                    <w:rPr>
                      <w:szCs w:val="21"/>
                    </w:rPr>
                  </w:pPr>
                  <w:r>
                    <w:rPr>
                      <w:szCs w:val="21"/>
                    </w:rPr>
                    <w:t>24小时平均</w:t>
                  </w:r>
                </w:p>
              </w:tc>
              <w:tc>
                <w:tcPr>
                  <w:tcW w:w="2273" w:type="dxa"/>
                  <w:noWrap w:val="0"/>
                  <w:vAlign w:val="center"/>
                </w:tcPr>
                <w:p>
                  <w:pPr>
                    <w:widowControl/>
                    <w:adjustRightInd w:val="0"/>
                    <w:snapToGrid w:val="0"/>
                    <w:jc w:val="center"/>
                    <w:rPr>
                      <w:szCs w:val="21"/>
                    </w:rPr>
                  </w:pPr>
                  <w:r>
                    <w:rPr>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exact"/>
              </w:trPr>
              <w:tc>
                <w:tcPr>
                  <w:tcW w:w="953" w:type="dxa"/>
                  <w:vMerge w:val="restart"/>
                  <w:noWrap w:val="0"/>
                  <w:vAlign w:val="center"/>
                </w:tcPr>
                <w:p>
                  <w:pPr>
                    <w:widowControl/>
                    <w:adjustRightInd w:val="0"/>
                    <w:snapToGrid w:val="0"/>
                    <w:jc w:val="center"/>
                    <w:rPr>
                      <w:szCs w:val="21"/>
                    </w:rPr>
                  </w:pPr>
                  <w:r>
                    <w:rPr>
                      <w:szCs w:val="21"/>
                    </w:rPr>
                    <w:t>4</w:t>
                  </w:r>
                </w:p>
              </w:tc>
              <w:tc>
                <w:tcPr>
                  <w:tcW w:w="1392" w:type="dxa"/>
                  <w:vMerge w:val="restart"/>
                  <w:noWrap w:val="0"/>
                  <w:vAlign w:val="center"/>
                </w:tcPr>
                <w:p>
                  <w:pPr>
                    <w:widowControl/>
                    <w:adjustRightInd w:val="0"/>
                    <w:snapToGrid w:val="0"/>
                    <w:jc w:val="center"/>
                    <w:rPr>
                      <w:szCs w:val="21"/>
                    </w:rPr>
                  </w:pPr>
                  <w:r>
                    <w:rPr>
                      <w:szCs w:val="21"/>
                    </w:rPr>
                    <w:t>CO</w:t>
                  </w:r>
                </w:p>
              </w:tc>
              <w:tc>
                <w:tcPr>
                  <w:tcW w:w="3525" w:type="dxa"/>
                  <w:noWrap w:val="0"/>
                  <w:vAlign w:val="center"/>
                </w:tcPr>
                <w:p>
                  <w:pPr>
                    <w:widowControl/>
                    <w:adjustRightInd w:val="0"/>
                    <w:snapToGrid w:val="0"/>
                    <w:jc w:val="center"/>
                    <w:rPr>
                      <w:szCs w:val="21"/>
                    </w:rPr>
                  </w:pPr>
                  <w:r>
                    <w:rPr>
                      <w:szCs w:val="21"/>
                    </w:rPr>
                    <w:t>24小时平均</w:t>
                  </w:r>
                </w:p>
              </w:tc>
              <w:tc>
                <w:tcPr>
                  <w:tcW w:w="2273" w:type="dxa"/>
                  <w:noWrap w:val="0"/>
                  <w:vAlign w:val="center"/>
                </w:tcPr>
                <w:p>
                  <w:pPr>
                    <w:widowControl/>
                    <w:adjustRightInd w:val="0"/>
                    <w:snapToGrid w:val="0"/>
                    <w:jc w:val="center"/>
                    <w:rPr>
                      <w:szCs w:val="21"/>
                    </w:rPr>
                  </w:pPr>
                  <w:r>
                    <w:rPr>
                      <w:szCs w:val="21"/>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continue"/>
                  <w:noWrap w:val="0"/>
                  <w:vAlign w:val="center"/>
                </w:tcPr>
                <w:p>
                  <w:pPr>
                    <w:widowControl/>
                    <w:adjustRightInd w:val="0"/>
                    <w:snapToGrid w:val="0"/>
                    <w:jc w:val="center"/>
                    <w:rPr>
                      <w:szCs w:val="21"/>
                    </w:rPr>
                  </w:pPr>
                </w:p>
              </w:tc>
              <w:tc>
                <w:tcPr>
                  <w:tcW w:w="1392" w:type="dxa"/>
                  <w:vMerge w:val="continue"/>
                  <w:noWrap w:val="0"/>
                  <w:vAlign w:val="center"/>
                </w:tcPr>
                <w:p>
                  <w:pPr>
                    <w:widowControl/>
                    <w:adjustRightInd w:val="0"/>
                    <w:snapToGrid w:val="0"/>
                    <w:jc w:val="center"/>
                    <w:rPr>
                      <w:szCs w:val="21"/>
                    </w:rPr>
                  </w:pPr>
                </w:p>
              </w:tc>
              <w:tc>
                <w:tcPr>
                  <w:tcW w:w="3525" w:type="dxa"/>
                  <w:noWrap w:val="0"/>
                  <w:vAlign w:val="center"/>
                </w:tcPr>
                <w:p>
                  <w:pPr>
                    <w:widowControl/>
                    <w:adjustRightInd w:val="0"/>
                    <w:snapToGrid w:val="0"/>
                    <w:jc w:val="center"/>
                    <w:rPr>
                      <w:szCs w:val="21"/>
                    </w:rPr>
                  </w:pPr>
                  <w:r>
                    <w:rPr>
                      <w:szCs w:val="21"/>
                    </w:rPr>
                    <w:t>1小时平均</w:t>
                  </w:r>
                </w:p>
              </w:tc>
              <w:tc>
                <w:tcPr>
                  <w:tcW w:w="2273" w:type="dxa"/>
                  <w:noWrap w:val="0"/>
                  <w:vAlign w:val="center"/>
                </w:tcPr>
                <w:p>
                  <w:pPr>
                    <w:widowControl/>
                    <w:adjustRightInd w:val="0"/>
                    <w:snapToGrid w:val="0"/>
                    <w:jc w:val="center"/>
                    <w:rPr>
                      <w:szCs w:val="21"/>
                    </w:rPr>
                  </w:pPr>
                  <w:r>
                    <w:rPr>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restart"/>
                  <w:noWrap w:val="0"/>
                  <w:vAlign w:val="center"/>
                </w:tcPr>
                <w:p>
                  <w:pPr>
                    <w:widowControl/>
                    <w:adjustRightInd w:val="0"/>
                    <w:snapToGrid w:val="0"/>
                    <w:jc w:val="center"/>
                    <w:rPr>
                      <w:szCs w:val="21"/>
                    </w:rPr>
                  </w:pPr>
                  <w:r>
                    <w:rPr>
                      <w:szCs w:val="21"/>
                    </w:rPr>
                    <w:t>5</w:t>
                  </w:r>
                </w:p>
              </w:tc>
              <w:tc>
                <w:tcPr>
                  <w:tcW w:w="1392" w:type="dxa"/>
                  <w:vMerge w:val="restart"/>
                  <w:noWrap w:val="0"/>
                  <w:vAlign w:val="center"/>
                </w:tcPr>
                <w:p>
                  <w:pPr>
                    <w:widowControl/>
                    <w:adjustRightInd w:val="0"/>
                    <w:snapToGrid w:val="0"/>
                    <w:jc w:val="center"/>
                    <w:rPr>
                      <w:szCs w:val="21"/>
                    </w:rPr>
                  </w:pPr>
                  <w:r>
                    <w:rPr>
                      <w:szCs w:val="21"/>
                    </w:rPr>
                    <w:t>O</w:t>
                  </w:r>
                  <w:r>
                    <w:rPr>
                      <w:szCs w:val="21"/>
                      <w:vertAlign w:val="subscript"/>
                    </w:rPr>
                    <w:t>3</w:t>
                  </w:r>
                </w:p>
              </w:tc>
              <w:tc>
                <w:tcPr>
                  <w:tcW w:w="3525" w:type="dxa"/>
                  <w:noWrap w:val="0"/>
                  <w:vAlign w:val="center"/>
                </w:tcPr>
                <w:p>
                  <w:pPr>
                    <w:widowControl/>
                    <w:adjustRightInd w:val="0"/>
                    <w:snapToGrid w:val="0"/>
                    <w:jc w:val="center"/>
                    <w:rPr>
                      <w:szCs w:val="21"/>
                    </w:rPr>
                  </w:pPr>
                  <w:r>
                    <w:rPr>
                      <w:szCs w:val="21"/>
                    </w:rPr>
                    <w:t>日最大8小时平均</w:t>
                  </w:r>
                </w:p>
              </w:tc>
              <w:tc>
                <w:tcPr>
                  <w:tcW w:w="2273" w:type="dxa"/>
                  <w:noWrap w:val="0"/>
                  <w:vAlign w:val="center"/>
                </w:tcPr>
                <w:p>
                  <w:pPr>
                    <w:widowControl/>
                    <w:adjustRightInd w:val="0"/>
                    <w:snapToGrid w:val="0"/>
                    <w:jc w:val="center"/>
                    <w:rPr>
                      <w:szCs w:val="21"/>
                    </w:rPr>
                  </w:pPr>
                  <w:r>
                    <w:rPr>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continue"/>
                  <w:noWrap w:val="0"/>
                  <w:vAlign w:val="center"/>
                </w:tcPr>
                <w:p>
                  <w:pPr>
                    <w:widowControl/>
                    <w:adjustRightInd w:val="0"/>
                    <w:snapToGrid w:val="0"/>
                    <w:jc w:val="center"/>
                    <w:rPr>
                      <w:szCs w:val="21"/>
                    </w:rPr>
                  </w:pPr>
                </w:p>
              </w:tc>
              <w:tc>
                <w:tcPr>
                  <w:tcW w:w="1392" w:type="dxa"/>
                  <w:vMerge w:val="continue"/>
                  <w:noWrap w:val="0"/>
                  <w:vAlign w:val="center"/>
                </w:tcPr>
                <w:p>
                  <w:pPr>
                    <w:widowControl/>
                    <w:adjustRightInd w:val="0"/>
                    <w:snapToGrid w:val="0"/>
                    <w:jc w:val="center"/>
                    <w:rPr>
                      <w:szCs w:val="21"/>
                    </w:rPr>
                  </w:pPr>
                </w:p>
              </w:tc>
              <w:tc>
                <w:tcPr>
                  <w:tcW w:w="3525" w:type="dxa"/>
                  <w:noWrap w:val="0"/>
                  <w:vAlign w:val="center"/>
                </w:tcPr>
                <w:p>
                  <w:pPr>
                    <w:widowControl/>
                    <w:adjustRightInd w:val="0"/>
                    <w:snapToGrid w:val="0"/>
                    <w:jc w:val="center"/>
                    <w:rPr>
                      <w:szCs w:val="21"/>
                    </w:rPr>
                  </w:pPr>
                  <w:r>
                    <w:rPr>
                      <w:szCs w:val="21"/>
                    </w:rPr>
                    <w:t>1小时平均</w:t>
                  </w:r>
                </w:p>
              </w:tc>
              <w:tc>
                <w:tcPr>
                  <w:tcW w:w="2273" w:type="dxa"/>
                  <w:noWrap w:val="0"/>
                  <w:vAlign w:val="center"/>
                </w:tcPr>
                <w:p>
                  <w:pPr>
                    <w:widowControl/>
                    <w:adjustRightInd w:val="0"/>
                    <w:snapToGrid w:val="0"/>
                    <w:jc w:val="center"/>
                    <w:rPr>
                      <w:szCs w:val="21"/>
                    </w:rPr>
                  </w:pPr>
                  <w:r>
                    <w:rPr>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restart"/>
                  <w:noWrap w:val="0"/>
                  <w:vAlign w:val="center"/>
                </w:tcPr>
                <w:p>
                  <w:pPr>
                    <w:widowControl/>
                    <w:adjustRightInd w:val="0"/>
                    <w:snapToGrid w:val="0"/>
                    <w:jc w:val="center"/>
                    <w:rPr>
                      <w:szCs w:val="21"/>
                    </w:rPr>
                  </w:pPr>
                  <w:r>
                    <w:rPr>
                      <w:szCs w:val="21"/>
                    </w:rPr>
                    <w:t>6</w:t>
                  </w:r>
                </w:p>
              </w:tc>
              <w:tc>
                <w:tcPr>
                  <w:tcW w:w="1392" w:type="dxa"/>
                  <w:vMerge w:val="restart"/>
                  <w:noWrap w:val="0"/>
                  <w:vAlign w:val="center"/>
                </w:tcPr>
                <w:p>
                  <w:pPr>
                    <w:widowControl/>
                    <w:adjustRightInd w:val="0"/>
                    <w:snapToGrid w:val="0"/>
                    <w:jc w:val="center"/>
                    <w:rPr>
                      <w:szCs w:val="21"/>
                    </w:rPr>
                  </w:pPr>
                  <w:r>
                    <w:rPr>
                      <w:szCs w:val="21"/>
                    </w:rPr>
                    <w:t>PM</w:t>
                  </w:r>
                  <w:r>
                    <w:rPr>
                      <w:szCs w:val="21"/>
                      <w:vertAlign w:val="subscript"/>
                    </w:rPr>
                    <w:t>2.5</w:t>
                  </w:r>
                </w:p>
              </w:tc>
              <w:tc>
                <w:tcPr>
                  <w:tcW w:w="3525" w:type="dxa"/>
                  <w:noWrap w:val="0"/>
                  <w:vAlign w:val="center"/>
                </w:tcPr>
                <w:p>
                  <w:pPr>
                    <w:widowControl/>
                    <w:adjustRightInd w:val="0"/>
                    <w:snapToGrid w:val="0"/>
                    <w:jc w:val="center"/>
                    <w:rPr>
                      <w:szCs w:val="21"/>
                    </w:rPr>
                  </w:pPr>
                  <w:r>
                    <w:rPr>
                      <w:szCs w:val="21"/>
                    </w:rPr>
                    <w:t>年平均</w:t>
                  </w:r>
                </w:p>
              </w:tc>
              <w:tc>
                <w:tcPr>
                  <w:tcW w:w="2273" w:type="dxa"/>
                  <w:noWrap w:val="0"/>
                  <w:vAlign w:val="center"/>
                </w:tcPr>
                <w:p>
                  <w:pPr>
                    <w:widowControl/>
                    <w:adjustRightInd w:val="0"/>
                    <w:snapToGrid w:val="0"/>
                    <w:jc w:val="center"/>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exact"/>
              </w:trPr>
              <w:tc>
                <w:tcPr>
                  <w:tcW w:w="953" w:type="dxa"/>
                  <w:vMerge w:val="continue"/>
                  <w:noWrap w:val="0"/>
                  <w:vAlign w:val="center"/>
                </w:tcPr>
                <w:p>
                  <w:pPr>
                    <w:widowControl/>
                    <w:adjustRightInd w:val="0"/>
                    <w:snapToGrid w:val="0"/>
                    <w:jc w:val="center"/>
                    <w:rPr>
                      <w:szCs w:val="21"/>
                    </w:rPr>
                  </w:pPr>
                </w:p>
              </w:tc>
              <w:tc>
                <w:tcPr>
                  <w:tcW w:w="1392" w:type="dxa"/>
                  <w:vMerge w:val="continue"/>
                  <w:noWrap w:val="0"/>
                  <w:vAlign w:val="center"/>
                </w:tcPr>
                <w:p>
                  <w:pPr>
                    <w:widowControl/>
                    <w:adjustRightInd w:val="0"/>
                    <w:snapToGrid w:val="0"/>
                    <w:jc w:val="center"/>
                    <w:rPr>
                      <w:szCs w:val="21"/>
                    </w:rPr>
                  </w:pPr>
                </w:p>
              </w:tc>
              <w:tc>
                <w:tcPr>
                  <w:tcW w:w="3525" w:type="dxa"/>
                  <w:noWrap w:val="0"/>
                  <w:vAlign w:val="center"/>
                </w:tcPr>
                <w:p>
                  <w:pPr>
                    <w:widowControl/>
                    <w:adjustRightInd w:val="0"/>
                    <w:snapToGrid w:val="0"/>
                    <w:jc w:val="center"/>
                    <w:rPr>
                      <w:szCs w:val="21"/>
                    </w:rPr>
                  </w:pPr>
                  <w:r>
                    <w:rPr>
                      <w:szCs w:val="21"/>
                    </w:rPr>
                    <w:t>24小时平均</w:t>
                  </w:r>
                </w:p>
              </w:tc>
              <w:tc>
                <w:tcPr>
                  <w:tcW w:w="2273" w:type="dxa"/>
                  <w:noWrap w:val="0"/>
                  <w:vAlign w:val="center"/>
                </w:tcPr>
                <w:p>
                  <w:pPr>
                    <w:widowControl/>
                    <w:adjustRightInd w:val="0"/>
                    <w:snapToGrid w:val="0"/>
                    <w:jc w:val="center"/>
                    <w:rPr>
                      <w:szCs w:val="21"/>
                    </w:rPr>
                  </w:pPr>
                  <w:r>
                    <w:rPr>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restart"/>
                  <w:noWrap w:val="0"/>
                  <w:vAlign w:val="center"/>
                </w:tcPr>
                <w:p>
                  <w:pPr>
                    <w:widowControl/>
                    <w:adjustRightInd w:val="0"/>
                    <w:snapToGrid w:val="0"/>
                    <w:jc w:val="center"/>
                    <w:rPr>
                      <w:szCs w:val="21"/>
                    </w:rPr>
                  </w:pPr>
                  <w:r>
                    <w:rPr>
                      <w:szCs w:val="21"/>
                    </w:rPr>
                    <w:t>7</w:t>
                  </w:r>
                </w:p>
              </w:tc>
              <w:tc>
                <w:tcPr>
                  <w:tcW w:w="1392" w:type="dxa"/>
                  <w:vMerge w:val="restart"/>
                  <w:noWrap w:val="0"/>
                  <w:vAlign w:val="center"/>
                </w:tcPr>
                <w:p>
                  <w:pPr>
                    <w:widowControl/>
                    <w:adjustRightInd w:val="0"/>
                    <w:snapToGrid w:val="0"/>
                    <w:jc w:val="center"/>
                    <w:rPr>
                      <w:szCs w:val="21"/>
                    </w:rPr>
                  </w:pPr>
                  <w:r>
                    <w:rPr>
                      <w:szCs w:val="21"/>
                    </w:rPr>
                    <w:t>PM</w:t>
                  </w:r>
                  <w:r>
                    <w:rPr>
                      <w:szCs w:val="21"/>
                      <w:vertAlign w:val="subscript"/>
                    </w:rPr>
                    <w:t>10</w:t>
                  </w:r>
                </w:p>
              </w:tc>
              <w:tc>
                <w:tcPr>
                  <w:tcW w:w="3525" w:type="dxa"/>
                  <w:noWrap w:val="0"/>
                  <w:vAlign w:val="center"/>
                </w:tcPr>
                <w:p>
                  <w:pPr>
                    <w:widowControl/>
                    <w:adjustRightInd w:val="0"/>
                    <w:snapToGrid w:val="0"/>
                    <w:jc w:val="center"/>
                    <w:rPr>
                      <w:szCs w:val="21"/>
                    </w:rPr>
                  </w:pPr>
                  <w:r>
                    <w:rPr>
                      <w:szCs w:val="21"/>
                    </w:rPr>
                    <w:t>年平均</w:t>
                  </w:r>
                </w:p>
              </w:tc>
              <w:tc>
                <w:tcPr>
                  <w:tcW w:w="2273" w:type="dxa"/>
                  <w:noWrap w:val="0"/>
                  <w:vAlign w:val="center"/>
                </w:tcPr>
                <w:p>
                  <w:pPr>
                    <w:widowControl/>
                    <w:adjustRightInd w:val="0"/>
                    <w:snapToGrid w:val="0"/>
                    <w:jc w:val="center"/>
                    <w:rPr>
                      <w:szCs w:val="21"/>
                    </w:rPr>
                  </w:pPr>
                  <w:r>
                    <w:rPr>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953" w:type="dxa"/>
                  <w:vMerge w:val="continue"/>
                  <w:noWrap w:val="0"/>
                  <w:vAlign w:val="center"/>
                </w:tcPr>
                <w:p>
                  <w:pPr>
                    <w:widowControl/>
                    <w:adjustRightInd w:val="0"/>
                    <w:snapToGrid w:val="0"/>
                    <w:jc w:val="center"/>
                    <w:rPr>
                      <w:szCs w:val="21"/>
                    </w:rPr>
                  </w:pPr>
                </w:p>
              </w:tc>
              <w:tc>
                <w:tcPr>
                  <w:tcW w:w="1392" w:type="dxa"/>
                  <w:vMerge w:val="continue"/>
                  <w:noWrap w:val="0"/>
                  <w:vAlign w:val="center"/>
                </w:tcPr>
                <w:p>
                  <w:pPr>
                    <w:widowControl/>
                    <w:adjustRightInd w:val="0"/>
                    <w:snapToGrid w:val="0"/>
                    <w:jc w:val="center"/>
                    <w:rPr>
                      <w:szCs w:val="21"/>
                    </w:rPr>
                  </w:pPr>
                </w:p>
              </w:tc>
              <w:tc>
                <w:tcPr>
                  <w:tcW w:w="3525" w:type="dxa"/>
                  <w:noWrap w:val="0"/>
                  <w:vAlign w:val="center"/>
                </w:tcPr>
                <w:p>
                  <w:pPr>
                    <w:widowControl/>
                    <w:adjustRightInd w:val="0"/>
                    <w:snapToGrid w:val="0"/>
                    <w:jc w:val="center"/>
                    <w:rPr>
                      <w:szCs w:val="21"/>
                    </w:rPr>
                  </w:pPr>
                  <w:r>
                    <w:rPr>
                      <w:szCs w:val="21"/>
                    </w:rPr>
                    <w:t>24小时平均</w:t>
                  </w:r>
                </w:p>
              </w:tc>
              <w:tc>
                <w:tcPr>
                  <w:tcW w:w="2273" w:type="dxa"/>
                  <w:noWrap w:val="0"/>
                  <w:vAlign w:val="center"/>
                </w:tcPr>
                <w:p>
                  <w:pPr>
                    <w:widowControl/>
                    <w:adjustRightInd w:val="0"/>
                    <w:snapToGrid w:val="0"/>
                    <w:jc w:val="center"/>
                    <w:rPr>
                      <w:szCs w:val="21"/>
                    </w:rPr>
                  </w:pPr>
                  <w:r>
                    <w:rPr>
                      <w:szCs w:val="21"/>
                    </w:rPr>
                    <w:t>150</w:t>
                  </w:r>
                </w:p>
              </w:tc>
            </w:tr>
          </w:tbl>
          <w:p>
            <w:pPr>
              <w:adjustRightInd w:val="0"/>
              <w:snapToGrid w:val="0"/>
              <w:spacing w:line="360" w:lineRule="auto"/>
              <w:ind w:firstLine="480" w:firstLineChars="200"/>
              <w:rPr>
                <w:rFonts w:ascii="宋体" w:hAnsi="宋体"/>
                <w:sz w:val="24"/>
              </w:rPr>
            </w:pPr>
            <w:r>
              <w:rPr>
                <w:rFonts w:hint="eastAsia" w:ascii="宋体" w:hAnsi="宋体"/>
                <w:sz w:val="24"/>
              </w:rPr>
              <w:t>⑵</w:t>
            </w:r>
            <w:r>
              <w:rPr>
                <w:rFonts w:ascii="宋体" w:hAnsi="宋体"/>
                <w:sz w:val="24"/>
              </w:rPr>
              <w:t>声环境</w:t>
            </w:r>
          </w:p>
          <w:p>
            <w:pPr>
              <w:adjustRightInd w:val="0"/>
              <w:snapToGrid w:val="0"/>
              <w:spacing w:line="360" w:lineRule="auto"/>
              <w:ind w:firstLine="480" w:firstLineChars="200"/>
              <w:rPr>
                <w:rFonts w:hint="eastAsia"/>
                <w:sz w:val="24"/>
              </w:rPr>
            </w:pPr>
            <w:r>
              <w:rPr>
                <w:rFonts w:ascii="宋体" w:hAnsi="宋体"/>
                <w:sz w:val="24"/>
              </w:rPr>
              <w:t>根据声环境质量功能区划，本项目声环境质量执行《声环境质量标准》（</w:t>
            </w:r>
            <w:r>
              <w:rPr>
                <w:sz w:val="24"/>
              </w:rPr>
              <w:t>GB3096-2008</w:t>
            </w:r>
            <w:r>
              <w:rPr>
                <w:rFonts w:ascii="宋体" w:hAnsi="宋体"/>
                <w:sz w:val="24"/>
              </w:rPr>
              <w:t>）中</w:t>
            </w:r>
            <w:r>
              <w:rPr>
                <w:sz w:val="24"/>
              </w:rPr>
              <w:t>2</w:t>
            </w:r>
            <w:r>
              <w:rPr>
                <w:rFonts w:ascii="宋体" w:hAnsi="宋体"/>
                <w:sz w:val="24"/>
              </w:rPr>
              <w:t>类标准要求。具体标准限值见表</w:t>
            </w:r>
            <w:r>
              <w:rPr>
                <w:rFonts w:hint="eastAsia"/>
                <w:sz w:val="24"/>
                <w:lang w:val="en-US" w:eastAsia="zh-CN"/>
              </w:rPr>
              <w:t>3-12</w:t>
            </w:r>
            <w:r>
              <w:rPr>
                <w:rFonts w:ascii="宋体" w:hAnsi="宋体"/>
                <w:sz w:val="24"/>
              </w:rPr>
              <w:t>。</w:t>
            </w:r>
          </w:p>
          <w:p>
            <w:pPr>
              <w:adjustRightInd w:val="0"/>
              <w:snapToGrid w:val="0"/>
              <w:spacing w:line="360" w:lineRule="auto"/>
              <w:ind w:firstLine="482" w:firstLineChars="200"/>
              <w:rPr>
                <w:sz w:val="24"/>
              </w:rPr>
            </w:pPr>
            <w:r>
              <w:rPr>
                <w:rFonts w:ascii="宋体" w:hAnsi="宋体"/>
                <w:b/>
                <w:sz w:val="24"/>
              </w:rPr>
              <w:t>表</w:t>
            </w:r>
            <w:r>
              <w:rPr>
                <w:rFonts w:hint="eastAsia"/>
                <w:b/>
                <w:sz w:val="24"/>
                <w:lang w:val="en-US" w:eastAsia="zh-CN"/>
              </w:rPr>
              <w:t>3-12</w:t>
            </w:r>
            <w:r>
              <w:rPr>
                <w:b/>
                <w:sz w:val="24"/>
              </w:rPr>
              <w:t xml:space="preserve"> </w:t>
            </w:r>
            <w:r>
              <w:rPr>
                <w:rFonts w:hint="eastAsia"/>
                <w:b/>
                <w:sz w:val="24"/>
              </w:rPr>
              <w:t xml:space="preserve">      </w:t>
            </w:r>
            <w:r>
              <w:rPr>
                <w:rFonts w:ascii="宋体" w:hAnsi="宋体"/>
                <w:b/>
                <w:sz w:val="24"/>
              </w:rPr>
              <w:t>《声环境质量标准》（</w:t>
            </w:r>
            <w:r>
              <w:rPr>
                <w:b/>
                <w:sz w:val="24"/>
              </w:rPr>
              <w:t>GB3096-2008</w:t>
            </w:r>
            <w:r>
              <w:rPr>
                <w:rFonts w:ascii="宋体" w:hAnsi="宋体"/>
                <w:b/>
                <w:sz w:val="24"/>
              </w:rPr>
              <w:t>）   单位：</w:t>
            </w:r>
            <w:r>
              <w:rPr>
                <w:b/>
                <w:sz w:val="24"/>
              </w:rPr>
              <w:t>dB</w:t>
            </w:r>
            <w:r>
              <w:rPr>
                <w:rFonts w:ascii="宋体" w:hAnsi="宋体"/>
                <w:b/>
                <w:sz w:val="24"/>
              </w:rPr>
              <w:t>（</w:t>
            </w:r>
            <w:r>
              <w:rPr>
                <w:b/>
                <w:sz w:val="24"/>
              </w:rPr>
              <w:t>A</w:t>
            </w:r>
            <w:r>
              <w:rPr>
                <w:rFonts w:ascii="宋体" w:hAnsi="宋体"/>
                <w:b/>
                <w:sz w:val="24"/>
              </w:rPr>
              <w:t>）</w:t>
            </w:r>
          </w:p>
          <w:tbl>
            <w:tblPr>
              <w:tblStyle w:val="28"/>
              <w:tblW w:w="49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8"/>
              <w:gridCol w:w="216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 w:hRule="atLeast"/>
              </w:trPr>
              <w:tc>
                <w:tcPr>
                  <w:tcW w:w="2265" w:type="pct"/>
                  <w:noWrap w:val="0"/>
                  <w:vAlign w:val="center"/>
                </w:tcPr>
                <w:p>
                  <w:pPr>
                    <w:adjustRightInd w:val="0"/>
                    <w:snapToGrid w:val="0"/>
                    <w:jc w:val="center"/>
                    <w:rPr>
                      <w:szCs w:val="21"/>
                    </w:rPr>
                  </w:pPr>
                  <w:r>
                    <w:t>声环境功能区类别</w:t>
                  </w:r>
                </w:p>
              </w:tc>
              <w:tc>
                <w:tcPr>
                  <w:tcW w:w="1374" w:type="pct"/>
                  <w:noWrap w:val="0"/>
                  <w:vAlign w:val="center"/>
                </w:tcPr>
                <w:p>
                  <w:pPr>
                    <w:adjustRightInd w:val="0"/>
                    <w:snapToGrid w:val="0"/>
                    <w:jc w:val="center"/>
                    <w:rPr>
                      <w:szCs w:val="21"/>
                    </w:rPr>
                  </w:pPr>
                  <w:r>
                    <w:t>昼间</w:t>
                  </w:r>
                </w:p>
              </w:tc>
              <w:tc>
                <w:tcPr>
                  <w:tcW w:w="1361" w:type="pct"/>
                  <w:noWrap w:val="0"/>
                  <w:vAlign w:val="center"/>
                </w:tcPr>
                <w:p>
                  <w:pPr>
                    <w:adjustRightInd w:val="0"/>
                    <w:snapToGrid w:val="0"/>
                    <w:jc w:val="center"/>
                    <w:rPr>
                      <w:szCs w:val="21"/>
                    </w:rPr>
                  </w:pPr>
                  <w: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265" w:type="pct"/>
                  <w:noWrap w:val="0"/>
                  <w:vAlign w:val="center"/>
                </w:tcPr>
                <w:p>
                  <w:pPr>
                    <w:adjustRightInd w:val="0"/>
                    <w:snapToGrid w:val="0"/>
                    <w:jc w:val="center"/>
                    <w:rPr>
                      <w:szCs w:val="21"/>
                    </w:rPr>
                  </w:pPr>
                  <w:r>
                    <w:t>2</w:t>
                  </w:r>
                </w:p>
              </w:tc>
              <w:tc>
                <w:tcPr>
                  <w:tcW w:w="1374" w:type="pct"/>
                  <w:noWrap w:val="0"/>
                  <w:vAlign w:val="center"/>
                </w:tcPr>
                <w:p>
                  <w:pPr>
                    <w:adjustRightInd w:val="0"/>
                    <w:snapToGrid w:val="0"/>
                    <w:jc w:val="center"/>
                    <w:rPr>
                      <w:szCs w:val="21"/>
                    </w:rPr>
                  </w:pPr>
                  <w:r>
                    <w:t>60</w:t>
                  </w:r>
                </w:p>
              </w:tc>
              <w:tc>
                <w:tcPr>
                  <w:tcW w:w="1361" w:type="pct"/>
                  <w:noWrap w:val="0"/>
                  <w:vAlign w:val="center"/>
                </w:tcPr>
                <w:p>
                  <w:pPr>
                    <w:adjustRightInd w:val="0"/>
                    <w:snapToGrid w:val="0"/>
                    <w:jc w:val="center"/>
                    <w:rPr>
                      <w:szCs w:val="21"/>
                    </w:rPr>
                  </w:pPr>
                  <w:r>
                    <w:t>50</w:t>
                  </w:r>
                </w:p>
              </w:tc>
            </w:tr>
          </w:tbl>
          <w:p>
            <w:pPr>
              <w:adjustRightInd w:val="0"/>
              <w:snapToGrid w:val="0"/>
              <w:spacing w:before="120" w:beforeLines="50" w:line="360" w:lineRule="auto"/>
              <w:ind w:firstLine="482" w:firstLineChars="200"/>
              <w:rPr>
                <w:b/>
                <w:sz w:val="24"/>
              </w:rPr>
            </w:pPr>
            <w:r>
              <w:rPr>
                <w:b/>
                <w:sz w:val="24"/>
              </w:rPr>
              <w:t>2</w:t>
            </w:r>
            <w:r>
              <w:rPr>
                <w:rFonts w:hint="eastAsia"/>
                <w:b/>
                <w:sz w:val="24"/>
              </w:rPr>
              <w:t>.</w:t>
            </w:r>
            <w:r>
              <w:rPr>
                <w:rFonts w:ascii="宋体" w:hAnsi="宋体"/>
                <w:b/>
                <w:sz w:val="24"/>
              </w:rPr>
              <w:t>污染物排放标准</w:t>
            </w:r>
          </w:p>
          <w:p>
            <w:pPr>
              <w:adjustRightInd w:val="0"/>
              <w:snapToGrid w:val="0"/>
              <w:spacing w:line="360" w:lineRule="auto"/>
              <w:ind w:firstLine="480" w:firstLineChars="200"/>
              <w:rPr>
                <w:sz w:val="24"/>
              </w:rPr>
            </w:pPr>
            <w:r>
              <w:rPr>
                <w:rFonts w:hint="eastAsia" w:ascii="宋体" w:hAnsi="宋体"/>
                <w:sz w:val="24"/>
              </w:rPr>
              <w:t>⑴</w:t>
            </w:r>
            <w:r>
              <w:rPr>
                <w:rFonts w:ascii="宋体" w:hAnsi="宋体"/>
                <w:sz w:val="24"/>
              </w:rPr>
              <w:t>大气污染物排放标准</w:t>
            </w:r>
          </w:p>
          <w:p>
            <w:pPr>
              <w:adjustRightInd w:val="0"/>
              <w:snapToGrid w:val="0"/>
              <w:spacing w:line="360" w:lineRule="auto"/>
              <w:ind w:firstLine="480" w:firstLineChars="200"/>
              <w:rPr>
                <w:sz w:val="24"/>
              </w:rPr>
            </w:pPr>
            <w:r>
              <w:rPr>
                <w:rFonts w:ascii="宋体" w:hAnsi="宋体"/>
                <w:sz w:val="24"/>
              </w:rPr>
              <w:t>项目废气执行《大气污染物综合排放标准》（</w:t>
            </w:r>
            <w:r>
              <w:rPr>
                <w:sz w:val="24"/>
              </w:rPr>
              <w:t>GB16297-1996</w:t>
            </w:r>
            <w:r>
              <w:rPr>
                <w:rFonts w:ascii="宋体" w:hAnsi="宋体"/>
                <w:sz w:val="24"/>
              </w:rPr>
              <w:t>）表</w:t>
            </w:r>
            <w:r>
              <w:rPr>
                <w:sz w:val="24"/>
              </w:rPr>
              <w:t>2</w:t>
            </w:r>
            <w:r>
              <w:rPr>
                <w:rFonts w:hAnsi="宋体"/>
                <w:sz w:val="24"/>
              </w:rPr>
              <w:t>中排放监控浓度限值，具体见表</w:t>
            </w:r>
            <w:r>
              <w:rPr>
                <w:rFonts w:hint="eastAsia"/>
                <w:sz w:val="24"/>
                <w:lang w:val="en-US" w:eastAsia="zh-CN"/>
              </w:rPr>
              <w:t>3-13</w:t>
            </w:r>
            <w:r>
              <w:rPr>
                <w:rFonts w:hAnsi="宋体"/>
                <w:sz w:val="24"/>
              </w:rPr>
              <w:t>。</w:t>
            </w:r>
          </w:p>
          <w:p>
            <w:pPr>
              <w:adjustRightInd w:val="0"/>
              <w:snapToGrid w:val="0"/>
              <w:spacing w:line="360" w:lineRule="auto"/>
              <w:ind w:firstLine="482" w:firstLineChars="200"/>
              <w:rPr>
                <w:b/>
                <w:sz w:val="24"/>
              </w:rPr>
            </w:pPr>
            <w:r>
              <w:rPr>
                <w:rFonts w:hAnsi="宋体"/>
                <w:b/>
                <w:sz w:val="24"/>
              </w:rPr>
              <w:t>表</w:t>
            </w:r>
            <w:r>
              <w:rPr>
                <w:rFonts w:hint="eastAsia"/>
                <w:b/>
                <w:sz w:val="24"/>
                <w:lang w:val="en-US" w:eastAsia="zh-CN"/>
              </w:rPr>
              <w:t>3-13</w:t>
            </w:r>
            <w:r>
              <w:rPr>
                <w:b/>
                <w:sz w:val="24"/>
              </w:rPr>
              <w:t xml:space="preserve">              </w:t>
            </w:r>
            <w:r>
              <w:rPr>
                <w:rFonts w:hAnsi="宋体"/>
                <w:b/>
                <w:sz w:val="24"/>
              </w:rPr>
              <w:t>大气污染物排放标准</w:t>
            </w:r>
          </w:p>
          <w:tbl>
            <w:tblPr>
              <w:tblStyle w:val="28"/>
              <w:tblW w:w="8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6"/>
              <w:gridCol w:w="756"/>
              <w:gridCol w:w="1503"/>
              <w:gridCol w:w="1276"/>
              <w:gridCol w:w="1134"/>
              <w:gridCol w:w="1418"/>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jc w:val="center"/>
              </w:trPr>
              <w:tc>
                <w:tcPr>
                  <w:tcW w:w="556" w:type="dxa"/>
                  <w:vMerge w:val="restart"/>
                  <w:noWrap w:val="0"/>
                  <w:vAlign w:val="center"/>
                </w:tcPr>
                <w:p>
                  <w:pPr>
                    <w:widowControl/>
                    <w:adjustRightInd w:val="0"/>
                    <w:snapToGrid w:val="0"/>
                    <w:jc w:val="center"/>
                    <w:rPr>
                      <w:szCs w:val="21"/>
                    </w:rPr>
                  </w:pPr>
                  <w:r>
                    <w:rPr>
                      <w:szCs w:val="21"/>
                    </w:rPr>
                    <w:t>序号</w:t>
                  </w:r>
                </w:p>
              </w:tc>
              <w:tc>
                <w:tcPr>
                  <w:tcW w:w="756" w:type="dxa"/>
                  <w:vMerge w:val="restart"/>
                  <w:noWrap w:val="0"/>
                  <w:vAlign w:val="center"/>
                </w:tcPr>
                <w:p>
                  <w:pPr>
                    <w:widowControl/>
                    <w:adjustRightInd w:val="0"/>
                    <w:snapToGrid w:val="0"/>
                    <w:jc w:val="center"/>
                    <w:rPr>
                      <w:szCs w:val="21"/>
                    </w:rPr>
                  </w:pPr>
                  <w:r>
                    <w:rPr>
                      <w:szCs w:val="21"/>
                    </w:rPr>
                    <w:t>污染物</w:t>
                  </w:r>
                </w:p>
              </w:tc>
              <w:tc>
                <w:tcPr>
                  <w:tcW w:w="1503" w:type="dxa"/>
                  <w:vMerge w:val="restart"/>
                  <w:noWrap w:val="0"/>
                  <w:vAlign w:val="center"/>
                </w:tcPr>
                <w:p>
                  <w:pPr>
                    <w:widowControl/>
                    <w:adjustRightInd w:val="0"/>
                    <w:snapToGrid w:val="0"/>
                    <w:jc w:val="center"/>
                    <w:rPr>
                      <w:szCs w:val="21"/>
                    </w:rPr>
                  </w:pPr>
                  <w:r>
                    <w:rPr>
                      <w:szCs w:val="21"/>
                    </w:rPr>
                    <w:t>最高允许排放浓度（mg/m</w:t>
                  </w:r>
                  <w:r>
                    <w:rPr>
                      <w:szCs w:val="21"/>
                      <w:vertAlign w:val="superscript"/>
                    </w:rPr>
                    <w:t>3</w:t>
                  </w:r>
                  <w:r>
                    <w:rPr>
                      <w:szCs w:val="21"/>
                    </w:rPr>
                    <w:t>）</w:t>
                  </w:r>
                </w:p>
              </w:tc>
              <w:tc>
                <w:tcPr>
                  <w:tcW w:w="2410" w:type="dxa"/>
                  <w:gridSpan w:val="2"/>
                  <w:noWrap w:val="0"/>
                  <w:vAlign w:val="center"/>
                </w:tcPr>
                <w:p>
                  <w:pPr>
                    <w:widowControl/>
                    <w:adjustRightInd w:val="0"/>
                    <w:snapToGrid w:val="0"/>
                    <w:jc w:val="center"/>
                    <w:rPr>
                      <w:szCs w:val="21"/>
                    </w:rPr>
                  </w:pPr>
                  <w:r>
                    <w:rPr>
                      <w:szCs w:val="21"/>
                    </w:rPr>
                    <w:t>最高允许排放速率（kg/h）</w:t>
                  </w:r>
                </w:p>
              </w:tc>
              <w:tc>
                <w:tcPr>
                  <w:tcW w:w="2856" w:type="dxa"/>
                  <w:gridSpan w:val="2"/>
                  <w:noWrap w:val="0"/>
                  <w:vAlign w:val="center"/>
                </w:tcPr>
                <w:p>
                  <w:pPr>
                    <w:widowControl/>
                    <w:adjustRightInd w:val="0"/>
                    <w:snapToGrid w:val="0"/>
                    <w:jc w:val="center"/>
                    <w:rPr>
                      <w:szCs w:val="21"/>
                    </w:rPr>
                  </w:pPr>
                  <w:r>
                    <w:rPr>
                      <w:szCs w:val="21"/>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 w:hRule="atLeast"/>
                <w:jc w:val="center"/>
              </w:trPr>
              <w:tc>
                <w:tcPr>
                  <w:tcW w:w="556" w:type="dxa"/>
                  <w:vMerge w:val="continue"/>
                  <w:noWrap w:val="0"/>
                  <w:vAlign w:val="center"/>
                </w:tcPr>
                <w:p>
                  <w:pPr>
                    <w:widowControl/>
                    <w:adjustRightInd w:val="0"/>
                    <w:snapToGrid w:val="0"/>
                    <w:jc w:val="center"/>
                    <w:rPr>
                      <w:szCs w:val="21"/>
                    </w:rPr>
                  </w:pPr>
                </w:p>
              </w:tc>
              <w:tc>
                <w:tcPr>
                  <w:tcW w:w="756" w:type="dxa"/>
                  <w:vMerge w:val="continue"/>
                  <w:noWrap w:val="0"/>
                  <w:vAlign w:val="center"/>
                </w:tcPr>
                <w:p>
                  <w:pPr>
                    <w:widowControl/>
                    <w:adjustRightInd w:val="0"/>
                    <w:snapToGrid w:val="0"/>
                    <w:jc w:val="center"/>
                    <w:rPr>
                      <w:szCs w:val="21"/>
                    </w:rPr>
                  </w:pPr>
                </w:p>
              </w:tc>
              <w:tc>
                <w:tcPr>
                  <w:tcW w:w="1503" w:type="dxa"/>
                  <w:vMerge w:val="continue"/>
                  <w:noWrap w:val="0"/>
                  <w:vAlign w:val="center"/>
                </w:tcPr>
                <w:p>
                  <w:pPr>
                    <w:widowControl/>
                    <w:adjustRightInd w:val="0"/>
                    <w:snapToGrid w:val="0"/>
                    <w:jc w:val="center"/>
                    <w:rPr>
                      <w:szCs w:val="21"/>
                    </w:rPr>
                  </w:pPr>
                </w:p>
              </w:tc>
              <w:tc>
                <w:tcPr>
                  <w:tcW w:w="1276" w:type="dxa"/>
                  <w:noWrap w:val="0"/>
                  <w:vAlign w:val="center"/>
                </w:tcPr>
                <w:p>
                  <w:pPr>
                    <w:widowControl/>
                    <w:adjustRightInd w:val="0"/>
                    <w:snapToGrid w:val="0"/>
                    <w:jc w:val="center"/>
                    <w:rPr>
                      <w:szCs w:val="21"/>
                    </w:rPr>
                  </w:pPr>
                  <w:r>
                    <w:rPr>
                      <w:szCs w:val="21"/>
                    </w:rPr>
                    <w:t>排气筒（m）</w:t>
                  </w:r>
                </w:p>
              </w:tc>
              <w:tc>
                <w:tcPr>
                  <w:tcW w:w="1134" w:type="dxa"/>
                  <w:noWrap w:val="0"/>
                  <w:vAlign w:val="center"/>
                </w:tcPr>
                <w:p>
                  <w:pPr>
                    <w:widowControl/>
                    <w:adjustRightInd w:val="0"/>
                    <w:snapToGrid w:val="0"/>
                    <w:jc w:val="center"/>
                    <w:rPr>
                      <w:szCs w:val="21"/>
                    </w:rPr>
                  </w:pPr>
                  <w:r>
                    <w:rPr>
                      <w:szCs w:val="21"/>
                    </w:rPr>
                    <w:t>二级</w:t>
                  </w:r>
                </w:p>
              </w:tc>
              <w:tc>
                <w:tcPr>
                  <w:tcW w:w="1418" w:type="dxa"/>
                  <w:noWrap w:val="0"/>
                  <w:vAlign w:val="center"/>
                </w:tcPr>
                <w:p>
                  <w:pPr>
                    <w:widowControl/>
                    <w:adjustRightInd w:val="0"/>
                    <w:snapToGrid w:val="0"/>
                    <w:jc w:val="center"/>
                    <w:rPr>
                      <w:szCs w:val="21"/>
                    </w:rPr>
                  </w:pPr>
                  <w:r>
                    <w:rPr>
                      <w:szCs w:val="21"/>
                    </w:rPr>
                    <w:t>监控点</w:t>
                  </w:r>
                </w:p>
              </w:tc>
              <w:tc>
                <w:tcPr>
                  <w:tcW w:w="1438" w:type="dxa"/>
                  <w:noWrap w:val="0"/>
                  <w:vAlign w:val="center"/>
                </w:tcPr>
                <w:p>
                  <w:pPr>
                    <w:widowControl/>
                    <w:adjustRightInd w:val="0"/>
                    <w:snapToGrid w:val="0"/>
                    <w:jc w:val="center"/>
                    <w:rPr>
                      <w:szCs w:val="21"/>
                    </w:rPr>
                  </w:pPr>
                  <w:r>
                    <w:rPr>
                      <w:szCs w:val="21"/>
                    </w:rPr>
                    <w:t>浓度（mg/m</w:t>
                  </w:r>
                  <w:r>
                    <w:rPr>
                      <w:szCs w:val="21"/>
                      <w:vertAlign w:val="superscript"/>
                    </w:rPr>
                    <w:t>3</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 w:hRule="atLeast"/>
                <w:jc w:val="center"/>
              </w:trPr>
              <w:tc>
                <w:tcPr>
                  <w:tcW w:w="556" w:type="dxa"/>
                  <w:noWrap w:val="0"/>
                  <w:vAlign w:val="center"/>
                </w:tcPr>
                <w:p>
                  <w:pPr>
                    <w:widowControl/>
                    <w:adjustRightInd w:val="0"/>
                    <w:snapToGrid w:val="0"/>
                    <w:jc w:val="center"/>
                    <w:rPr>
                      <w:szCs w:val="21"/>
                    </w:rPr>
                  </w:pPr>
                  <w:r>
                    <w:rPr>
                      <w:szCs w:val="21"/>
                    </w:rPr>
                    <w:t>1</w:t>
                  </w:r>
                </w:p>
              </w:tc>
              <w:tc>
                <w:tcPr>
                  <w:tcW w:w="756" w:type="dxa"/>
                  <w:noWrap w:val="0"/>
                  <w:vAlign w:val="center"/>
                </w:tcPr>
                <w:p>
                  <w:pPr>
                    <w:widowControl/>
                    <w:adjustRightInd w:val="0"/>
                    <w:snapToGrid w:val="0"/>
                    <w:jc w:val="center"/>
                    <w:rPr>
                      <w:szCs w:val="21"/>
                    </w:rPr>
                  </w:pPr>
                  <w:r>
                    <w:rPr>
                      <w:szCs w:val="21"/>
                    </w:rPr>
                    <w:t>颗粒物</w:t>
                  </w:r>
                </w:p>
              </w:tc>
              <w:tc>
                <w:tcPr>
                  <w:tcW w:w="1503" w:type="dxa"/>
                  <w:noWrap w:val="0"/>
                  <w:vAlign w:val="center"/>
                </w:tcPr>
                <w:p>
                  <w:pPr>
                    <w:widowControl/>
                    <w:adjustRightInd w:val="0"/>
                    <w:snapToGrid w:val="0"/>
                    <w:jc w:val="center"/>
                    <w:rPr>
                      <w:szCs w:val="21"/>
                    </w:rPr>
                  </w:pPr>
                  <w:r>
                    <w:rPr>
                      <w:szCs w:val="21"/>
                    </w:rPr>
                    <w:t>1</w:t>
                  </w:r>
                  <w:r>
                    <w:rPr>
                      <w:rFonts w:hint="eastAsia"/>
                      <w:szCs w:val="21"/>
                    </w:rPr>
                    <w:t>2</w:t>
                  </w:r>
                  <w:r>
                    <w:rPr>
                      <w:szCs w:val="21"/>
                    </w:rPr>
                    <w:t>0</w:t>
                  </w:r>
                </w:p>
              </w:tc>
              <w:tc>
                <w:tcPr>
                  <w:tcW w:w="1276" w:type="dxa"/>
                  <w:noWrap w:val="0"/>
                  <w:vAlign w:val="center"/>
                </w:tcPr>
                <w:p>
                  <w:pPr>
                    <w:widowControl/>
                    <w:adjustRightInd w:val="0"/>
                    <w:snapToGrid w:val="0"/>
                    <w:jc w:val="center"/>
                    <w:rPr>
                      <w:szCs w:val="21"/>
                    </w:rPr>
                  </w:pPr>
                  <w:r>
                    <w:rPr>
                      <w:szCs w:val="21"/>
                    </w:rPr>
                    <w:t>15</w:t>
                  </w:r>
                </w:p>
              </w:tc>
              <w:tc>
                <w:tcPr>
                  <w:tcW w:w="1134" w:type="dxa"/>
                  <w:noWrap w:val="0"/>
                  <w:vAlign w:val="center"/>
                </w:tcPr>
                <w:p>
                  <w:pPr>
                    <w:widowControl/>
                    <w:adjustRightInd w:val="0"/>
                    <w:snapToGrid w:val="0"/>
                    <w:jc w:val="center"/>
                    <w:rPr>
                      <w:szCs w:val="21"/>
                    </w:rPr>
                  </w:pPr>
                  <w:r>
                    <w:rPr>
                      <w:rFonts w:hint="eastAsia"/>
                      <w:szCs w:val="21"/>
                    </w:rPr>
                    <w:t>3.5</w:t>
                  </w:r>
                </w:p>
              </w:tc>
              <w:tc>
                <w:tcPr>
                  <w:tcW w:w="1418" w:type="dxa"/>
                  <w:noWrap w:val="0"/>
                  <w:vAlign w:val="center"/>
                </w:tcPr>
                <w:p>
                  <w:pPr>
                    <w:widowControl/>
                    <w:adjustRightInd w:val="0"/>
                    <w:snapToGrid w:val="0"/>
                    <w:jc w:val="center"/>
                    <w:rPr>
                      <w:szCs w:val="21"/>
                    </w:rPr>
                  </w:pPr>
                  <w:r>
                    <w:rPr>
                      <w:szCs w:val="21"/>
                    </w:rPr>
                    <w:t>周界外浓度最高点</w:t>
                  </w:r>
                </w:p>
              </w:tc>
              <w:tc>
                <w:tcPr>
                  <w:tcW w:w="1438" w:type="dxa"/>
                  <w:noWrap w:val="0"/>
                  <w:vAlign w:val="center"/>
                </w:tcPr>
                <w:p>
                  <w:pPr>
                    <w:widowControl/>
                    <w:adjustRightInd w:val="0"/>
                    <w:snapToGrid w:val="0"/>
                    <w:jc w:val="center"/>
                    <w:rPr>
                      <w:szCs w:val="21"/>
                    </w:rPr>
                  </w:pPr>
                  <w:r>
                    <w:rPr>
                      <w:szCs w:val="21"/>
                    </w:rPr>
                    <w:t>1.0</w:t>
                  </w:r>
                </w:p>
              </w:tc>
            </w:tr>
          </w:tbl>
          <w:p>
            <w:pPr>
              <w:spacing w:line="360" w:lineRule="auto"/>
              <w:ind w:right="-113" w:firstLine="480" w:firstLineChars="200"/>
              <w:rPr>
                <w:rFonts w:hAnsi="黑体" w:eastAsia="黑体"/>
                <w:szCs w:val="21"/>
              </w:rPr>
            </w:pPr>
            <w:r>
              <w:rPr>
                <w:rFonts w:hAnsi="宋体"/>
                <w:sz w:val="24"/>
              </w:rPr>
              <w:t>拟建项目食堂灶头</w:t>
            </w:r>
            <w:r>
              <w:rPr>
                <w:rFonts w:hint="eastAsia"/>
                <w:sz w:val="24"/>
                <w:lang w:val="en-US" w:eastAsia="zh-CN"/>
              </w:rPr>
              <w:t>1</w:t>
            </w:r>
            <w:r>
              <w:rPr>
                <w:rFonts w:hAnsi="宋体"/>
                <w:sz w:val="24"/>
              </w:rPr>
              <w:t>个，规模为</w:t>
            </w:r>
            <w:r>
              <w:rPr>
                <w:rFonts w:hint="eastAsia" w:hAnsi="宋体"/>
                <w:sz w:val="24"/>
                <w:lang w:eastAsia="zh-CN"/>
              </w:rPr>
              <w:t>小</w:t>
            </w:r>
            <w:r>
              <w:rPr>
                <w:rFonts w:hAnsi="宋体"/>
                <w:sz w:val="24"/>
              </w:rPr>
              <w:t>型，食堂油烟执行《饮食业油烟排放标准（试行）》（</w:t>
            </w:r>
            <w:r>
              <w:rPr>
                <w:sz w:val="24"/>
              </w:rPr>
              <w:t>GB18483-2001</w:t>
            </w:r>
            <w:r>
              <w:rPr>
                <w:rFonts w:hAnsi="宋体"/>
                <w:sz w:val="24"/>
              </w:rPr>
              <w:t>）中的最高允许排放浓度具体数值见表</w:t>
            </w:r>
            <w:r>
              <w:rPr>
                <w:rFonts w:hint="eastAsia"/>
                <w:sz w:val="24"/>
              </w:rPr>
              <w:t>3-</w:t>
            </w:r>
            <w:r>
              <w:rPr>
                <w:rFonts w:hint="eastAsia"/>
                <w:sz w:val="24"/>
                <w:lang w:val="en-US" w:eastAsia="zh-CN"/>
              </w:rPr>
              <w:t>14</w:t>
            </w:r>
            <w:r>
              <w:rPr>
                <w:rFonts w:hAnsi="宋体"/>
                <w:sz w:val="24"/>
              </w:rPr>
              <w:t>。</w:t>
            </w:r>
          </w:p>
          <w:p>
            <w:pPr>
              <w:adjustRightInd w:val="0"/>
              <w:snapToGrid w:val="0"/>
              <w:spacing w:line="360" w:lineRule="auto"/>
              <w:ind w:firstLine="482" w:firstLineChars="200"/>
              <w:rPr>
                <w:rFonts w:ascii="Times New Roman" w:hAnsi="宋体" w:eastAsia="宋体" w:cs="Times New Roman"/>
                <w:b/>
                <w:sz w:val="24"/>
              </w:rPr>
            </w:pPr>
            <w:r>
              <w:rPr>
                <w:rFonts w:hint="eastAsia" w:ascii="Times New Roman" w:hAnsi="宋体" w:eastAsia="宋体" w:cs="Times New Roman"/>
                <w:b/>
                <w:sz w:val="24"/>
              </w:rPr>
              <w:t>表3-</w:t>
            </w:r>
            <w:r>
              <w:rPr>
                <w:rFonts w:hint="eastAsia" w:ascii="Times New Roman" w:hAnsi="宋体" w:eastAsia="宋体" w:cs="Times New Roman"/>
                <w:b/>
                <w:sz w:val="24"/>
                <w:lang w:val="en-US" w:eastAsia="zh-CN"/>
              </w:rPr>
              <w:t>14</w:t>
            </w:r>
            <w:r>
              <w:rPr>
                <w:rFonts w:hint="eastAsia" w:ascii="Times New Roman" w:hAnsi="宋体" w:eastAsia="宋体" w:cs="Times New Roman"/>
                <w:b/>
                <w:sz w:val="24"/>
              </w:rPr>
              <w:t xml:space="preserve">  饮食单位的油烟最高允许排放浓度和油烟净化设施最低去除率</w:t>
            </w:r>
          </w:p>
          <w:tbl>
            <w:tblPr>
              <w:tblStyle w:val="28"/>
              <w:tblW w:w="81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1550"/>
              <w:gridCol w:w="2050"/>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vAlign w:val="center"/>
                </w:tcPr>
                <w:p>
                  <w:pPr>
                    <w:spacing w:line="0" w:lineRule="atLeast"/>
                    <w:ind w:right="-113"/>
                    <w:jc w:val="center"/>
                    <w:rPr>
                      <w:sz w:val="20"/>
                      <w:szCs w:val="20"/>
                    </w:rPr>
                  </w:pPr>
                  <w:r>
                    <w:rPr>
                      <w:rFonts w:hAnsi="宋体"/>
                      <w:sz w:val="20"/>
                      <w:szCs w:val="20"/>
                    </w:rPr>
                    <w:t>规模</w:t>
                  </w:r>
                </w:p>
              </w:tc>
              <w:tc>
                <w:tcPr>
                  <w:tcW w:w="1550" w:type="dxa"/>
                  <w:vAlign w:val="center"/>
                </w:tcPr>
                <w:p>
                  <w:pPr>
                    <w:spacing w:line="0" w:lineRule="atLeast"/>
                    <w:ind w:right="-113"/>
                    <w:jc w:val="center"/>
                    <w:rPr>
                      <w:sz w:val="20"/>
                      <w:szCs w:val="20"/>
                    </w:rPr>
                  </w:pPr>
                  <w:r>
                    <w:rPr>
                      <w:rFonts w:hAnsi="宋体"/>
                      <w:sz w:val="20"/>
                      <w:szCs w:val="20"/>
                    </w:rPr>
                    <w:t>小型</w:t>
                  </w:r>
                  <w:r>
                    <w:rPr>
                      <w:sz w:val="20"/>
                      <w:szCs w:val="20"/>
                    </w:rPr>
                    <w:t>≥1</w:t>
                  </w:r>
                  <w:r>
                    <w:rPr>
                      <w:rFonts w:hAnsi="宋体"/>
                      <w:sz w:val="20"/>
                      <w:szCs w:val="20"/>
                    </w:rPr>
                    <w:t>，＜</w:t>
                  </w:r>
                  <w:r>
                    <w:rPr>
                      <w:sz w:val="20"/>
                      <w:szCs w:val="20"/>
                    </w:rPr>
                    <w:t>3</w:t>
                  </w:r>
                </w:p>
              </w:tc>
              <w:tc>
                <w:tcPr>
                  <w:tcW w:w="2050" w:type="dxa"/>
                  <w:vAlign w:val="center"/>
                </w:tcPr>
                <w:p>
                  <w:pPr>
                    <w:spacing w:line="0" w:lineRule="atLeast"/>
                    <w:ind w:right="-113"/>
                    <w:jc w:val="center"/>
                    <w:rPr>
                      <w:sz w:val="20"/>
                      <w:szCs w:val="20"/>
                    </w:rPr>
                  </w:pPr>
                  <w:r>
                    <w:rPr>
                      <w:rFonts w:hAnsi="宋体"/>
                      <w:sz w:val="20"/>
                      <w:szCs w:val="20"/>
                    </w:rPr>
                    <w:t>中型</w:t>
                  </w:r>
                  <w:r>
                    <w:rPr>
                      <w:sz w:val="20"/>
                      <w:szCs w:val="20"/>
                    </w:rPr>
                    <w:t>≥3</w:t>
                  </w:r>
                  <w:r>
                    <w:rPr>
                      <w:rFonts w:hAnsi="宋体"/>
                      <w:sz w:val="20"/>
                      <w:szCs w:val="20"/>
                    </w:rPr>
                    <w:t>，＜</w:t>
                  </w:r>
                  <w:r>
                    <w:rPr>
                      <w:sz w:val="20"/>
                      <w:szCs w:val="20"/>
                    </w:rPr>
                    <w:t>6</w:t>
                  </w:r>
                </w:p>
              </w:tc>
              <w:tc>
                <w:tcPr>
                  <w:tcW w:w="2051" w:type="dxa"/>
                  <w:vAlign w:val="center"/>
                </w:tcPr>
                <w:p>
                  <w:pPr>
                    <w:spacing w:line="0" w:lineRule="atLeast"/>
                    <w:ind w:right="-113"/>
                    <w:jc w:val="center"/>
                    <w:rPr>
                      <w:sz w:val="20"/>
                      <w:szCs w:val="20"/>
                    </w:rPr>
                  </w:pPr>
                  <w:r>
                    <w:rPr>
                      <w:rFonts w:hAnsi="宋体"/>
                      <w:sz w:val="20"/>
                      <w:szCs w:val="20"/>
                    </w:rPr>
                    <w:t>大型</w:t>
                  </w:r>
                  <w:r>
                    <w:rPr>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vAlign w:val="center"/>
                </w:tcPr>
                <w:p>
                  <w:pPr>
                    <w:spacing w:line="0" w:lineRule="atLeast"/>
                    <w:ind w:right="-113"/>
                    <w:jc w:val="center"/>
                    <w:rPr>
                      <w:sz w:val="20"/>
                      <w:szCs w:val="20"/>
                    </w:rPr>
                  </w:pPr>
                  <w:r>
                    <w:rPr>
                      <w:rFonts w:hAnsi="宋体"/>
                      <w:sz w:val="20"/>
                      <w:szCs w:val="20"/>
                    </w:rPr>
                    <w:t>最高允许排放浓度（</w:t>
                  </w:r>
                  <w:r>
                    <w:rPr>
                      <w:sz w:val="20"/>
                      <w:szCs w:val="20"/>
                    </w:rPr>
                    <w:t>mg/m</w:t>
                  </w:r>
                  <w:r>
                    <w:rPr>
                      <w:sz w:val="20"/>
                      <w:szCs w:val="20"/>
                      <w:vertAlign w:val="superscript"/>
                    </w:rPr>
                    <w:t>3</w:t>
                  </w:r>
                  <w:r>
                    <w:rPr>
                      <w:rFonts w:hAnsi="宋体"/>
                      <w:sz w:val="20"/>
                      <w:szCs w:val="20"/>
                    </w:rPr>
                    <w:t>）</w:t>
                  </w:r>
                </w:p>
              </w:tc>
              <w:tc>
                <w:tcPr>
                  <w:tcW w:w="5651" w:type="dxa"/>
                  <w:gridSpan w:val="3"/>
                  <w:vAlign w:val="center"/>
                </w:tcPr>
                <w:p>
                  <w:pPr>
                    <w:spacing w:line="0" w:lineRule="atLeast"/>
                    <w:ind w:right="-113"/>
                    <w:jc w:val="center"/>
                    <w:rPr>
                      <w:sz w:val="20"/>
                      <w:szCs w:val="20"/>
                    </w:rPr>
                  </w:pPr>
                  <w:r>
                    <w:rPr>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8" w:type="dxa"/>
                  <w:vAlign w:val="center"/>
                </w:tcPr>
                <w:p>
                  <w:pPr>
                    <w:spacing w:line="0" w:lineRule="atLeast"/>
                    <w:ind w:right="-113"/>
                    <w:jc w:val="center"/>
                    <w:rPr>
                      <w:sz w:val="20"/>
                      <w:szCs w:val="20"/>
                    </w:rPr>
                  </w:pPr>
                  <w:r>
                    <w:rPr>
                      <w:rFonts w:hAnsi="宋体"/>
                      <w:sz w:val="20"/>
                      <w:szCs w:val="20"/>
                    </w:rPr>
                    <w:t>净化设施最低去除效率（</w:t>
                  </w:r>
                  <w:r>
                    <w:rPr>
                      <w:sz w:val="20"/>
                      <w:szCs w:val="20"/>
                    </w:rPr>
                    <w:t>%</w:t>
                  </w:r>
                  <w:r>
                    <w:rPr>
                      <w:rFonts w:hAnsi="宋体"/>
                      <w:sz w:val="20"/>
                      <w:szCs w:val="20"/>
                    </w:rPr>
                    <w:t>）</w:t>
                  </w:r>
                </w:p>
              </w:tc>
              <w:tc>
                <w:tcPr>
                  <w:tcW w:w="1550" w:type="dxa"/>
                  <w:vAlign w:val="center"/>
                </w:tcPr>
                <w:p>
                  <w:pPr>
                    <w:spacing w:line="0" w:lineRule="atLeast"/>
                    <w:ind w:right="-113"/>
                    <w:jc w:val="center"/>
                    <w:rPr>
                      <w:sz w:val="20"/>
                      <w:szCs w:val="20"/>
                    </w:rPr>
                  </w:pPr>
                  <w:r>
                    <w:rPr>
                      <w:sz w:val="20"/>
                      <w:szCs w:val="20"/>
                    </w:rPr>
                    <w:t>60</w:t>
                  </w:r>
                </w:p>
              </w:tc>
              <w:tc>
                <w:tcPr>
                  <w:tcW w:w="2050" w:type="dxa"/>
                  <w:vAlign w:val="center"/>
                </w:tcPr>
                <w:p>
                  <w:pPr>
                    <w:spacing w:line="0" w:lineRule="atLeast"/>
                    <w:ind w:right="-113"/>
                    <w:jc w:val="center"/>
                    <w:rPr>
                      <w:sz w:val="20"/>
                      <w:szCs w:val="20"/>
                    </w:rPr>
                  </w:pPr>
                  <w:r>
                    <w:rPr>
                      <w:sz w:val="20"/>
                      <w:szCs w:val="20"/>
                    </w:rPr>
                    <w:t>75</w:t>
                  </w:r>
                </w:p>
              </w:tc>
              <w:tc>
                <w:tcPr>
                  <w:tcW w:w="2051" w:type="dxa"/>
                  <w:vAlign w:val="center"/>
                </w:tcPr>
                <w:p>
                  <w:pPr>
                    <w:spacing w:line="0" w:lineRule="atLeast"/>
                    <w:ind w:right="-113"/>
                    <w:jc w:val="center"/>
                    <w:rPr>
                      <w:sz w:val="20"/>
                      <w:szCs w:val="20"/>
                    </w:rPr>
                  </w:pPr>
                  <w:r>
                    <w:rPr>
                      <w:sz w:val="20"/>
                      <w:szCs w:val="20"/>
                    </w:rPr>
                    <w:t>85</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sz w:val="24"/>
              </w:rPr>
            </w:pPr>
            <w:r>
              <w:rPr>
                <w:rFonts w:hint="eastAsia" w:ascii="宋体" w:hAnsi="宋体"/>
                <w:sz w:val="24"/>
              </w:rPr>
              <w:t>⑵</w:t>
            </w:r>
            <w:r>
              <w:rPr>
                <w:rFonts w:ascii="宋体" w:hAnsi="宋体"/>
                <w:sz w:val="24"/>
              </w:rPr>
              <w:t>噪声排放标准</w:t>
            </w:r>
          </w:p>
          <w:p>
            <w:pPr>
              <w:keepNext w:val="0"/>
              <w:keepLines w:val="0"/>
              <w:pageBreakBefore w:val="0"/>
              <w:widowControl w:val="0"/>
              <w:kinsoku/>
              <w:wordWrap/>
              <w:overflowPunct/>
              <w:topLinePunct w:val="0"/>
              <w:autoSpaceDE/>
              <w:autoSpaceDN/>
              <w:bidi w:val="0"/>
              <w:snapToGrid w:val="0"/>
              <w:spacing w:line="360" w:lineRule="auto"/>
              <w:ind w:firstLine="480" w:firstLineChars="200"/>
              <w:textAlignment w:val="auto"/>
              <w:rPr>
                <w:rFonts w:hint="eastAsia"/>
                <w:sz w:val="24"/>
              </w:rPr>
            </w:pPr>
            <w:r>
              <w:rPr>
                <w:rFonts w:ascii="宋体" w:hAnsi="宋体"/>
                <w:sz w:val="24"/>
              </w:rPr>
              <w:t>运营期噪声执行《工业企业厂界环境噪声排放标准》（</w:t>
            </w:r>
            <w:r>
              <w:rPr>
                <w:sz w:val="24"/>
              </w:rPr>
              <w:t>GB12348-2008</w:t>
            </w:r>
            <w:r>
              <w:rPr>
                <w:rFonts w:ascii="宋体" w:hAnsi="宋体"/>
                <w:sz w:val="24"/>
              </w:rPr>
              <w:t>）</w:t>
            </w:r>
            <w:r>
              <w:rPr>
                <w:sz w:val="24"/>
              </w:rPr>
              <w:t>2</w:t>
            </w:r>
            <w:r>
              <w:rPr>
                <w:rFonts w:ascii="宋体" w:hAnsi="宋体"/>
                <w:sz w:val="24"/>
              </w:rPr>
              <w:t>类标准，具体标准值见表</w:t>
            </w:r>
            <w:r>
              <w:rPr>
                <w:rFonts w:hint="eastAsia"/>
                <w:sz w:val="24"/>
                <w:lang w:val="en-US" w:eastAsia="zh-CN"/>
              </w:rPr>
              <w:t>3-15</w:t>
            </w:r>
            <w:r>
              <w:rPr>
                <w:rFonts w:ascii="宋体" w:hAnsi="宋体"/>
                <w:sz w:val="24"/>
              </w:rPr>
              <w:t>。</w:t>
            </w:r>
          </w:p>
          <w:p>
            <w:pPr>
              <w:snapToGrid w:val="0"/>
              <w:spacing w:before="120" w:beforeLines="50" w:line="360" w:lineRule="auto"/>
              <w:ind w:firstLine="482" w:firstLineChars="200"/>
              <w:rPr>
                <w:sz w:val="24"/>
              </w:rPr>
            </w:pPr>
            <w:r>
              <w:rPr>
                <w:rFonts w:ascii="宋体" w:hAnsi="宋体"/>
                <w:b/>
                <w:sz w:val="24"/>
              </w:rPr>
              <w:t>表</w:t>
            </w:r>
            <w:r>
              <w:rPr>
                <w:rFonts w:hint="eastAsia"/>
                <w:b/>
                <w:sz w:val="24"/>
                <w:lang w:val="en-US" w:eastAsia="zh-CN"/>
              </w:rPr>
              <w:t>3-15</w:t>
            </w:r>
            <w:r>
              <w:rPr>
                <w:b/>
                <w:sz w:val="24"/>
              </w:rPr>
              <w:t xml:space="preserve">  </w:t>
            </w:r>
            <w:r>
              <w:rPr>
                <w:rFonts w:hint="eastAsia"/>
                <w:b/>
                <w:sz w:val="24"/>
              </w:rPr>
              <w:t xml:space="preserve">     </w:t>
            </w:r>
            <w:r>
              <w:rPr>
                <w:rFonts w:ascii="宋体" w:hAnsi="宋体"/>
                <w:b/>
                <w:sz w:val="24"/>
              </w:rPr>
              <w:t>《工业企业厂界环境噪声排放标准》</w:t>
            </w:r>
            <w:r>
              <w:rPr>
                <w:rFonts w:hint="eastAsia" w:ascii="宋体" w:hAnsi="宋体"/>
                <w:b/>
                <w:sz w:val="24"/>
              </w:rPr>
              <w:t xml:space="preserve">        </w:t>
            </w:r>
            <w:r>
              <w:rPr>
                <w:rFonts w:ascii="宋体" w:hAnsi="宋体"/>
                <w:b/>
                <w:sz w:val="24"/>
              </w:rPr>
              <w:t>单位：</w:t>
            </w:r>
            <w:r>
              <w:rPr>
                <w:b/>
                <w:sz w:val="24"/>
              </w:rPr>
              <w:t>dB(A)</w:t>
            </w:r>
          </w:p>
          <w:tbl>
            <w:tblPr>
              <w:tblStyle w:val="28"/>
              <w:tblW w:w="8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701"/>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5" w:hRule="atLeast"/>
                <w:jc w:val="center"/>
              </w:trPr>
              <w:tc>
                <w:tcPr>
                  <w:tcW w:w="1708" w:type="pct"/>
                  <w:noWrap w:val="0"/>
                  <w:vAlign w:val="center"/>
                </w:tcPr>
                <w:p>
                  <w:pPr>
                    <w:snapToGrid w:val="0"/>
                    <w:jc w:val="center"/>
                    <w:rPr>
                      <w:szCs w:val="21"/>
                    </w:rPr>
                  </w:pPr>
                  <w:r>
                    <w:t>（GB12348-2008</w:t>
                  </w:r>
                  <w:r>
                    <w:rPr>
                      <w:rFonts w:ascii="宋体" w:hAnsi="宋体"/>
                    </w:rPr>
                    <w:t>）</w:t>
                  </w:r>
                </w:p>
              </w:tc>
              <w:tc>
                <w:tcPr>
                  <w:tcW w:w="1646" w:type="pct"/>
                  <w:noWrap w:val="0"/>
                  <w:vAlign w:val="center"/>
                </w:tcPr>
                <w:p>
                  <w:pPr>
                    <w:snapToGrid w:val="0"/>
                    <w:jc w:val="center"/>
                    <w:rPr>
                      <w:szCs w:val="21"/>
                    </w:rPr>
                  </w:pPr>
                  <w:r>
                    <w:t>昼间</w:t>
                  </w:r>
                </w:p>
              </w:tc>
              <w:tc>
                <w:tcPr>
                  <w:tcW w:w="1646" w:type="pct"/>
                  <w:noWrap w:val="0"/>
                  <w:vAlign w:val="center"/>
                </w:tcPr>
                <w:p>
                  <w:pPr>
                    <w:snapToGrid w:val="0"/>
                    <w:jc w:val="center"/>
                    <w:rPr>
                      <w:szCs w:val="21"/>
                    </w:rPr>
                  </w:pPr>
                  <w: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708" w:type="pct"/>
                  <w:noWrap w:val="0"/>
                  <w:vAlign w:val="center"/>
                </w:tcPr>
                <w:p>
                  <w:pPr>
                    <w:snapToGrid w:val="0"/>
                    <w:jc w:val="center"/>
                    <w:rPr>
                      <w:szCs w:val="21"/>
                    </w:rPr>
                  </w:pPr>
                  <w:r>
                    <w:t>2</w:t>
                  </w:r>
                  <w:r>
                    <w:rPr>
                      <w:rFonts w:ascii="宋体" w:hAnsi="宋体"/>
                    </w:rPr>
                    <w:t>类</w:t>
                  </w:r>
                </w:p>
              </w:tc>
              <w:tc>
                <w:tcPr>
                  <w:tcW w:w="1646" w:type="pct"/>
                  <w:noWrap w:val="0"/>
                  <w:vAlign w:val="center"/>
                </w:tcPr>
                <w:p>
                  <w:pPr>
                    <w:snapToGrid w:val="0"/>
                    <w:jc w:val="center"/>
                    <w:rPr>
                      <w:szCs w:val="21"/>
                    </w:rPr>
                  </w:pPr>
                  <w:r>
                    <w:t>60</w:t>
                  </w:r>
                </w:p>
              </w:tc>
              <w:tc>
                <w:tcPr>
                  <w:tcW w:w="1646" w:type="pct"/>
                  <w:noWrap w:val="0"/>
                  <w:vAlign w:val="center"/>
                </w:tcPr>
                <w:p>
                  <w:pPr>
                    <w:snapToGrid w:val="0"/>
                    <w:jc w:val="center"/>
                    <w:rPr>
                      <w:szCs w:val="21"/>
                    </w:rPr>
                  </w:pPr>
                  <w:r>
                    <w:t>50</w:t>
                  </w:r>
                </w:p>
              </w:tc>
            </w:tr>
          </w:tbl>
          <w:p>
            <w:pPr>
              <w:adjustRightInd w:val="0"/>
              <w:snapToGrid w:val="0"/>
              <w:spacing w:line="360" w:lineRule="auto"/>
              <w:ind w:firstLine="480" w:firstLineChars="200"/>
              <w:rPr>
                <w:sz w:val="24"/>
              </w:rPr>
            </w:pPr>
            <w:r>
              <w:rPr>
                <w:rFonts w:hAnsi="宋体"/>
                <w:sz w:val="24"/>
              </w:rPr>
              <w:t>⑶固体废物排放标准</w:t>
            </w:r>
          </w:p>
          <w:p>
            <w:pPr>
              <w:adjustRightInd w:val="0"/>
              <w:snapToGrid w:val="0"/>
              <w:spacing w:line="360" w:lineRule="auto"/>
              <w:ind w:firstLine="480" w:firstLineChars="200"/>
              <w:rPr>
                <w:sz w:val="24"/>
                <w:highlight w:val="yellow"/>
              </w:rPr>
            </w:pPr>
            <w:r>
              <w:rPr>
                <w:sz w:val="24"/>
              </w:rPr>
              <w:t>一般固体废物执行《一般工业固体废物贮存</w:t>
            </w:r>
            <w:r>
              <w:rPr>
                <w:rFonts w:hint="eastAsia"/>
                <w:sz w:val="24"/>
              </w:rPr>
              <w:t>和</w:t>
            </w:r>
            <w:r>
              <w:rPr>
                <w:sz w:val="24"/>
              </w:rPr>
              <w:t>处置污染控制标准》（GB18599-20</w:t>
            </w:r>
            <w:r>
              <w:rPr>
                <w:rFonts w:hint="eastAsia"/>
                <w:sz w:val="24"/>
              </w:rPr>
              <w:t>20</w:t>
            </w:r>
            <w:r>
              <w:rPr>
                <w:sz w:val="24"/>
              </w:rPr>
              <w:t>）；生活垃圾执行《生活垃圾填埋污染控制标准》（GB16889-2008）；危险废物执行《危险废物贮存污染控制标准》（GB18597-2001）及2013年修改单中相关规定。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50" w:type="dxa"/>
            <w:noWrap w:val="0"/>
            <w:vAlign w:val="center"/>
          </w:tcPr>
          <w:p>
            <w:pPr>
              <w:adjustRightInd w:val="0"/>
              <w:snapToGrid w:val="0"/>
              <w:jc w:val="center"/>
              <w:rPr>
                <w:kern w:val="0"/>
                <w:sz w:val="24"/>
              </w:rPr>
            </w:pPr>
            <w:r>
              <w:rPr>
                <w:kern w:val="0"/>
                <w:sz w:val="24"/>
              </w:rPr>
              <w:t>其他</w:t>
            </w:r>
          </w:p>
        </w:tc>
        <w:tc>
          <w:tcPr>
            <w:tcW w:w="8243" w:type="dxa"/>
            <w:noWrap w:val="0"/>
            <w:vAlign w:val="center"/>
          </w:tcPr>
          <w:p>
            <w:pPr>
              <w:adjustRightInd w:val="0"/>
              <w:snapToGrid w:val="0"/>
              <w:spacing w:line="360" w:lineRule="auto"/>
              <w:ind w:firstLine="480" w:firstLineChars="200"/>
              <w:rPr>
                <w:rFonts w:hint="default" w:ascii="Times New Roman" w:hAnsi="Times New Roman" w:eastAsia="宋体" w:cs="Times New Roman"/>
                <w:sz w:val="24"/>
              </w:rPr>
            </w:pPr>
          </w:p>
          <w:p>
            <w:pPr>
              <w:adjustRightInd w:val="0"/>
              <w:snapToGrid w:val="0"/>
              <w:spacing w:line="360" w:lineRule="auto"/>
              <w:ind w:firstLine="480" w:firstLineChars="200"/>
              <w:rPr>
                <w:rFonts w:hint="default" w:ascii="Times New Roman" w:hAnsi="Times New Roman" w:eastAsia="宋体" w:cs="Times New Roman"/>
                <w:sz w:val="24"/>
              </w:rPr>
            </w:pPr>
          </w:p>
          <w:p>
            <w:pPr>
              <w:pStyle w:val="35"/>
              <w:rPr>
                <w:rFonts w:hint="default"/>
              </w:rPr>
            </w:pPr>
          </w:p>
          <w:p>
            <w:pPr>
              <w:adjustRightInd w:val="0"/>
              <w:snapToGrid w:val="0"/>
              <w:spacing w:line="360" w:lineRule="auto"/>
              <w:ind w:firstLine="480" w:firstLineChars="200"/>
              <w:rPr>
                <w:rFonts w:hint="default" w:ascii="Times New Roman" w:hAnsi="Times New Roman" w:eastAsia="宋体" w:cs="Times New Roman"/>
                <w:sz w:val="24"/>
              </w:rPr>
            </w:pPr>
          </w:p>
          <w:p>
            <w:pPr>
              <w:adjustRightInd w:val="0"/>
              <w:snapToGrid w:val="0"/>
              <w:spacing w:line="360" w:lineRule="auto"/>
              <w:ind w:firstLine="480" w:firstLineChars="200"/>
              <w:rPr>
                <w:rFonts w:hint="default" w:ascii="Times New Roman" w:hAnsi="Times New Roman" w:eastAsia="宋体" w:cs="Times New Roman"/>
                <w:sz w:val="24"/>
              </w:rPr>
            </w:pP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根据《国家环境保护“十三五”规划基本思路》，主要污染物总量控制指标， 继续实施全国二氧化硫、氮氧化物、化学需氧量、氨氮排放总量控制，对全国实施重点行业工业烟粉尘总量控制，对总氮、总磷和挥发性有机物(VOCs) 实施重点区域与重点行业相结合的总量控制。 </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结合项目所处地理位置、当地环境质量现状水平、工程污染物排放特点， 结合《排污许可证申请与核发技术规范 总则》（HJ942-2018），确定本项目不申请总量控制。</w:t>
            </w: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rPr>
                <w:rFonts w:hint="default" w:ascii="Times New Roman" w:hAnsi="Times New Roman" w:eastAsia="宋体" w:cs="Times New Roman"/>
                <w:sz w:val="24"/>
              </w:rPr>
            </w:pPr>
          </w:p>
          <w:p>
            <w:pPr>
              <w:pStyle w:val="35"/>
              <w:ind w:left="0" w:leftChars="0" w:firstLine="0" w:firstLineChars="0"/>
              <w:rPr>
                <w:rFonts w:hint="default" w:ascii="Times New Roman" w:hAnsi="Times New Roman" w:eastAsia="宋体" w:cs="Times New Roman"/>
                <w:sz w:val="24"/>
              </w:rPr>
            </w:pPr>
          </w:p>
          <w:p>
            <w:pPr>
              <w:pStyle w:val="35"/>
              <w:rPr>
                <w:rFonts w:hint="eastAsia" w:ascii="Times New Roman" w:hAnsi="Times New Roman" w:eastAsia="宋体" w:cs="Times New Roman"/>
                <w:sz w:val="24"/>
              </w:rPr>
            </w:pPr>
          </w:p>
          <w:p>
            <w:pPr>
              <w:adjustRightInd w:val="0"/>
              <w:snapToGrid w:val="0"/>
              <w:rPr>
                <w:kern w:val="0"/>
                <w:szCs w:val="21"/>
              </w:rPr>
            </w:pPr>
          </w:p>
        </w:tc>
      </w:tr>
    </w:tbl>
    <w:p>
      <w:pPr>
        <w:pStyle w:val="25"/>
        <w:adjustRightInd w:val="0"/>
        <w:snapToGrid w:val="0"/>
        <w:spacing w:before="0" w:beforeAutospacing="0" w:after="0" w:afterAutospacing="0" w:line="360" w:lineRule="auto"/>
        <w:jc w:val="both"/>
        <w:outlineLvl w:val="0"/>
        <w:rPr>
          <w:rFonts w:ascii="Times New Roman" w:hAnsi="Times New Roman" w:eastAsia="黑体"/>
          <w:snapToGrid w:val="0"/>
          <w:sz w:val="30"/>
          <w:szCs w:val="30"/>
          <w:highlight w:val="yellow"/>
        </w:rPr>
      </w:pPr>
      <w:r>
        <w:rPr>
          <w:rFonts w:hint="eastAsia" w:ascii="Times New Roman" w:hAnsi="Times New Roman" w:eastAsia="黑体" w:cs="Times New Roman"/>
          <w:snapToGrid w:val="0"/>
          <w:color w:val="000000"/>
          <w:sz w:val="30"/>
          <w:szCs w:val="30"/>
          <w:lang w:val="en-US" w:eastAsia="zh-CN"/>
        </w:rPr>
        <w:t>四</w:t>
      </w:r>
      <w:r>
        <w:rPr>
          <w:rFonts w:hint="default" w:ascii="Times New Roman" w:hAnsi="Times New Roman" w:eastAsia="黑体" w:cs="Times New Roman"/>
          <w:snapToGrid w:val="0"/>
          <w:color w:val="000000"/>
          <w:sz w:val="30"/>
          <w:szCs w:val="30"/>
          <w:lang w:val="en-US" w:eastAsia="zh-CN"/>
        </w:rPr>
        <w:t>、</w:t>
      </w:r>
      <w:r>
        <w:rPr>
          <w:rFonts w:hint="default" w:ascii="Times New Roman" w:hAnsi="Times New Roman" w:eastAsia="黑体" w:cs="Times New Roman"/>
          <w:snapToGrid w:val="0"/>
          <w:color w:val="000000"/>
          <w:sz w:val="30"/>
          <w:szCs w:val="30"/>
        </w:rPr>
        <w:t>生态环境影响分析</w:t>
      </w:r>
      <w:bookmarkEnd w:id="24"/>
    </w:p>
    <w:tbl>
      <w:tblPr>
        <w:tblStyle w:val="28"/>
        <w:tblW w:w="9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5"/>
        <w:gridCol w:w="92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535" w:type="dxa"/>
            <w:noWrap w:val="0"/>
            <w:tcMar>
              <w:left w:w="28" w:type="dxa"/>
              <w:right w:w="28" w:type="dxa"/>
            </w:tcMar>
            <w:vAlign w:val="center"/>
          </w:tcPr>
          <w:p>
            <w:pPr>
              <w:pStyle w:val="25"/>
              <w:adjustRightInd w:val="0"/>
              <w:snapToGrid w:val="0"/>
              <w:spacing w:before="0" w:beforeAutospacing="0" w:after="0" w:afterAutospacing="0"/>
              <w:jc w:val="center"/>
              <w:rPr>
                <w:rFonts w:ascii="Times New Roman" w:hAnsi="Times New Roman"/>
                <w:bCs/>
                <w:kern w:val="2"/>
                <w:sz w:val="21"/>
                <w:szCs w:val="21"/>
                <w:highlight w:val="yellow"/>
                <w:lang w:val="en-US" w:eastAsia="zh-CN"/>
              </w:rPr>
            </w:pPr>
            <w:bookmarkStart w:id="26" w:name="_Hlk49796138"/>
            <w:r>
              <w:rPr>
                <w:rFonts w:ascii="Times New Roman" w:hAnsi="Times New Roman"/>
                <w:bCs/>
                <w:spacing w:val="10"/>
                <w:kern w:val="2"/>
                <w:sz w:val="24"/>
                <w:szCs w:val="24"/>
                <w:lang w:val="en-US" w:eastAsia="zh-CN"/>
              </w:rPr>
              <w:t>施工期生态环境影响分析</w:t>
            </w:r>
            <w:bookmarkEnd w:id="26"/>
          </w:p>
        </w:tc>
        <w:tc>
          <w:tcPr>
            <w:tcW w:w="9244" w:type="dxa"/>
            <w:noWrap w:val="0"/>
            <w:vAlign w:val="top"/>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b/>
                <w:color w:val="auto"/>
                <w:spacing w:val="6"/>
                <w:sz w:val="24"/>
                <w:highlight w:val="none"/>
              </w:rPr>
            </w:pPr>
            <w:r>
              <w:rPr>
                <w:rFonts w:hint="default" w:ascii="Times New Roman" w:hAnsi="Times New Roman" w:eastAsia="宋体" w:cs="Times New Roman"/>
                <w:b/>
                <w:color w:val="auto"/>
                <w:spacing w:val="6"/>
                <w:sz w:val="24"/>
                <w:highlight w:val="none"/>
              </w:rPr>
              <w:t>1、</w:t>
            </w:r>
            <w:r>
              <w:rPr>
                <w:rFonts w:hint="eastAsia" w:ascii="Times New Roman" w:hAnsi="Times New Roman" w:eastAsia="宋体" w:cs="Times New Roman"/>
                <w:b/>
                <w:color w:val="auto"/>
                <w:spacing w:val="6"/>
                <w:sz w:val="24"/>
                <w:highlight w:val="none"/>
                <w:lang w:eastAsia="zh-CN"/>
              </w:rPr>
              <w:t>施工期</w:t>
            </w:r>
            <w:r>
              <w:rPr>
                <w:rFonts w:hint="default" w:ascii="Times New Roman" w:hAnsi="Times New Roman" w:eastAsia="宋体" w:cs="Times New Roman"/>
                <w:b/>
                <w:color w:val="auto"/>
                <w:spacing w:val="6"/>
                <w:sz w:val="24"/>
                <w:highlight w:val="none"/>
              </w:rPr>
              <w:t>大气环境影响分析</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bookmarkStart w:id="27" w:name="_Toc25068_WPSOffice_Level3"/>
            <w:r>
              <w:rPr>
                <w:rFonts w:hint="default" w:hAnsi="宋体"/>
                <w:color w:val="auto"/>
                <w:sz w:val="24"/>
                <w:highlight w:val="none"/>
              </w:rPr>
              <w:t>⑴扬尘影响分析</w:t>
            </w:r>
            <w:bookmarkEnd w:id="27"/>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①运输道路扬尘影响</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道路扬尘污染主要在运输道路两边扩散，最大扬尘浓度出现在道路两边，随着离开路边的距离增加浓度也逐渐递减而趋于背景值，一般条件下影响范围在路边两侧</w:t>
            </w:r>
            <w:r>
              <w:rPr>
                <w:rFonts w:hint="default"/>
                <w:color w:val="auto"/>
                <w:sz w:val="24"/>
                <w:highlight w:val="none"/>
              </w:rPr>
              <w:t>30m</w:t>
            </w:r>
            <w:r>
              <w:rPr>
                <w:rFonts w:hint="default" w:hAnsi="宋体"/>
                <w:color w:val="auto"/>
                <w:sz w:val="24"/>
                <w:highlight w:val="none"/>
              </w:rPr>
              <w:t>以内。据有关文献资料介绍，车辆行驶产生的扬尘占总扬尘的</w:t>
            </w:r>
            <w:r>
              <w:rPr>
                <w:rFonts w:hint="default"/>
                <w:color w:val="auto"/>
                <w:sz w:val="24"/>
                <w:highlight w:val="none"/>
              </w:rPr>
              <w:t>60%</w:t>
            </w:r>
            <w:r>
              <w:rPr>
                <w:rFonts w:hint="default" w:hAnsi="宋体"/>
                <w:color w:val="auto"/>
                <w:sz w:val="24"/>
                <w:highlight w:val="none"/>
              </w:rPr>
              <w:t>上，车辆行驶产生的扬尘在完全干燥情况下，以一辆</w:t>
            </w:r>
            <w:r>
              <w:rPr>
                <w:rFonts w:hint="default"/>
                <w:color w:val="auto"/>
                <w:sz w:val="24"/>
                <w:highlight w:val="none"/>
              </w:rPr>
              <w:t>10t</w:t>
            </w:r>
            <w:r>
              <w:rPr>
                <w:rFonts w:hint="default" w:hAnsi="宋体"/>
                <w:color w:val="auto"/>
                <w:sz w:val="24"/>
                <w:highlight w:val="none"/>
              </w:rPr>
              <w:t>卡车，通过一段长度为</w:t>
            </w:r>
            <w:r>
              <w:rPr>
                <w:rFonts w:hint="default"/>
                <w:color w:val="auto"/>
                <w:sz w:val="24"/>
                <w:highlight w:val="none"/>
              </w:rPr>
              <w:t>1km</w:t>
            </w:r>
            <w:r>
              <w:rPr>
                <w:rFonts w:hint="default" w:hAnsi="宋体"/>
                <w:color w:val="auto"/>
                <w:sz w:val="24"/>
                <w:highlight w:val="none"/>
              </w:rPr>
              <w:t>的路面为例，在不同路面清洁程度，不同行驶速度情况下的扬尘量见表</w:t>
            </w:r>
            <w:r>
              <w:rPr>
                <w:rFonts w:hint="eastAsia"/>
                <w:color w:val="auto"/>
                <w:sz w:val="24"/>
                <w:highlight w:val="none"/>
                <w:lang w:val="en-US" w:eastAsia="zh-CN"/>
              </w:rPr>
              <w:t>4-1</w:t>
            </w:r>
            <w:r>
              <w:rPr>
                <w:rFonts w:hint="default" w:hAnsi="宋体"/>
                <w:color w:val="auto"/>
                <w:sz w:val="24"/>
                <w:highlight w:val="none"/>
              </w:rPr>
              <w:t>。</w:t>
            </w:r>
          </w:p>
          <w:p>
            <w:pPr>
              <w:keepNext w:val="0"/>
              <w:keepLines w:val="0"/>
              <w:suppressLineNumbers w:val="0"/>
              <w:adjustRightInd w:val="0"/>
              <w:snapToGrid w:val="0"/>
              <w:spacing w:before="0" w:beforeAutospacing="0" w:after="0" w:afterAutospacing="0" w:line="360" w:lineRule="auto"/>
              <w:ind w:left="0" w:right="0" w:firstLine="482"/>
              <w:rPr>
                <w:rFonts w:hint="default"/>
                <w:b/>
                <w:color w:val="auto"/>
                <w:sz w:val="24"/>
                <w:highlight w:val="none"/>
              </w:rPr>
            </w:pPr>
            <w:r>
              <w:rPr>
                <w:rFonts w:hint="default" w:hAnsi="宋体"/>
                <w:b/>
                <w:color w:val="auto"/>
                <w:sz w:val="24"/>
                <w:highlight w:val="none"/>
              </w:rPr>
              <w:t>表</w:t>
            </w:r>
            <w:r>
              <w:rPr>
                <w:rFonts w:hint="eastAsia"/>
                <w:b/>
                <w:color w:val="auto"/>
                <w:sz w:val="24"/>
                <w:highlight w:val="none"/>
                <w:lang w:val="en-US" w:eastAsia="zh-CN"/>
              </w:rPr>
              <w:t>4-1</w:t>
            </w:r>
            <w:r>
              <w:rPr>
                <w:rFonts w:hint="default"/>
                <w:b/>
                <w:color w:val="auto"/>
                <w:sz w:val="24"/>
                <w:highlight w:val="none"/>
              </w:rPr>
              <w:t xml:space="preserve">   </w:t>
            </w:r>
            <w:r>
              <w:rPr>
                <w:rFonts w:hint="default" w:hAnsi="宋体"/>
                <w:b/>
                <w:color w:val="auto"/>
                <w:sz w:val="24"/>
                <w:highlight w:val="none"/>
              </w:rPr>
              <w:t>不同车速和地面清洁程度的汽车扬尘量</w:t>
            </w:r>
            <w:r>
              <w:rPr>
                <w:rFonts w:hint="default"/>
                <w:b/>
                <w:color w:val="auto"/>
                <w:sz w:val="24"/>
                <w:highlight w:val="none"/>
              </w:rPr>
              <w:t xml:space="preserve">      </w:t>
            </w:r>
            <w:r>
              <w:rPr>
                <w:rFonts w:hint="default" w:hAnsi="宋体"/>
                <w:b/>
                <w:color w:val="auto"/>
                <w:sz w:val="24"/>
                <w:highlight w:val="none"/>
              </w:rPr>
              <w:t>单位：</w:t>
            </w:r>
            <w:r>
              <w:rPr>
                <w:rFonts w:hint="default"/>
                <w:b/>
                <w:color w:val="auto"/>
                <w:sz w:val="24"/>
                <w:highlight w:val="none"/>
              </w:rPr>
              <w:t>kg/</w:t>
            </w:r>
            <w:r>
              <w:rPr>
                <w:rFonts w:hint="default" w:hAnsi="宋体"/>
                <w:b/>
                <w:color w:val="auto"/>
                <w:sz w:val="24"/>
                <w:highlight w:val="none"/>
              </w:rPr>
              <w:t>辆</w:t>
            </w:r>
            <w:r>
              <w:rPr>
                <w:rFonts w:hint="default"/>
                <w:b/>
                <w:color w:val="auto"/>
                <w:sz w:val="24"/>
                <w:highlight w:val="none"/>
              </w:rPr>
              <w:t>·km</w:t>
            </w:r>
          </w:p>
          <w:tbl>
            <w:tblPr>
              <w:tblStyle w:val="28"/>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1318"/>
              <w:gridCol w:w="1319"/>
              <w:gridCol w:w="1320"/>
              <w:gridCol w:w="1320"/>
              <w:gridCol w:w="131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P 车速</w:t>
                  </w: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0.1(kg/m</w:t>
                  </w:r>
                  <w:r>
                    <w:rPr>
                      <w:rFonts w:hint="default"/>
                      <w:color w:val="auto"/>
                      <w:szCs w:val="21"/>
                      <w:highlight w:val="none"/>
                      <w:vertAlign w:val="superscript"/>
                    </w:rPr>
                    <w:t>2</w:t>
                  </w:r>
                  <w:r>
                    <w:rPr>
                      <w:rFonts w:hint="default"/>
                      <w:color w:val="auto"/>
                      <w:szCs w:val="21"/>
                      <w:highlight w:val="none"/>
                    </w:rPr>
                    <w:t>)</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0.2(kg/m</w:t>
                  </w:r>
                  <w:r>
                    <w:rPr>
                      <w:rFonts w:hint="default"/>
                      <w:color w:val="auto"/>
                      <w:szCs w:val="21"/>
                      <w:highlight w:val="none"/>
                      <w:vertAlign w:val="superscript"/>
                    </w:rPr>
                    <w:t>2</w:t>
                  </w:r>
                  <w:r>
                    <w:rPr>
                      <w:rFonts w:hint="default"/>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0.3(kgm</w:t>
                  </w:r>
                  <w:r>
                    <w:rPr>
                      <w:rFonts w:hint="default"/>
                      <w:color w:val="auto"/>
                      <w:szCs w:val="21"/>
                      <w:highlight w:val="none"/>
                      <w:vertAlign w:val="superscript"/>
                    </w:rPr>
                    <w:t>2</w:t>
                  </w:r>
                  <w:r>
                    <w:rPr>
                      <w:rFonts w:hint="default"/>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0.4(kg/m</w:t>
                  </w:r>
                  <w:r>
                    <w:rPr>
                      <w:rFonts w:hint="default"/>
                      <w:color w:val="auto"/>
                      <w:szCs w:val="21"/>
                      <w:highlight w:val="none"/>
                      <w:vertAlign w:val="superscript"/>
                    </w:rPr>
                    <w:t>2</w:t>
                  </w:r>
                  <w:r>
                    <w:rPr>
                      <w:rFonts w:hint="default"/>
                      <w:color w:val="auto"/>
                      <w:szCs w:val="21"/>
                      <w:highlight w:val="none"/>
                    </w:rPr>
                    <w:t>)</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0.5(kg/m</w:t>
                  </w:r>
                  <w:r>
                    <w:rPr>
                      <w:rFonts w:hint="default"/>
                      <w:color w:val="auto"/>
                      <w:szCs w:val="21"/>
                      <w:highlight w:val="none"/>
                      <w:vertAlign w:val="superscript"/>
                    </w:rPr>
                    <w:t>2</w:t>
                  </w:r>
                  <w:r>
                    <w:rPr>
                      <w:rFonts w:hint="default"/>
                      <w:color w:val="auto"/>
                      <w:szCs w:val="21"/>
                      <w:highlight w:val="none"/>
                    </w:rPr>
                    <w:t>)</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1(kg/m</w:t>
                  </w:r>
                  <w:r>
                    <w:rPr>
                      <w:rFonts w:hint="default"/>
                      <w:color w:val="auto"/>
                      <w:szCs w:val="21"/>
                      <w:highlight w:val="none"/>
                      <w:vertAlign w:val="superscript"/>
                    </w:rPr>
                    <w:t>2</w:t>
                  </w:r>
                  <w:r>
                    <w:rPr>
                      <w:rFonts w:hint="default"/>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5(km/hr)</w:t>
                  </w: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0.0511</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0.0859</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0.1163</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0.1444</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0.1707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0.2871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10(km/hr)</w:t>
                  </w: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0.1021</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0.1717</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0.2328</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0.2888</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0.3414</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15(km/hr)</w:t>
                  </w: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0.1531</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0.2576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0.3491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0.4332</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0.5121</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25(km/hr)</w:t>
                  </w:r>
                </w:p>
              </w:tc>
              <w:tc>
                <w:tcPr>
                  <w:tcW w:w="13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0.2553</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0.4293</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0.5819</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0.7220</w:t>
                  </w:r>
                </w:p>
              </w:tc>
              <w:tc>
                <w:tcPr>
                  <w:tcW w:w="13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0.8536</w:t>
                  </w:r>
                </w:p>
              </w:tc>
              <w:tc>
                <w:tcPr>
                  <w:tcW w:w="13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1.4355</w:t>
                  </w:r>
                </w:p>
              </w:tc>
            </w:tr>
          </w:tbl>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由此可见，在同样路面清洁程度条件下，车速越快，扬尘量越大；而在同样车速情况下，路面越脏，则扬尘量越大。根据类比调查，抑制扬尘的一个简洁有效的措施是洒水，如果在施工期内对车辆行驶的路面实施洒水抑尘，每天洒水</w:t>
            </w:r>
            <w:r>
              <w:rPr>
                <w:rFonts w:hint="default"/>
                <w:color w:val="auto"/>
                <w:sz w:val="24"/>
                <w:highlight w:val="none"/>
              </w:rPr>
              <w:t>4-5</w:t>
            </w:r>
            <w:r>
              <w:rPr>
                <w:rFonts w:hint="default" w:hAnsi="宋体"/>
                <w:color w:val="auto"/>
                <w:sz w:val="24"/>
                <w:highlight w:val="none"/>
              </w:rPr>
              <w:t>次，可使扬尘减少</w:t>
            </w:r>
            <w:r>
              <w:rPr>
                <w:rFonts w:hint="default"/>
                <w:color w:val="auto"/>
                <w:sz w:val="24"/>
                <w:highlight w:val="none"/>
              </w:rPr>
              <w:t>70%</w:t>
            </w:r>
            <w:r>
              <w:rPr>
                <w:rFonts w:hint="default" w:hAnsi="宋体"/>
                <w:color w:val="auto"/>
                <w:sz w:val="24"/>
                <w:highlight w:val="none"/>
              </w:rPr>
              <w:t>左右。</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kern w:val="0"/>
                <w:sz w:val="24"/>
                <w:highlight w:val="none"/>
              </w:rPr>
            </w:pPr>
            <w:r>
              <w:rPr>
                <w:rFonts w:hint="default" w:hAnsi="宋体"/>
                <w:color w:val="auto"/>
                <w:sz w:val="24"/>
                <w:highlight w:val="none"/>
              </w:rPr>
              <w:t>②场地平整扬尘影响分析</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场地平整中由于施工土石方过程破坏了地表结构，会造成地面扬尘污染环境，其扬尘量的大小与施工现场条件、管理水平、机械化程度及施工季节、土质及天气等诸多因素有关，是一个复杂、较难定量的问题。本次评价采用类比法，利用现有其他施工场地实测资料对区域环境空气质量影响进行分析。</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北京市环境保护科学研究院曾对</w:t>
            </w:r>
            <w:r>
              <w:rPr>
                <w:rFonts w:hint="default"/>
                <w:color w:val="auto"/>
                <w:sz w:val="24"/>
                <w:highlight w:val="none"/>
              </w:rPr>
              <w:t>5</w:t>
            </w:r>
            <w:r>
              <w:rPr>
                <w:rFonts w:hint="default" w:hAnsi="宋体"/>
                <w:color w:val="auto"/>
                <w:sz w:val="24"/>
                <w:highlight w:val="none"/>
              </w:rPr>
              <w:t>个建筑工程施工工地的扬尘进行了测定，测定时风速为</w:t>
            </w:r>
            <w:r>
              <w:rPr>
                <w:rFonts w:hint="default"/>
                <w:color w:val="auto"/>
                <w:sz w:val="24"/>
                <w:highlight w:val="none"/>
              </w:rPr>
              <w:t>2.4m/s</w:t>
            </w:r>
            <w:r>
              <w:rPr>
                <w:rFonts w:hint="default" w:hAnsi="宋体"/>
                <w:color w:val="auto"/>
                <w:sz w:val="24"/>
                <w:highlight w:val="none"/>
              </w:rPr>
              <w:t>，测试结果见</w:t>
            </w:r>
            <w:r>
              <w:rPr>
                <w:rFonts w:hint="eastAsia" w:hAnsi="宋体"/>
                <w:color w:val="auto"/>
                <w:sz w:val="24"/>
                <w:highlight w:val="none"/>
                <w:lang w:val="en-US" w:eastAsia="zh-CN"/>
              </w:rPr>
              <w:t>4-2</w:t>
            </w:r>
            <w:r>
              <w:rPr>
                <w:rFonts w:hint="default" w:hAnsi="宋体"/>
                <w:color w:val="auto"/>
                <w:sz w:val="24"/>
                <w:highlight w:val="none"/>
              </w:rPr>
              <w:t>。</w:t>
            </w:r>
          </w:p>
          <w:p>
            <w:pPr>
              <w:keepNext w:val="0"/>
              <w:keepLines w:val="0"/>
              <w:suppressLineNumbers w:val="0"/>
              <w:adjustRightInd w:val="0"/>
              <w:snapToGrid w:val="0"/>
              <w:spacing w:before="0" w:beforeAutospacing="0" w:after="0" w:afterAutospacing="0" w:line="360" w:lineRule="auto"/>
              <w:ind w:left="0" w:right="0" w:firstLine="482"/>
              <w:rPr>
                <w:rFonts w:hint="default"/>
                <w:b/>
                <w:color w:val="auto"/>
                <w:sz w:val="24"/>
                <w:highlight w:val="none"/>
              </w:rPr>
            </w:pPr>
            <w:r>
              <w:rPr>
                <w:rFonts w:hint="default" w:hAnsi="宋体"/>
                <w:b/>
                <w:color w:val="auto"/>
                <w:sz w:val="24"/>
                <w:highlight w:val="none"/>
              </w:rPr>
              <w:t>表</w:t>
            </w:r>
            <w:r>
              <w:rPr>
                <w:rFonts w:hint="eastAsia"/>
                <w:b/>
                <w:color w:val="auto"/>
                <w:sz w:val="24"/>
                <w:highlight w:val="none"/>
                <w:lang w:val="en-US" w:eastAsia="zh-CN"/>
              </w:rPr>
              <w:t>4-2</w:t>
            </w:r>
            <w:r>
              <w:rPr>
                <w:rFonts w:hint="default"/>
                <w:b/>
                <w:color w:val="auto"/>
                <w:sz w:val="24"/>
                <w:highlight w:val="none"/>
              </w:rPr>
              <w:t xml:space="preserve">        </w:t>
            </w:r>
            <w:r>
              <w:rPr>
                <w:rFonts w:hint="default" w:hAnsi="宋体"/>
                <w:b/>
                <w:color w:val="auto"/>
                <w:sz w:val="24"/>
                <w:highlight w:val="none"/>
              </w:rPr>
              <w:t>建筑施工工地扬尘污染情况</w:t>
            </w:r>
          </w:p>
          <w:tbl>
            <w:tblPr>
              <w:tblStyle w:val="28"/>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1750"/>
              <w:gridCol w:w="1554"/>
              <w:gridCol w:w="1237"/>
              <w:gridCol w:w="1238"/>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工程名称</w:t>
                  </w:r>
                </w:p>
              </w:tc>
              <w:tc>
                <w:tcPr>
                  <w:tcW w:w="69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TSP浓度（ug/m³）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color w:val="auto"/>
                      <w:szCs w:val="21"/>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工地上风向</w:t>
                  </w:r>
                </w:p>
              </w:tc>
              <w:tc>
                <w:tcPr>
                  <w:tcW w:w="15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工地内</w:t>
                  </w:r>
                </w:p>
              </w:tc>
              <w:tc>
                <w:tcPr>
                  <w:tcW w:w="364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工地下风向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color w:val="auto"/>
                      <w:szCs w:val="21"/>
                      <w:highlight w:val="none"/>
                    </w:rPr>
                  </w:pP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50m</w:t>
                  </w:r>
                </w:p>
              </w:tc>
              <w:tc>
                <w:tcPr>
                  <w:tcW w:w="15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color w:val="auto"/>
                      <w:szCs w:val="21"/>
                      <w:highlight w:val="none"/>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50m</w:t>
                  </w:r>
                </w:p>
              </w:tc>
              <w:tc>
                <w:tcPr>
                  <w:tcW w:w="12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100m</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150m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办工地</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328</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759</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502</w:t>
                  </w:r>
                </w:p>
              </w:tc>
              <w:tc>
                <w:tcPr>
                  <w:tcW w:w="12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367</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金属材料公司工地</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325</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618</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472</w:t>
                  </w:r>
                </w:p>
              </w:tc>
              <w:tc>
                <w:tcPr>
                  <w:tcW w:w="12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356</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广播电视部工地</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311</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596</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434</w:t>
                  </w:r>
                </w:p>
              </w:tc>
              <w:tc>
                <w:tcPr>
                  <w:tcW w:w="12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372</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劲松小区工地</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303</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409</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538</w:t>
                  </w:r>
                </w:p>
              </w:tc>
              <w:tc>
                <w:tcPr>
                  <w:tcW w:w="12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465</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平均值</w:t>
                  </w:r>
                </w:p>
              </w:tc>
              <w:tc>
                <w:tcPr>
                  <w:tcW w:w="17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316.7</w:t>
                  </w:r>
                </w:p>
              </w:tc>
              <w:tc>
                <w:tcPr>
                  <w:tcW w:w="15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595.5</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486.5</w:t>
                  </w:r>
                </w:p>
              </w:tc>
              <w:tc>
                <w:tcPr>
                  <w:tcW w:w="123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390</w:t>
                  </w:r>
                </w:p>
              </w:tc>
              <w:tc>
                <w:tcPr>
                  <w:tcW w:w="117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332</w:t>
                  </w:r>
                </w:p>
              </w:tc>
            </w:tr>
          </w:tbl>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color w:val="auto"/>
                <w:sz w:val="24"/>
                <w:highlight w:val="none"/>
              </w:rPr>
              <w:t>由表</w:t>
            </w:r>
            <w:r>
              <w:rPr>
                <w:rFonts w:hint="eastAsia"/>
                <w:color w:val="auto"/>
                <w:sz w:val="24"/>
                <w:highlight w:val="none"/>
                <w:lang w:val="en-US" w:eastAsia="zh-CN"/>
              </w:rPr>
              <w:t>4-2</w:t>
            </w:r>
            <w:r>
              <w:rPr>
                <w:rFonts w:hint="default"/>
                <w:color w:val="auto"/>
                <w:sz w:val="24"/>
                <w:highlight w:val="none"/>
              </w:rPr>
              <w:t>监测结果可看出：</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kern w:val="0"/>
                <w:sz w:val="24"/>
                <w:highlight w:val="none"/>
              </w:rPr>
            </w:pPr>
            <w:r>
              <w:rPr>
                <w:rFonts w:hint="default" w:hAnsi="宋体"/>
                <w:color w:val="auto"/>
                <w:sz w:val="24"/>
                <w:highlight w:val="none"/>
              </w:rPr>
              <w:t>①</w:t>
            </w:r>
            <w:r>
              <w:rPr>
                <w:rFonts w:hint="default"/>
                <w:color w:val="auto"/>
                <w:sz w:val="24"/>
                <w:highlight w:val="none"/>
              </w:rPr>
              <w:t>建筑施工扬尘严重，当风速为2.4m/s时，工地内的TSP浓度为上风向对照点的1.5-2.3倍，平均1.88倍，相当于评价标准的1.4-2.5倍，平均1.98倍；</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②</w:t>
            </w:r>
            <w:r>
              <w:rPr>
                <w:rFonts w:hint="default"/>
                <w:color w:val="auto"/>
                <w:sz w:val="24"/>
                <w:highlight w:val="none"/>
              </w:rPr>
              <w:t>建筑施工扬尘的影响范围为其下风向150m之内，被影响地区的TSP浓度平均值为0.491mg/m³，为上风向对照点的1.5倍，相当于评价标准的1.6倍；</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color w:val="auto"/>
                <w:sz w:val="24"/>
                <w:highlight w:val="none"/>
              </w:rPr>
              <w:t>在施工期间，建设单位一般都采取洒水措施用于降尘，表</w:t>
            </w:r>
            <w:r>
              <w:rPr>
                <w:rFonts w:hint="eastAsia"/>
                <w:color w:val="auto"/>
                <w:sz w:val="24"/>
                <w:highlight w:val="none"/>
              </w:rPr>
              <w:t>1</w:t>
            </w:r>
            <w:r>
              <w:rPr>
                <w:rFonts w:hint="eastAsia"/>
                <w:color w:val="auto"/>
                <w:sz w:val="24"/>
                <w:highlight w:val="none"/>
                <w:lang w:val="en-US" w:eastAsia="zh-CN"/>
              </w:rPr>
              <w:t>7</w:t>
            </w:r>
            <w:r>
              <w:rPr>
                <w:rFonts w:hint="default"/>
                <w:color w:val="auto"/>
                <w:sz w:val="24"/>
                <w:highlight w:val="none"/>
              </w:rPr>
              <w:t>为施工场地洒水抑尘的试验结果，由该表数据可看出对施工场地实施每天洒水4-5次进行抑尘，可有效地控制施工扬尘，并可将TSP污染距离缩小到20-50m范围。</w:t>
            </w:r>
          </w:p>
          <w:p>
            <w:pPr>
              <w:keepNext w:val="0"/>
              <w:keepLines w:val="0"/>
              <w:suppressLineNumbers w:val="0"/>
              <w:adjustRightInd w:val="0"/>
              <w:snapToGrid w:val="0"/>
              <w:spacing w:before="0" w:beforeAutospacing="0" w:after="0" w:afterAutospacing="0" w:line="360" w:lineRule="auto"/>
              <w:ind w:left="0" w:right="0" w:firstLine="482"/>
              <w:rPr>
                <w:rFonts w:hint="default"/>
                <w:b/>
                <w:color w:val="auto"/>
                <w:sz w:val="24"/>
                <w:highlight w:val="none"/>
              </w:rPr>
            </w:pPr>
            <w:r>
              <w:rPr>
                <w:rFonts w:hint="default"/>
                <w:b/>
                <w:color w:val="auto"/>
                <w:sz w:val="24"/>
                <w:highlight w:val="none"/>
              </w:rPr>
              <w:t>表</w:t>
            </w:r>
            <w:r>
              <w:rPr>
                <w:rFonts w:hint="eastAsia"/>
                <w:b/>
                <w:color w:val="auto"/>
                <w:sz w:val="24"/>
                <w:highlight w:val="none"/>
                <w:lang w:val="en-US" w:eastAsia="zh-CN"/>
              </w:rPr>
              <w:t>4-3</w:t>
            </w:r>
            <w:r>
              <w:rPr>
                <w:rFonts w:hint="default"/>
                <w:b/>
                <w:color w:val="auto"/>
                <w:sz w:val="24"/>
                <w:highlight w:val="none"/>
              </w:rPr>
              <w:t xml:space="preserve">           施工场地洒水抑尘试验结果            单位：mg/m</w:t>
            </w:r>
            <w:r>
              <w:rPr>
                <w:rFonts w:hint="default"/>
                <w:b/>
                <w:color w:val="auto"/>
                <w:sz w:val="24"/>
                <w:highlight w:val="none"/>
                <w:vertAlign w:val="superscript"/>
              </w:rPr>
              <w:t>3</w:t>
            </w:r>
          </w:p>
          <w:tbl>
            <w:tblPr>
              <w:tblStyle w:val="28"/>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1535"/>
              <w:gridCol w:w="1532"/>
              <w:gridCol w:w="1532"/>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06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距离</w:t>
                  </w:r>
                </w:p>
              </w:tc>
              <w:tc>
                <w:tcPr>
                  <w:tcW w:w="1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5m</w:t>
                  </w:r>
                </w:p>
              </w:tc>
              <w:tc>
                <w:tcPr>
                  <w:tcW w:w="1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20m</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50m</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TSP小时</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不洒水</w:t>
                  </w:r>
                </w:p>
              </w:tc>
              <w:tc>
                <w:tcPr>
                  <w:tcW w:w="1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10.14</w:t>
                  </w:r>
                </w:p>
              </w:tc>
              <w:tc>
                <w:tcPr>
                  <w:tcW w:w="1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2.89</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1.15</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平均浓度</w:t>
                  </w:r>
                </w:p>
              </w:tc>
              <w:tc>
                <w:tcPr>
                  <w:tcW w:w="15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洒水</w:t>
                  </w:r>
                </w:p>
              </w:tc>
              <w:tc>
                <w:tcPr>
                  <w:tcW w:w="1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2.01</w:t>
                  </w:r>
                </w:p>
              </w:tc>
              <w:tc>
                <w:tcPr>
                  <w:tcW w:w="1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1.40</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0.74</w:t>
                  </w:r>
                </w:p>
              </w:tc>
              <w:tc>
                <w:tcPr>
                  <w:tcW w:w="153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24" w:beforeLines="10" w:beforeAutospacing="0" w:after="0" w:afterAutospacing="0"/>
                    <w:ind w:left="0" w:right="0"/>
                    <w:jc w:val="center"/>
                    <w:rPr>
                      <w:rFonts w:hint="default"/>
                      <w:color w:val="auto"/>
                      <w:szCs w:val="21"/>
                      <w:highlight w:val="none"/>
                    </w:rPr>
                  </w:pPr>
                  <w:r>
                    <w:rPr>
                      <w:rFonts w:hint="default"/>
                      <w:color w:val="auto"/>
                      <w:szCs w:val="21"/>
                      <w:highlight w:val="none"/>
                    </w:rPr>
                    <w:t>0.60</w:t>
                  </w:r>
                </w:p>
              </w:tc>
            </w:tr>
          </w:tbl>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项目主要影响范围在扬尘点下风向近距离范围内，而真正对外环境产生影响的是一些微小尘粒。因此施工扬尘主要影响为</w:t>
            </w:r>
            <w:r>
              <w:rPr>
                <w:rFonts w:hint="eastAsia" w:hAnsi="宋体"/>
                <w:color w:val="auto"/>
                <w:sz w:val="24"/>
                <w:highlight w:val="none"/>
                <w:lang w:eastAsia="zh-CN"/>
              </w:rPr>
              <w:t>下风向</w:t>
            </w:r>
            <w:r>
              <w:rPr>
                <w:rFonts w:hint="default" w:hAnsi="宋体"/>
                <w:color w:val="auto"/>
                <w:sz w:val="24"/>
                <w:highlight w:val="none"/>
              </w:rPr>
              <w:t>区域，</w:t>
            </w:r>
            <w:r>
              <w:rPr>
                <w:rFonts w:hint="eastAsia" w:hAnsi="宋体"/>
                <w:color w:val="auto"/>
                <w:sz w:val="24"/>
                <w:highlight w:val="none"/>
                <w:lang w:eastAsia="zh-CN"/>
              </w:rPr>
              <w:t>本项目下风向居民区较远</w:t>
            </w:r>
            <w:r>
              <w:rPr>
                <w:rFonts w:hint="default" w:hAnsi="宋体"/>
                <w:color w:val="auto"/>
                <w:sz w:val="24"/>
                <w:highlight w:val="none"/>
              </w:rPr>
              <w:t>，产生影响</w:t>
            </w:r>
            <w:r>
              <w:rPr>
                <w:rFonts w:hint="eastAsia" w:hAnsi="宋体"/>
                <w:color w:val="auto"/>
                <w:sz w:val="24"/>
                <w:highlight w:val="none"/>
                <w:lang w:eastAsia="zh-CN"/>
              </w:rPr>
              <w:t>较小</w:t>
            </w:r>
            <w:r>
              <w:rPr>
                <w:rFonts w:hint="default" w:hAnsi="宋体"/>
                <w:color w:val="auto"/>
                <w:sz w:val="24"/>
                <w:highlight w:val="none"/>
              </w:rPr>
              <w:t>。本项目施工期间对场地进行洒水抑尘，对大气中逸散的颗粒物采取喷雾措施，裸露的表土覆盖防尘网，经上述措施后，项目施工期间产生的扬尘将对周边环境的影响较小。</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kern w:val="0"/>
                <w:sz w:val="24"/>
                <w:highlight w:val="none"/>
              </w:rPr>
            </w:pPr>
            <w:r>
              <w:rPr>
                <w:rFonts w:hint="default" w:hAnsi="宋体"/>
                <w:color w:val="auto"/>
                <w:sz w:val="24"/>
                <w:highlight w:val="none"/>
              </w:rPr>
              <w:t>⑵施工机械尾气影响分析</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b/>
                <w:color w:val="auto"/>
                <w:spacing w:val="6"/>
                <w:sz w:val="24"/>
                <w:highlight w:val="none"/>
              </w:rPr>
            </w:pPr>
            <w:r>
              <w:rPr>
                <w:rFonts w:hint="default" w:hAnsi="宋体"/>
                <w:color w:val="auto"/>
                <w:sz w:val="24"/>
                <w:highlight w:val="none"/>
              </w:rPr>
              <w:t>施工期间，施工机械和运输车辆排放尾气主要的污染物有</w:t>
            </w:r>
            <w:r>
              <w:rPr>
                <w:rFonts w:hint="default"/>
                <w:color w:val="auto"/>
                <w:sz w:val="24"/>
                <w:highlight w:val="none"/>
              </w:rPr>
              <w:t>CO</w:t>
            </w:r>
            <w:r>
              <w:rPr>
                <w:rFonts w:hint="default" w:hAnsi="宋体"/>
                <w:color w:val="auto"/>
                <w:sz w:val="24"/>
                <w:highlight w:val="none"/>
              </w:rPr>
              <w:t>、</w:t>
            </w:r>
            <w:r>
              <w:rPr>
                <w:rFonts w:hint="default"/>
                <w:color w:val="auto"/>
                <w:sz w:val="24"/>
                <w:highlight w:val="none"/>
              </w:rPr>
              <w:t>NOx</w:t>
            </w:r>
            <w:r>
              <w:rPr>
                <w:rFonts w:hint="default" w:hAnsi="宋体"/>
                <w:color w:val="auto"/>
                <w:sz w:val="24"/>
                <w:highlight w:val="none"/>
              </w:rPr>
              <w:t>、</w:t>
            </w:r>
            <w:r>
              <w:rPr>
                <w:rFonts w:hint="default"/>
                <w:color w:val="auto"/>
                <w:sz w:val="24"/>
                <w:highlight w:val="none"/>
              </w:rPr>
              <w:t>THC</w:t>
            </w:r>
            <w:r>
              <w:rPr>
                <w:rFonts w:hint="default" w:hAnsi="宋体"/>
                <w:color w:val="auto"/>
                <w:sz w:val="24"/>
                <w:highlight w:val="none"/>
              </w:rPr>
              <w:t>，主要对作业点周围和运输路线两侧局部范围住宅、单位等敏感点产生一定影响，由于排放量小，其影响的程度与范围也相对小。经调查，施工期使用</w:t>
            </w:r>
            <w:r>
              <w:rPr>
                <w:rFonts w:hint="default" w:hAnsi="宋体"/>
                <w:b w:val="0"/>
                <w:bCs w:val="0"/>
                <w:color w:val="auto"/>
                <w:sz w:val="24"/>
                <w:highlight w:val="none"/>
              </w:rPr>
              <w:t>的运输设备和机械设备数量有限，排放量也</w:t>
            </w:r>
            <w:r>
              <w:rPr>
                <w:rFonts w:hint="default" w:ascii="Times New Roman" w:hAnsi="Times New Roman" w:eastAsia="宋体" w:cs="Times New Roman"/>
                <w:b w:val="0"/>
                <w:bCs w:val="0"/>
                <w:color w:val="auto"/>
                <w:spacing w:val="6"/>
                <w:sz w:val="24"/>
                <w:highlight w:val="none"/>
              </w:rPr>
              <w:t>较小，影响范围有限，随着施工结束而自动消失。</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b/>
                <w:color w:val="auto"/>
                <w:spacing w:val="6"/>
                <w:sz w:val="24"/>
                <w:highlight w:val="none"/>
              </w:rPr>
            </w:pPr>
            <w:r>
              <w:rPr>
                <w:rFonts w:hint="default" w:ascii="Times New Roman" w:hAnsi="Times New Roman" w:eastAsia="宋体" w:cs="Times New Roman"/>
                <w:b/>
                <w:color w:val="auto"/>
                <w:spacing w:val="6"/>
                <w:sz w:val="24"/>
                <w:highlight w:val="none"/>
              </w:rPr>
              <w:t>2、</w:t>
            </w:r>
            <w:r>
              <w:rPr>
                <w:rFonts w:hint="eastAsia" w:ascii="Times New Roman" w:hAnsi="Times New Roman" w:eastAsia="宋体" w:cs="Times New Roman"/>
                <w:b/>
                <w:color w:val="auto"/>
                <w:spacing w:val="6"/>
                <w:sz w:val="24"/>
                <w:highlight w:val="none"/>
                <w:lang w:eastAsia="zh-CN"/>
              </w:rPr>
              <w:t>施工期</w:t>
            </w:r>
            <w:r>
              <w:rPr>
                <w:rFonts w:hint="default" w:ascii="Times New Roman" w:hAnsi="Times New Roman" w:eastAsia="宋体" w:cs="Times New Roman"/>
                <w:b/>
                <w:color w:val="auto"/>
                <w:spacing w:val="6"/>
                <w:sz w:val="24"/>
                <w:highlight w:val="none"/>
              </w:rPr>
              <w:t>水环境影响分析</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color w:val="auto"/>
                <w:sz w:val="24"/>
                <w:highlight w:val="none"/>
              </w:rPr>
            </w:pPr>
            <w:r>
              <w:rPr>
                <w:rFonts w:hint="default" w:hAnsi="宋体"/>
                <w:color w:val="auto"/>
                <w:sz w:val="24"/>
                <w:highlight w:val="none"/>
              </w:rPr>
              <w:t>本项目施工作业活动及施工人员生活，会产生一定量的生产废水和生活污水。生产废水主要来源于各种施工机械设备冲洗废水，主要污染物为</w:t>
            </w:r>
            <w:r>
              <w:rPr>
                <w:rFonts w:hint="default"/>
                <w:color w:val="auto"/>
                <w:sz w:val="24"/>
                <w:highlight w:val="none"/>
              </w:rPr>
              <w:t>SS</w:t>
            </w:r>
            <w:r>
              <w:rPr>
                <w:rFonts w:hint="default" w:hAnsi="宋体"/>
                <w:color w:val="auto"/>
                <w:sz w:val="24"/>
                <w:highlight w:val="none"/>
              </w:rPr>
              <w:t>，集中收集沉淀处理后用于施工场地洒水降尘；生活污水主要来源于施工期施工人员生活用水，施工现场设置临时防渗</w:t>
            </w:r>
            <w:r>
              <w:rPr>
                <w:rFonts w:hint="eastAsia" w:hAnsi="宋体"/>
                <w:color w:val="auto"/>
                <w:sz w:val="24"/>
                <w:highlight w:val="none"/>
                <w:lang w:val="en-US" w:eastAsia="zh-CN"/>
              </w:rPr>
              <w:t>旱厕</w:t>
            </w:r>
            <w:r>
              <w:rPr>
                <w:rFonts w:hint="default" w:hAnsi="宋体"/>
                <w:color w:val="auto"/>
                <w:sz w:val="24"/>
                <w:highlight w:val="none"/>
              </w:rPr>
              <w:t>，盥洗废水水质简单，全部泼洒抑尘，不外排。本项目施工期间产生的废水对区域水环境无明显不利影响。</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b/>
                <w:color w:val="auto"/>
                <w:spacing w:val="6"/>
                <w:sz w:val="24"/>
                <w:highlight w:val="none"/>
              </w:rPr>
            </w:pPr>
            <w:r>
              <w:rPr>
                <w:rFonts w:hint="default" w:ascii="Times New Roman" w:hAnsi="Times New Roman" w:eastAsia="宋体" w:cs="Times New Roman"/>
                <w:b/>
                <w:color w:val="auto"/>
                <w:spacing w:val="6"/>
                <w:sz w:val="24"/>
                <w:highlight w:val="none"/>
              </w:rPr>
              <w:t>3、</w:t>
            </w:r>
            <w:r>
              <w:rPr>
                <w:rFonts w:hint="eastAsia" w:ascii="Times New Roman" w:hAnsi="Times New Roman" w:eastAsia="宋体" w:cs="Times New Roman"/>
                <w:b/>
                <w:color w:val="auto"/>
                <w:spacing w:val="6"/>
                <w:sz w:val="24"/>
                <w:highlight w:val="none"/>
                <w:lang w:eastAsia="zh-CN"/>
              </w:rPr>
              <w:t>施工期</w:t>
            </w:r>
            <w:r>
              <w:rPr>
                <w:rFonts w:hint="default" w:ascii="Times New Roman" w:hAnsi="Times New Roman" w:eastAsia="宋体" w:cs="Times New Roman"/>
                <w:b/>
                <w:color w:val="auto"/>
                <w:spacing w:val="6"/>
                <w:sz w:val="24"/>
                <w:highlight w:val="none"/>
              </w:rPr>
              <w:t>声环境影响分析</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⑴噪声源强</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施工期场地噪声源主要为施工机械或设备噪声，其污染影响具有局部性、流动性、短时性等特点。施工机械包括挖掘机、推土机、振动式压路机、运输车辆、吊车等。各设备噪声源强见表</w:t>
            </w:r>
            <w:r>
              <w:rPr>
                <w:rFonts w:hint="eastAsia"/>
                <w:color w:val="auto"/>
                <w:sz w:val="24"/>
                <w:highlight w:val="none"/>
                <w:lang w:val="en-US" w:eastAsia="zh-CN"/>
              </w:rPr>
              <w:t>4-4</w:t>
            </w:r>
            <w:r>
              <w:rPr>
                <w:rFonts w:hint="default" w:hAnsi="宋体"/>
                <w:color w:val="auto"/>
                <w:sz w:val="24"/>
                <w:highlight w:val="none"/>
              </w:rPr>
              <w:t>。</w:t>
            </w:r>
          </w:p>
          <w:p>
            <w:pPr>
              <w:keepNext w:val="0"/>
              <w:keepLines w:val="0"/>
              <w:suppressLineNumbers w:val="0"/>
              <w:adjustRightInd w:val="0"/>
              <w:snapToGrid w:val="0"/>
              <w:spacing w:before="0" w:beforeAutospacing="0" w:after="0" w:afterAutospacing="0" w:line="360" w:lineRule="auto"/>
              <w:ind w:left="0" w:right="0" w:firstLine="482"/>
              <w:rPr>
                <w:rFonts w:hint="default"/>
                <w:b/>
                <w:color w:val="auto"/>
                <w:sz w:val="24"/>
                <w:highlight w:val="none"/>
              </w:rPr>
            </w:pPr>
            <w:r>
              <w:rPr>
                <w:rFonts w:hint="default" w:hAnsi="宋体"/>
                <w:b/>
                <w:color w:val="auto"/>
                <w:sz w:val="24"/>
                <w:highlight w:val="none"/>
              </w:rPr>
              <w:t>表</w:t>
            </w:r>
            <w:r>
              <w:rPr>
                <w:rFonts w:hint="eastAsia"/>
                <w:b/>
                <w:color w:val="auto"/>
                <w:sz w:val="24"/>
                <w:highlight w:val="none"/>
                <w:lang w:val="en-US" w:eastAsia="zh-CN"/>
              </w:rPr>
              <w:t>4-4</w:t>
            </w:r>
            <w:r>
              <w:rPr>
                <w:rFonts w:hint="default"/>
                <w:b/>
                <w:color w:val="auto"/>
                <w:sz w:val="24"/>
                <w:highlight w:val="none"/>
              </w:rPr>
              <w:t xml:space="preserve">         </w:t>
            </w:r>
            <w:r>
              <w:rPr>
                <w:rFonts w:hint="default" w:hAnsi="宋体"/>
                <w:b/>
                <w:color w:val="auto"/>
                <w:sz w:val="24"/>
                <w:highlight w:val="none"/>
              </w:rPr>
              <w:t>施工期主要施工机械噪声值</w:t>
            </w:r>
          </w:p>
          <w:tbl>
            <w:tblPr>
              <w:tblStyle w:val="28"/>
              <w:tblW w:w="49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1871"/>
              <w:gridCol w:w="2260"/>
              <w:gridCol w:w="227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jc w:val="center"/>
              </w:trPr>
              <w:tc>
                <w:tcPr>
                  <w:tcW w:w="534"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序号</w:t>
                  </w:r>
                </w:p>
              </w:tc>
              <w:tc>
                <w:tcPr>
                  <w:tcW w:w="1045"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产噪设备</w:t>
                  </w:r>
                </w:p>
              </w:tc>
              <w:tc>
                <w:tcPr>
                  <w:tcW w:w="1262"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施工阶段</w:t>
                  </w:r>
                </w:p>
              </w:tc>
              <w:tc>
                <w:tcPr>
                  <w:tcW w:w="1268"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源强</w:t>
                  </w:r>
                  <w:r>
                    <w:rPr>
                      <w:rFonts w:hint="default" w:ascii="Times New Roman" w:hAnsi="Times New Roman"/>
                      <w:color w:val="auto"/>
                      <w:highlight w:val="none"/>
                    </w:rPr>
                    <w:t>dB</w:t>
                  </w:r>
                  <w:r>
                    <w:rPr>
                      <w:rFonts w:hint="eastAsia" w:ascii="Times New Roman" w:hAnsi="宋体"/>
                      <w:color w:val="auto"/>
                      <w:highlight w:val="none"/>
                    </w:rPr>
                    <w:t>（</w:t>
                  </w:r>
                  <w:r>
                    <w:rPr>
                      <w:rFonts w:hint="default" w:ascii="Times New Roman" w:hAnsi="Times New Roman"/>
                      <w:color w:val="auto"/>
                      <w:highlight w:val="none"/>
                    </w:rPr>
                    <w:t>A</w:t>
                  </w:r>
                  <w:r>
                    <w:rPr>
                      <w:rFonts w:hint="eastAsia" w:ascii="Times New Roman" w:hAnsi="宋体"/>
                      <w:color w:val="auto"/>
                      <w:highlight w:val="none"/>
                    </w:rPr>
                    <w:t>）</w:t>
                  </w:r>
                </w:p>
              </w:tc>
              <w:tc>
                <w:tcPr>
                  <w:tcW w:w="889"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产生方式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534"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宋体"/>
                      <w:color w:val="auto"/>
                      <w:highlight w:val="none"/>
                    </w:rPr>
                  </w:pPr>
                  <w:r>
                    <w:rPr>
                      <w:rFonts w:hint="default" w:ascii="Times New Roman" w:hAnsi="宋体"/>
                      <w:color w:val="auto"/>
                      <w:highlight w:val="none"/>
                    </w:rPr>
                    <w:t>1</w:t>
                  </w:r>
                </w:p>
              </w:tc>
              <w:tc>
                <w:tcPr>
                  <w:tcW w:w="1045"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宋体"/>
                      <w:color w:val="auto"/>
                      <w:highlight w:val="none"/>
                      <w:lang w:val="en-GB"/>
                    </w:rPr>
                  </w:pPr>
                  <w:r>
                    <w:rPr>
                      <w:rFonts w:hint="eastAsia" w:ascii="Times New Roman" w:hAnsi="宋体"/>
                      <w:color w:val="auto"/>
                      <w:highlight w:val="none"/>
                    </w:rPr>
                    <w:t>挖掘机</w:t>
                  </w:r>
                </w:p>
              </w:tc>
              <w:tc>
                <w:tcPr>
                  <w:tcW w:w="1262"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场地开挖</w:t>
                  </w:r>
                </w:p>
              </w:tc>
              <w:tc>
                <w:tcPr>
                  <w:tcW w:w="1268"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default" w:ascii="Times New Roman" w:hAnsi="Times New Roman"/>
                      <w:color w:val="auto"/>
                      <w:highlight w:val="none"/>
                    </w:rPr>
                    <w:t>90</w:t>
                  </w:r>
                </w:p>
              </w:tc>
              <w:tc>
                <w:tcPr>
                  <w:tcW w:w="889"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jc w:val="center"/>
              </w:trPr>
              <w:tc>
                <w:tcPr>
                  <w:tcW w:w="534"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宋体"/>
                      <w:color w:val="auto"/>
                      <w:highlight w:val="none"/>
                    </w:rPr>
                  </w:pPr>
                  <w:r>
                    <w:rPr>
                      <w:rFonts w:hint="default" w:ascii="Times New Roman" w:hAnsi="宋体"/>
                      <w:color w:val="auto"/>
                      <w:highlight w:val="none"/>
                    </w:rPr>
                    <w:t>2</w:t>
                  </w:r>
                </w:p>
              </w:tc>
              <w:tc>
                <w:tcPr>
                  <w:tcW w:w="1045"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宋体"/>
                      <w:color w:val="auto"/>
                      <w:highlight w:val="none"/>
                      <w:lang w:val="en-GB"/>
                    </w:rPr>
                  </w:pPr>
                  <w:r>
                    <w:rPr>
                      <w:rFonts w:hint="eastAsia" w:ascii="Times New Roman" w:hAnsi="宋体"/>
                      <w:color w:val="auto"/>
                      <w:highlight w:val="none"/>
                    </w:rPr>
                    <w:t>推土机</w:t>
                  </w:r>
                </w:p>
              </w:tc>
              <w:tc>
                <w:tcPr>
                  <w:tcW w:w="1262"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场地平整</w:t>
                  </w:r>
                </w:p>
              </w:tc>
              <w:tc>
                <w:tcPr>
                  <w:tcW w:w="1268"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default" w:ascii="Times New Roman" w:hAnsi="Times New Roman"/>
                      <w:color w:val="auto"/>
                      <w:highlight w:val="none"/>
                    </w:rPr>
                    <w:t>86</w:t>
                  </w:r>
                </w:p>
              </w:tc>
              <w:tc>
                <w:tcPr>
                  <w:tcW w:w="889"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jc w:val="center"/>
              </w:trPr>
              <w:tc>
                <w:tcPr>
                  <w:tcW w:w="534"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宋体"/>
                      <w:color w:val="auto"/>
                      <w:highlight w:val="none"/>
                    </w:rPr>
                  </w:pPr>
                  <w:r>
                    <w:rPr>
                      <w:rFonts w:hint="default" w:ascii="Times New Roman" w:hAnsi="宋体"/>
                      <w:color w:val="auto"/>
                      <w:highlight w:val="none"/>
                    </w:rPr>
                    <w:t>3</w:t>
                  </w:r>
                </w:p>
              </w:tc>
              <w:tc>
                <w:tcPr>
                  <w:tcW w:w="1045"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宋体"/>
                      <w:color w:val="auto"/>
                      <w:highlight w:val="none"/>
                      <w:lang w:val="en-GB"/>
                    </w:rPr>
                  </w:pPr>
                  <w:r>
                    <w:rPr>
                      <w:rFonts w:hint="eastAsia" w:ascii="Times New Roman" w:hAnsi="宋体"/>
                      <w:color w:val="auto"/>
                      <w:highlight w:val="none"/>
                    </w:rPr>
                    <w:t>振动式压路机</w:t>
                  </w:r>
                </w:p>
              </w:tc>
              <w:tc>
                <w:tcPr>
                  <w:tcW w:w="1262"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场地平整</w:t>
                  </w:r>
                </w:p>
              </w:tc>
              <w:tc>
                <w:tcPr>
                  <w:tcW w:w="1268"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default" w:ascii="Times New Roman" w:hAnsi="Times New Roman"/>
                      <w:color w:val="auto"/>
                      <w:highlight w:val="none"/>
                    </w:rPr>
                    <w:t>86</w:t>
                  </w:r>
                </w:p>
              </w:tc>
              <w:tc>
                <w:tcPr>
                  <w:tcW w:w="889"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间歇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0" w:hRule="atLeast"/>
                <w:jc w:val="center"/>
              </w:trPr>
              <w:tc>
                <w:tcPr>
                  <w:tcW w:w="534"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宋体"/>
                      <w:color w:val="auto"/>
                      <w:highlight w:val="none"/>
                    </w:rPr>
                  </w:pPr>
                  <w:r>
                    <w:rPr>
                      <w:rFonts w:hint="default" w:ascii="Times New Roman" w:hAnsi="宋体"/>
                      <w:color w:val="auto"/>
                      <w:highlight w:val="none"/>
                    </w:rPr>
                    <w:t>4</w:t>
                  </w:r>
                </w:p>
              </w:tc>
              <w:tc>
                <w:tcPr>
                  <w:tcW w:w="1045"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宋体"/>
                      <w:color w:val="auto"/>
                      <w:highlight w:val="none"/>
                      <w:lang w:val="en-GB"/>
                    </w:rPr>
                  </w:pPr>
                  <w:r>
                    <w:rPr>
                      <w:rFonts w:hint="eastAsia" w:ascii="Times New Roman" w:hAnsi="宋体"/>
                      <w:color w:val="auto"/>
                      <w:highlight w:val="none"/>
                    </w:rPr>
                    <w:t>运输车辆</w:t>
                  </w:r>
                </w:p>
              </w:tc>
              <w:tc>
                <w:tcPr>
                  <w:tcW w:w="1262"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整个施工期</w:t>
                  </w:r>
                </w:p>
              </w:tc>
              <w:tc>
                <w:tcPr>
                  <w:tcW w:w="1268"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default" w:ascii="Times New Roman" w:hAnsi="Times New Roman"/>
                      <w:color w:val="auto"/>
                      <w:highlight w:val="none"/>
                    </w:rPr>
                    <w:t>82</w:t>
                  </w:r>
                </w:p>
              </w:tc>
              <w:tc>
                <w:tcPr>
                  <w:tcW w:w="889" w:type="pct"/>
                  <w:tcBorders>
                    <w:top w:val="single" w:color="auto" w:sz="4" w:space="0"/>
                    <w:left w:val="single" w:color="auto" w:sz="4" w:space="0"/>
                    <w:bottom w:val="single" w:color="auto" w:sz="4" w:space="0"/>
                    <w:right w:val="single" w:color="auto" w:sz="4" w:space="0"/>
                  </w:tcBorders>
                  <w:vAlign w:val="center"/>
                </w:tcPr>
                <w:p>
                  <w:pPr>
                    <w:pStyle w:val="14"/>
                    <w:keepNext w:val="0"/>
                    <w:keepLines w:val="0"/>
                    <w:suppressLineNumbers w:val="0"/>
                    <w:snapToGrid w:val="0"/>
                    <w:spacing w:before="0" w:beforeAutospacing="0" w:after="0" w:afterAutospacing="0"/>
                    <w:ind w:left="0" w:right="0"/>
                    <w:jc w:val="center"/>
                    <w:rPr>
                      <w:rFonts w:hint="default" w:ascii="Times New Roman" w:hAnsi="Times New Roman"/>
                      <w:color w:val="auto"/>
                      <w:highlight w:val="none"/>
                    </w:rPr>
                  </w:pPr>
                  <w:r>
                    <w:rPr>
                      <w:rFonts w:hint="eastAsia" w:ascii="Times New Roman" w:hAnsi="宋体"/>
                      <w:color w:val="auto"/>
                      <w:highlight w:val="none"/>
                    </w:rPr>
                    <w:t>间歇</w:t>
                  </w:r>
                </w:p>
              </w:tc>
            </w:tr>
          </w:tbl>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⑵预测模式</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kern w:val="0"/>
                <w:sz w:val="24"/>
                <w:highlight w:val="none"/>
              </w:rPr>
            </w:pPr>
            <w:r>
              <w:rPr>
                <w:rFonts w:hint="default" w:hAnsi="宋体"/>
                <w:color w:val="auto"/>
                <w:sz w:val="24"/>
                <w:highlight w:val="none"/>
              </w:rPr>
              <w:t>施工期机械设备噪声源可近似视为点源，根据点源衰减模式，计算施工期离声源不同距离处的噪声值，预测模式如下：</w:t>
            </w:r>
          </w:p>
          <w:p>
            <w:pPr>
              <w:keepNext w:val="0"/>
              <w:keepLines w:val="0"/>
              <w:suppressLineNumbers w:val="0"/>
              <w:adjustRightInd w:val="0"/>
              <w:snapToGrid w:val="0"/>
              <w:spacing w:before="0" w:beforeAutospacing="0" w:after="0" w:afterAutospacing="0" w:line="360" w:lineRule="auto"/>
              <w:ind w:left="0" w:right="0" w:firstLine="480"/>
              <w:jc w:val="center"/>
              <w:rPr>
                <w:rFonts w:hint="default"/>
                <w:color w:val="auto"/>
                <w:sz w:val="24"/>
                <w:highlight w:val="none"/>
              </w:rPr>
            </w:pPr>
            <w:r>
              <w:rPr>
                <w:rFonts w:hint="default"/>
                <w:color w:val="auto"/>
                <w:position w:val="-32"/>
                <w:sz w:val="24"/>
                <w:highlight w:val="none"/>
              </w:rPr>
              <w:object>
                <v:shape id="_x0000_i1027" o:spt="75" type="#_x0000_t75" style="height:38.25pt;width:101.25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式中：</w:t>
            </w:r>
            <w:r>
              <w:rPr>
                <w:rFonts w:hint="default"/>
                <w:color w:val="auto"/>
                <w:sz w:val="24"/>
                <w:highlight w:val="none"/>
              </w:rPr>
              <w:t>L</w:t>
            </w:r>
            <w:r>
              <w:rPr>
                <w:rFonts w:hint="default"/>
                <w:color w:val="auto"/>
                <w:sz w:val="24"/>
                <w:highlight w:val="none"/>
                <w:vertAlign w:val="subscript"/>
              </w:rPr>
              <w:t>p</w:t>
            </w:r>
            <w:r>
              <w:rPr>
                <w:rFonts w:hint="default"/>
                <w:color w:val="auto"/>
                <w:sz w:val="24"/>
                <w:highlight w:val="none"/>
              </w:rPr>
              <w:t>——</w:t>
            </w:r>
            <w:r>
              <w:rPr>
                <w:rFonts w:hint="default" w:hAnsi="宋体"/>
                <w:color w:val="auto"/>
                <w:sz w:val="24"/>
                <w:highlight w:val="none"/>
              </w:rPr>
              <w:t>距声源</w:t>
            </w:r>
            <w:r>
              <w:rPr>
                <w:rFonts w:hint="default"/>
                <w:color w:val="auto"/>
                <w:sz w:val="24"/>
                <w:highlight w:val="none"/>
              </w:rPr>
              <w:t>r</w:t>
            </w:r>
            <w:r>
              <w:rPr>
                <w:rFonts w:hint="default" w:hAnsi="宋体"/>
                <w:color w:val="auto"/>
                <w:sz w:val="24"/>
                <w:highlight w:val="none"/>
              </w:rPr>
              <w:t>处的施工噪声预测值；</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color w:val="auto"/>
                <w:sz w:val="24"/>
                <w:highlight w:val="none"/>
              </w:rPr>
              <w:t>L</w:t>
            </w:r>
            <w:r>
              <w:rPr>
                <w:rFonts w:hint="default"/>
                <w:color w:val="auto"/>
                <w:sz w:val="24"/>
                <w:highlight w:val="none"/>
                <w:vertAlign w:val="subscript"/>
              </w:rPr>
              <w:t>p0</w:t>
            </w:r>
            <w:r>
              <w:rPr>
                <w:rFonts w:hint="default"/>
                <w:color w:val="auto"/>
                <w:sz w:val="24"/>
                <w:highlight w:val="none"/>
              </w:rPr>
              <w:t>——</w:t>
            </w:r>
            <w:r>
              <w:rPr>
                <w:rFonts w:hint="default" w:hAnsi="宋体"/>
                <w:color w:val="auto"/>
                <w:sz w:val="24"/>
                <w:highlight w:val="none"/>
              </w:rPr>
              <w:t>距声源</w:t>
            </w:r>
            <w:r>
              <w:rPr>
                <w:rFonts w:hint="default"/>
                <w:color w:val="auto"/>
                <w:sz w:val="24"/>
                <w:highlight w:val="none"/>
              </w:rPr>
              <w:t>r</w:t>
            </w:r>
            <w:r>
              <w:rPr>
                <w:rFonts w:hint="default"/>
                <w:color w:val="auto"/>
                <w:sz w:val="24"/>
                <w:highlight w:val="none"/>
                <w:vertAlign w:val="subscript"/>
              </w:rPr>
              <w:t>0</w:t>
            </w:r>
            <w:r>
              <w:rPr>
                <w:rFonts w:hint="default" w:hAnsi="宋体"/>
                <w:color w:val="auto"/>
                <w:sz w:val="24"/>
                <w:highlight w:val="none"/>
              </w:rPr>
              <w:t>处的参考声级；</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多声源对某个受声点的理论估算方法，是将几个声源的</w:t>
            </w:r>
            <w:r>
              <w:rPr>
                <w:rFonts w:hint="default"/>
                <w:color w:val="auto"/>
                <w:sz w:val="24"/>
                <w:highlight w:val="none"/>
              </w:rPr>
              <w:t>A</w:t>
            </w:r>
            <w:r>
              <w:rPr>
                <w:rFonts w:hint="default" w:hAnsi="宋体"/>
                <w:color w:val="auto"/>
                <w:sz w:val="24"/>
                <w:highlight w:val="none"/>
              </w:rPr>
              <w:t>声级按能量叠加，等效为几个声源对某个受声点的理论声级，其公式为：</w:t>
            </w:r>
          </w:p>
          <w:p>
            <w:pPr>
              <w:keepNext w:val="0"/>
              <w:keepLines w:val="0"/>
              <w:suppressLineNumbers w:val="0"/>
              <w:adjustRightInd w:val="0"/>
              <w:snapToGrid w:val="0"/>
              <w:spacing w:before="0" w:beforeAutospacing="0" w:after="0" w:afterAutospacing="0" w:line="360" w:lineRule="auto"/>
              <w:ind w:left="0" w:right="0" w:firstLine="480"/>
              <w:jc w:val="center"/>
              <w:rPr>
                <w:rFonts w:hint="default"/>
                <w:color w:val="auto"/>
                <w:sz w:val="24"/>
                <w:highlight w:val="none"/>
              </w:rPr>
            </w:pPr>
            <w:r>
              <w:rPr>
                <w:rFonts w:hint="default"/>
                <w:color w:val="auto"/>
                <w:sz w:val="24"/>
                <w:highlight w:val="none"/>
              </w:rPr>
              <w:object>
                <v:shape id="_x0000_i1028" o:spt="75" type="#_x0000_t75" style="height:33.75pt;width:100.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式中：</w:t>
            </w:r>
            <w:r>
              <w:rPr>
                <w:rFonts w:hint="default"/>
                <w:color w:val="auto"/>
                <w:sz w:val="24"/>
                <w:highlight w:val="none"/>
              </w:rPr>
              <w:t>L</w:t>
            </w:r>
            <w:r>
              <w:rPr>
                <w:rFonts w:hint="default" w:hAnsi="宋体"/>
                <w:color w:val="auto"/>
                <w:sz w:val="24"/>
                <w:highlight w:val="none"/>
                <w:vertAlign w:val="subscript"/>
              </w:rPr>
              <w:t>合</w:t>
            </w:r>
            <w:r>
              <w:rPr>
                <w:rFonts w:hint="default"/>
                <w:color w:val="auto"/>
                <w:sz w:val="24"/>
                <w:highlight w:val="none"/>
              </w:rPr>
              <w:t>——</w:t>
            </w:r>
            <w:r>
              <w:rPr>
                <w:rFonts w:hint="default" w:hAnsi="宋体"/>
                <w:color w:val="auto"/>
                <w:sz w:val="24"/>
                <w:highlight w:val="none"/>
              </w:rPr>
              <w:t>受声点总等效声级，</w:t>
            </w:r>
            <w:r>
              <w:rPr>
                <w:rFonts w:hint="default"/>
                <w:color w:val="auto"/>
                <w:sz w:val="24"/>
                <w:highlight w:val="none"/>
              </w:rPr>
              <w:t>dB(A)</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color w:val="auto"/>
                <w:sz w:val="24"/>
                <w:highlight w:val="none"/>
              </w:rPr>
              <w:t>Li——</w:t>
            </w:r>
            <w:r>
              <w:rPr>
                <w:rFonts w:hint="default" w:hAnsi="宋体"/>
                <w:color w:val="auto"/>
                <w:sz w:val="24"/>
                <w:highlight w:val="none"/>
              </w:rPr>
              <w:t>第</w:t>
            </w:r>
            <w:r>
              <w:rPr>
                <w:rFonts w:hint="default"/>
                <w:color w:val="auto"/>
                <w:sz w:val="24"/>
                <w:highlight w:val="none"/>
              </w:rPr>
              <w:t>i</w:t>
            </w:r>
            <w:r>
              <w:rPr>
                <w:rFonts w:hint="default" w:hAnsi="宋体"/>
                <w:color w:val="auto"/>
                <w:sz w:val="24"/>
                <w:highlight w:val="none"/>
              </w:rPr>
              <w:t>声源对某预测点的等效声级，</w:t>
            </w:r>
            <w:r>
              <w:rPr>
                <w:rFonts w:hint="default"/>
                <w:color w:val="auto"/>
                <w:sz w:val="24"/>
                <w:highlight w:val="none"/>
              </w:rPr>
              <w:t>dB(A)</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color w:val="auto"/>
                <w:sz w:val="24"/>
                <w:highlight w:val="none"/>
              </w:rPr>
              <w:t>N——</w:t>
            </w:r>
            <w:r>
              <w:rPr>
                <w:rFonts w:hint="default" w:hAnsi="宋体"/>
                <w:color w:val="auto"/>
                <w:sz w:val="24"/>
                <w:highlight w:val="none"/>
              </w:rPr>
              <w:t>声源总数</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计算出的各类施工设备在不同距离处的噪声值见表</w:t>
            </w:r>
            <w:r>
              <w:rPr>
                <w:rFonts w:hint="eastAsia"/>
                <w:color w:val="auto"/>
                <w:sz w:val="24"/>
                <w:highlight w:val="none"/>
                <w:lang w:val="en-US" w:eastAsia="zh-CN"/>
              </w:rPr>
              <w:t>4-5</w:t>
            </w:r>
            <w:r>
              <w:rPr>
                <w:rFonts w:hint="default" w:hAnsi="宋体"/>
                <w:color w:val="auto"/>
                <w:sz w:val="24"/>
                <w:highlight w:val="none"/>
              </w:rPr>
              <w:t>。</w:t>
            </w:r>
          </w:p>
          <w:p>
            <w:pPr>
              <w:keepNext w:val="0"/>
              <w:keepLines w:val="0"/>
              <w:suppressLineNumbers w:val="0"/>
              <w:adjustRightInd w:val="0"/>
              <w:snapToGrid w:val="0"/>
              <w:spacing w:before="0" w:beforeAutospacing="0" w:after="0" w:afterAutospacing="0" w:line="360" w:lineRule="auto"/>
              <w:ind w:left="0" w:right="0" w:firstLine="482"/>
              <w:rPr>
                <w:rFonts w:hint="default"/>
                <w:b/>
                <w:color w:val="auto"/>
                <w:sz w:val="24"/>
                <w:highlight w:val="none"/>
              </w:rPr>
            </w:pPr>
            <w:r>
              <w:rPr>
                <w:rFonts w:hint="default" w:hAnsi="宋体"/>
                <w:b/>
                <w:color w:val="auto"/>
                <w:sz w:val="24"/>
                <w:highlight w:val="none"/>
              </w:rPr>
              <w:t>表</w:t>
            </w:r>
            <w:r>
              <w:rPr>
                <w:rFonts w:hint="eastAsia"/>
                <w:b/>
                <w:color w:val="auto"/>
                <w:sz w:val="24"/>
                <w:highlight w:val="none"/>
                <w:lang w:val="en-US" w:eastAsia="zh-CN"/>
              </w:rPr>
              <w:t>4-5</w:t>
            </w:r>
            <w:r>
              <w:rPr>
                <w:rFonts w:hint="default"/>
                <w:b/>
                <w:color w:val="auto"/>
                <w:sz w:val="24"/>
                <w:highlight w:val="none"/>
              </w:rPr>
              <w:t xml:space="preserve">  </w:t>
            </w:r>
            <w:r>
              <w:rPr>
                <w:rFonts w:hint="eastAsia"/>
                <w:b/>
                <w:color w:val="auto"/>
                <w:sz w:val="24"/>
                <w:highlight w:val="none"/>
              </w:rPr>
              <w:t xml:space="preserve">   </w:t>
            </w:r>
            <w:r>
              <w:rPr>
                <w:rFonts w:hint="default" w:hAnsi="宋体"/>
                <w:b/>
                <w:color w:val="auto"/>
                <w:sz w:val="24"/>
                <w:highlight w:val="none"/>
              </w:rPr>
              <w:t>施工机械设备不同距离处的噪声预测值</w:t>
            </w:r>
            <w:r>
              <w:rPr>
                <w:rFonts w:hint="default"/>
                <w:b/>
                <w:color w:val="auto"/>
                <w:sz w:val="24"/>
                <w:highlight w:val="none"/>
              </w:rPr>
              <w:t xml:space="preserve">    </w:t>
            </w:r>
            <w:r>
              <w:rPr>
                <w:rFonts w:hint="default" w:hAnsi="宋体"/>
                <w:b/>
                <w:color w:val="auto"/>
                <w:sz w:val="24"/>
                <w:highlight w:val="none"/>
              </w:rPr>
              <w:t>单位：</w:t>
            </w:r>
            <w:r>
              <w:rPr>
                <w:rFonts w:hint="default"/>
                <w:b/>
                <w:color w:val="auto"/>
                <w:sz w:val="24"/>
                <w:highlight w:val="none"/>
              </w:rPr>
              <w:t>dB</w:t>
            </w:r>
            <w:r>
              <w:rPr>
                <w:rFonts w:hint="default" w:hAnsi="宋体"/>
                <w:b/>
                <w:color w:val="auto"/>
                <w:sz w:val="24"/>
                <w:highlight w:val="none"/>
              </w:rPr>
              <w:t>（</w:t>
            </w:r>
            <w:r>
              <w:rPr>
                <w:rFonts w:hint="default"/>
                <w:b/>
                <w:color w:val="auto"/>
                <w:sz w:val="24"/>
                <w:highlight w:val="none"/>
              </w:rPr>
              <w:t>A</w:t>
            </w:r>
            <w:r>
              <w:rPr>
                <w:rFonts w:hint="default" w:hAnsi="宋体"/>
                <w:b/>
                <w:color w:val="auto"/>
                <w:sz w:val="24"/>
                <w:highlight w:val="none"/>
              </w:rPr>
              <w:t>）</w:t>
            </w:r>
          </w:p>
          <w:tbl>
            <w:tblPr>
              <w:tblStyle w:val="28"/>
              <w:tblW w:w="49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805"/>
              <w:gridCol w:w="810"/>
              <w:gridCol w:w="816"/>
              <w:gridCol w:w="810"/>
              <w:gridCol w:w="816"/>
              <w:gridCol w:w="810"/>
              <w:gridCol w:w="810"/>
              <w:gridCol w:w="814"/>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357"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序号</w:t>
                  </w:r>
                </w:p>
              </w:tc>
              <w:tc>
                <w:tcPr>
                  <w:tcW w:w="1008"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机械类型</w:t>
                  </w:r>
                </w:p>
              </w:tc>
              <w:tc>
                <w:tcPr>
                  <w:tcW w:w="3633" w:type="pct"/>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噪声预测值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color w:val="auto"/>
                      <w:szCs w:val="21"/>
                      <w:highlight w:val="none"/>
                    </w:rPr>
                  </w:pPr>
                </w:p>
              </w:tc>
              <w:tc>
                <w:tcPr>
                  <w:tcW w:w="1008"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ind w:left="0" w:right="0"/>
                    <w:jc w:val="left"/>
                    <w:rPr>
                      <w:rFonts w:hint="default"/>
                      <w:color w:val="auto"/>
                      <w:szCs w:val="21"/>
                      <w:highlight w:val="none"/>
                    </w:rPr>
                  </w:pP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0m</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5m</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10m</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20m</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30m</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50m</w:t>
                  </w:r>
                </w:p>
              </w:tc>
              <w:tc>
                <w:tcPr>
                  <w:tcW w:w="45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100m</w:t>
                  </w:r>
                </w:p>
              </w:tc>
              <w:tc>
                <w:tcPr>
                  <w:tcW w:w="45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1</w:t>
                  </w:r>
                </w:p>
              </w:tc>
              <w:tc>
                <w:tcPr>
                  <w:tcW w:w="100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挖掘机</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90</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76.02</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70.00</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63.98</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60.46</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56.02</w:t>
                  </w:r>
                </w:p>
              </w:tc>
              <w:tc>
                <w:tcPr>
                  <w:tcW w:w="45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50.00</w:t>
                  </w:r>
                </w:p>
              </w:tc>
              <w:tc>
                <w:tcPr>
                  <w:tcW w:w="45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2</w:t>
                  </w:r>
                </w:p>
              </w:tc>
              <w:tc>
                <w:tcPr>
                  <w:tcW w:w="100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推土机</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86</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72.02</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66.00</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59.98</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56.46</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52.02</w:t>
                  </w:r>
                </w:p>
              </w:tc>
              <w:tc>
                <w:tcPr>
                  <w:tcW w:w="45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46.00</w:t>
                  </w:r>
                </w:p>
              </w:tc>
              <w:tc>
                <w:tcPr>
                  <w:tcW w:w="45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w:t>
                  </w:r>
                </w:p>
              </w:tc>
              <w:tc>
                <w:tcPr>
                  <w:tcW w:w="100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振动式压路机</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86</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72.02</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66.00</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59.98</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56.46</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52.02</w:t>
                  </w:r>
                </w:p>
              </w:tc>
              <w:tc>
                <w:tcPr>
                  <w:tcW w:w="45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46.00</w:t>
                  </w:r>
                </w:p>
              </w:tc>
              <w:tc>
                <w:tcPr>
                  <w:tcW w:w="45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5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w:t>
                  </w:r>
                </w:p>
              </w:tc>
              <w:tc>
                <w:tcPr>
                  <w:tcW w:w="100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运输车辆</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82</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68.02</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62.00</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55.98</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52.46</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48.02</w:t>
                  </w:r>
                </w:p>
              </w:tc>
              <w:tc>
                <w:tcPr>
                  <w:tcW w:w="45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42.00</w:t>
                  </w:r>
                </w:p>
              </w:tc>
              <w:tc>
                <w:tcPr>
                  <w:tcW w:w="45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35.98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36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合计</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92.94</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78.96</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72.94</w:t>
                  </w:r>
                </w:p>
              </w:tc>
              <w:tc>
                <w:tcPr>
                  <w:tcW w:w="45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66.92</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63.40</w:t>
                  </w:r>
                </w:p>
              </w:tc>
              <w:tc>
                <w:tcPr>
                  <w:tcW w:w="453"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58.96</w:t>
                  </w:r>
                </w:p>
              </w:tc>
              <w:tc>
                <w:tcPr>
                  <w:tcW w:w="45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55.31</w:t>
                  </w:r>
                </w:p>
              </w:tc>
              <w:tc>
                <w:tcPr>
                  <w:tcW w:w="45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46.92</w:t>
                  </w:r>
                </w:p>
              </w:tc>
            </w:tr>
          </w:tbl>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⑶预测结果</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kern w:val="0"/>
                <w:sz w:val="24"/>
                <w:highlight w:val="none"/>
              </w:rPr>
            </w:pPr>
            <w:r>
              <w:rPr>
                <w:rFonts w:hint="default" w:hAnsi="宋体"/>
                <w:color w:val="auto"/>
                <w:sz w:val="24"/>
                <w:highlight w:val="none"/>
              </w:rPr>
              <w:t>由上表中的预测结果可知，施工期机械噪声在无遮挡情况下，各机械设备噪声值叠加后，昼间</w:t>
            </w:r>
            <w:r>
              <w:rPr>
                <w:rFonts w:hint="default"/>
                <w:color w:val="auto"/>
                <w:sz w:val="24"/>
                <w:highlight w:val="none"/>
              </w:rPr>
              <w:t>15m</w:t>
            </w:r>
            <w:r>
              <w:rPr>
                <w:rFonts w:hint="default" w:hAnsi="宋体"/>
                <w:color w:val="auto"/>
                <w:sz w:val="24"/>
                <w:highlight w:val="none"/>
              </w:rPr>
              <w:t>处的噪声值为</w:t>
            </w:r>
            <w:r>
              <w:rPr>
                <w:rFonts w:hint="default"/>
                <w:color w:val="auto"/>
                <w:sz w:val="24"/>
                <w:highlight w:val="none"/>
              </w:rPr>
              <w:t>69.22dB</w:t>
            </w:r>
            <w:r>
              <w:rPr>
                <w:rFonts w:hint="default" w:hAnsi="宋体"/>
                <w:color w:val="auto"/>
                <w:sz w:val="24"/>
                <w:highlight w:val="none"/>
              </w:rPr>
              <w:t>（</w:t>
            </w:r>
            <w:r>
              <w:rPr>
                <w:rFonts w:hint="default"/>
                <w:color w:val="auto"/>
                <w:sz w:val="24"/>
                <w:highlight w:val="none"/>
              </w:rPr>
              <w:t>A</w:t>
            </w:r>
            <w:r>
              <w:rPr>
                <w:rFonts w:hint="default" w:hAnsi="宋体"/>
                <w:color w:val="auto"/>
                <w:sz w:val="24"/>
                <w:highlight w:val="none"/>
              </w:rPr>
              <w:t>），夜间</w:t>
            </w:r>
            <w:r>
              <w:rPr>
                <w:rFonts w:hint="default"/>
                <w:color w:val="auto"/>
                <w:sz w:val="24"/>
                <w:highlight w:val="none"/>
              </w:rPr>
              <w:t>78m</w:t>
            </w:r>
            <w:r>
              <w:rPr>
                <w:rFonts w:hint="default" w:hAnsi="宋体"/>
                <w:color w:val="auto"/>
                <w:sz w:val="24"/>
                <w:highlight w:val="none"/>
              </w:rPr>
              <w:t>处的噪声值为</w:t>
            </w:r>
            <w:r>
              <w:rPr>
                <w:rFonts w:hint="default"/>
                <w:color w:val="auto"/>
                <w:sz w:val="24"/>
                <w:highlight w:val="none"/>
              </w:rPr>
              <w:t>54.90dB</w:t>
            </w:r>
            <w:r>
              <w:rPr>
                <w:rFonts w:hint="default" w:hAnsi="宋体"/>
                <w:color w:val="auto"/>
                <w:sz w:val="24"/>
                <w:highlight w:val="none"/>
              </w:rPr>
              <w:t>（</w:t>
            </w:r>
            <w:r>
              <w:rPr>
                <w:rFonts w:hint="default"/>
                <w:color w:val="auto"/>
                <w:sz w:val="24"/>
                <w:highlight w:val="none"/>
              </w:rPr>
              <w:t>A</w:t>
            </w:r>
            <w:r>
              <w:rPr>
                <w:rFonts w:hint="default" w:hAnsi="宋体"/>
                <w:color w:val="auto"/>
                <w:sz w:val="24"/>
                <w:highlight w:val="none"/>
              </w:rPr>
              <w:t>），即满足《建筑施工厂界噪声排放标准》（</w:t>
            </w:r>
            <w:r>
              <w:rPr>
                <w:rFonts w:hint="default"/>
                <w:color w:val="auto"/>
                <w:sz w:val="24"/>
                <w:highlight w:val="none"/>
              </w:rPr>
              <w:t>GB12523-2011</w:t>
            </w:r>
            <w:r>
              <w:rPr>
                <w:rFonts w:hint="default" w:hAnsi="宋体"/>
                <w:color w:val="auto"/>
                <w:sz w:val="24"/>
                <w:highlight w:val="none"/>
              </w:rPr>
              <w:t>）的要求。</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color w:val="auto"/>
                <w:sz w:val="24"/>
                <w:highlight w:val="none"/>
              </w:rPr>
            </w:pPr>
            <w:r>
              <w:rPr>
                <w:rFonts w:hint="default" w:hAnsi="宋体"/>
                <w:color w:val="auto"/>
                <w:sz w:val="24"/>
                <w:highlight w:val="none"/>
              </w:rPr>
              <w:t>因此，本项目施工期间对周围声环境的影响较小。</w:t>
            </w:r>
          </w:p>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b/>
                <w:color w:val="auto"/>
                <w:spacing w:val="6"/>
                <w:sz w:val="24"/>
                <w:highlight w:val="none"/>
              </w:rPr>
            </w:pPr>
            <w:r>
              <w:rPr>
                <w:rFonts w:hint="default" w:ascii="Times New Roman" w:hAnsi="Times New Roman" w:eastAsia="宋体" w:cs="Times New Roman"/>
                <w:b/>
                <w:color w:val="auto"/>
                <w:spacing w:val="6"/>
                <w:sz w:val="24"/>
                <w:highlight w:val="none"/>
              </w:rPr>
              <w:t>4、</w:t>
            </w:r>
            <w:r>
              <w:rPr>
                <w:rFonts w:hint="eastAsia" w:ascii="Times New Roman" w:hAnsi="Times New Roman" w:eastAsia="宋体" w:cs="Times New Roman"/>
                <w:b/>
                <w:color w:val="auto"/>
                <w:spacing w:val="6"/>
                <w:sz w:val="24"/>
                <w:highlight w:val="none"/>
                <w:lang w:eastAsia="zh-CN"/>
              </w:rPr>
              <w:t>施工期</w:t>
            </w:r>
            <w:r>
              <w:rPr>
                <w:rFonts w:hint="default" w:ascii="Times New Roman" w:hAnsi="Times New Roman" w:eastAsia="宋体" w:cs="Times New Roman"/>
                <w:b/>
                <w:color w:val="auto"/>
                <w:spacing w:val="6"/>
                <w:sz w:val="24"/>
                <w:highlight w:val="none"/>
              </w:rPr>
              <w:t>固体废物环境影响分析</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施工期的固体废弃物主要施工建设过程中产生的建筑垃圾以及施工人员的生活垃圾。</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经实际勘察，项目场地不规整，办公区生活区及物料堆场区域需要垫方，加工区及沉淀池等区域需要挖方，项目产生的挖方全部用于场地平整，无弃土、无借方。</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建筑垃圾主要是无机类物质，有机成分含量较低。由于垃圾中的主要成分为无机垃圾，因此燃烧热值小，适于填埋处理。产生的建筑垃圾全部运往相关部门指定地点合理处置，对环境影响较小。</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施工期施工人员产生的生活垃圾，统一收集后由专人清运至附近村镇生活垃圾集中收集点，再交由当地环卫部门定期清</w:t>
            </w:r>
            <w:r>
              <w:rPr>
                <w:rFonts w:hint="eastAsia" w:hAnsi="宋体"/>
                <w:color w:val="auto"/>
                <w:sz w:val="24"/>
                <w:highlight w:val="none"/>
                <w:lang w:eastAsia="zh-CN"/>
              </w:rPr>
              <w:t>理</w:t>
            </w:r>
            <w:r>
              <w:rPr>
                <w:rFonts w:hint="default" w:hAnsi="宋体"/>
                <w:color w:val="auto"/>
                <w:sz w:val="24"/>
                <w:highlight w:val="none"/>
              </w:rPr>
              <w:t>至生活垃圾填埋场处置。固体废物的运输必须加盖篷布，避免发生垃圾洒落，尽量减轻垃圾运输对环境的影响。</w:t>
            </w:r>
          </w:p>
          <w:p>
            <w:pPr>
              <w:keepNext w:val="0"/>
              <w:keepLines w:val="0"/>
              <w:suppressLineNumbers w:val="0"/>
              <w:adjustRightInd w:val="0"/>
              <w:snapToGrid w:val="0"/>
              <w:spacing w:before="0" w:beforeAutospacing="0" w:after="0" w:afterAutospacing="0" w:line="360" w:lineRule="auto"/>
              <w:ind w:left="0" w:right="0" w:firstLine="480" w:firstLineChars="200"/>
              <w:rPr>
                <w:rFonts w:hint="default"/>
                <w:color w:val="auto"/>
                <w:sz w:val="24"/>
                <w:highlight w:val="none"/>
              </w:rPr>
            </w:pPr>
            <w:r>
              <w:rPr>
                <w:rFonts w:hint="default" w:hAnsi="宋体"/>
                <w:color w:val="auto"/>
                <w:sz w:val="24"/>
                <w:highlight w:val="none"/>
              </w:rPr>
              <w:t>项目砂石料加工场地经简单平整、修复后即可利用，产生少量土石方（沉淀池等）用于场地平整及坑道填筑，无弃土排放。</w:t>
            </w:r>
          </w:p>
          <w:p>
            <w:pPr>
              <w:keepNext w:val="0"/>
              <w:keepLines w:val="0"/>
              <w:suppressLineNumbers w:val="0"/>
              <w:adjustRightInd w:val="0"/>
              <w:snapToGrid w:val="0"/>
              <w:spacing w:before="0" w:beforeAutospacing="0" w:after="0" w:afterAutospacing="0" w:line="360" w:lineRule="auto"/>
              <w:ind w:left="0" w:right="0"/>
              <w:rPr>
                <w:rFonts w:hint="default"/>
                <w:b/>
                <w:color w:val="auto"/>
                <w:sz w:val="24"/>
                <w:highlight w:val="none"/>
              </w:rPr>
            </w:pPr>
            <w:r>
              <w:rPr>
                <w:rFonts w:hint="default"/>
                <w:b/>
                <w:color w:val="auto"/>
                <w:spacing w:val="6"/>
                <w:sz w:val="24"/>
                <w:highlight w:val="none"/>
              </w:rPr>
              <w:t>5</w:t>
            </w:r>
            <w:r>
              <w:rPr>
                <w:rFonts w:hint="default" w:hAnsi="宋体"/>
                <w:b/>
                <w:color w:val="auto"/>
                <w:spacing w:val="6"/>
                <w:sz w:val="24"/>
                <w:highlight w:val="none"/>
              </w:rPr>
              <w:t>、</w:t>
            </w:r>
            <w:r>
              <w:rPr>
                <w:rFonts w:hint="default" w:hAnsi="宋体"/>
                <w:b/>
                <w:color w:val="auto"/>
                <w:sz w:val="24"/>
                <w:highlight w:val="none"/>
              </w:rPr>
              <w:t>施工期生态环境影响分析</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bookmarkStart w:id="28" w:name="_Toc8063_WPSOffice_Level3"/>
            <w:r>
              <w:rPr>
                <w:rFonts w:hint="default" w:hAnsi="宋体"/>
                <w:color w:val="auto"/>
                <w:sz w:val="24"/>
                <w:highlight w:val="none"/>
              </w:rPr>
              <w:t>⑴对土地资源的影响</w:t>
            </w:r>
            <w:bookmarkEnd w:id="28"/>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基于本项目场址地处西北内陆干旱地区，生态系统极其脆弱，土地资源再生能力亦很弱，稍有冲击，就会造成原有平衡的失调，导致土地的趋劣发展。所以在项目建设中须对区内土地资源的保护与恢复引起高度重视。</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bookmarkStart w:id="29" w:name="_Toc8362_WPSOffice_Level3"/>
            <w:r>
              <w:rPr>
                <w:rFonts w:hint="default" w:hAnsi="宋体"/>
                <w:color w:val="auto"/>
                <w:sz w:val="24"/>
                <w:highlight w:val="none"/>
              </w:rPr>
              <w:t>⑵对野生动物的影响分析</w:t>
            </w:r>
            <w:bookmarkEnd w:id="29"/>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r>
              <w:rPr>
                <w:rFonts w:hint="default" w:hAnsi="宋体"/>
                <w:color w:val="auto"/>
                <w:sz w:val="24"/>
                <w:highlight w:val="none"/>
              </w:rPr>
              <w:t>施工机械噪声和人员活动噪声是对野生动物的主要影响因素。各种施工机械可产生较强烈的噪声，对野生动物造成惊扰，缩小了动物的活动范围。经过对当地的调查，区域内没有大型野生动物出没，哺乳动物主要是鼠、兔等小型动物，因此施工期对野生动物的影响十分有限。</w:t>
            </w:r>
          </w:p>
          <w:p>
            <w:pPr>
              <w:keepNext w:val="0"/>
              <w:keepLines w:val="0"/>
              <w:suppressLineNumbers w:val="0"/>
              <w:adjustRightInd w:val="0"/>
              <w:snapToGrid w:val="0"/>
              <w:spacing w:before="0" w:beforeAutospacing="0" w:after="0" w:afterAutospacing="0" w:line="360" w:lineRule="auto"/>
              <w:ind w:left="0" w:right="0" w:firstLine="480"/>
              <w:rPr>
                <w:rFonts w:hint="default"/>
                <w:color w:val="auto"/>
                <w:sz w:val="24"/>
                <w:highlight w:val="none"/>
              </w:rPr>
            </w:pPr>
            <w:bookmarkStart w:id="30" w:name="_Toc8308_WPSOffice_Level3"/>
            <w:r>
              <w:rPr>
                <w:rFonts w:hint="default" w:hAnsi="宋体"/>
                <w:color w:val="auto"/>
                <w:sz w:val="24"/>
                <w:highlight w:val="none"/>
              </w:rPr>
              <w:t>⑶施工期地质环境影响分析</w:t>
            </w:r>
            <w:bookmarkEnd w:id="30"/>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r>
              <w:rPr>
                <w:rFonts w:hint="default" w:hAnsi="宋体"/>
                <w:color w:val="auto"/>
                <w:sz w:val="24"/>
                <w:highlight w:val="none"/>
              </w:rPr>
              <w:t>本项目施工期间工程量主要为办公生活区及其辅助用房的建设，工程量较小，土石方开挖较小，不会对当地地质环境造成破坏。但工程施工造成地表层破坏，会改变原有地形地貌。</w:t>
            </w:r>
          </w:p>
          <w:p>
            <w:pPr>
              <w:pStyle w:val="2"/>
              <w:rPr>
                <w:rFonts w:hint="default" w:hAnsi="宋体"/>
                <w:color w:val="auto"/>
                <w:sz w:val="24"/>
                <w:highlight w:val="none"/>
              </w:rPr>
            </w:pPr>
          </w:p>
          <w:p>
            <w:pPr>
              <w:pStyle w:val="2"/>
              <w:rPr>
                <w:rFonts w:hint="default" w:hAnsi="宋体"/>
                <w:color w:val="auto"/>
                <w:sz w:val="24"/>
                <w:highlight w:val="none"/>
              </w:rPr>
            </w:pPr>
          </w:p>
          <w:p>
            <w:pPr>
              <w:pStyle w:val="2"/>
              <w:rPr>
                <w:rFonts w:hint="default" w:hAnsi="宋体"/>
                <w:color w:val="auto"/>
                <w:sz w:val="24"/>
                <w:highlight w:val="none"/>
              </w:rPr>
            </w:pPr>
          </w:p>
          <w:p>
            <w:pPr>
              <w:pStyle w:val="2"/>
              <w:rPr>
                <w:rFonts w:hint="default" w:hAnsi="宋体"/>
                <w:color w:val="auto"/>
                <w:sz w:val="24"/>
                <w:highlight w:val="none"/>
              </w:rPr>
            </w:pPr>
          </w:p>
          <w:p>
            <w:pPr>
              <w:pStyle w:val="2"/>
              <w:rPr>
                <w:rFonts w:hint="default" w:hAnsi="宋体"/>
                <w:color w:val="auto"/>
                <w:sz w:val="24"/>
                <w:highlight w:val="none"/>
              </w:rPr>
            </w:pPr>
          </w:p>
          <w:p>
            <w:pPr>
              <w:pStyle w:val="2"/>
              <w:rPr>
                <w:rFonts w:hint="default" w:hAnsi="宋体"/>
                <w:color w:val="auto"/>
                <w:sz w:val="24"/>
                <w:highlight w:val="none"/>
              </w:rPr>
            </w:pPr>
          </w:p>
          <w:p>
            <w:pPr>
              <w:pStyle w:val="2"/>
              <w:rPr>
                <w:rFonts w:hint="default" w:hAnsi="宋体"/>
                <w:color w:val="auto"/>
                <w:sz w:val="24"/>
                <w:highlight w:val="none"/>
              </w:rPr>
            </w:pPr>
          </w:p>
          <w:p>
            <w:pPr>
              <w:pStyle w:val="2"/>
              <w:rPr>
                <w:rFonts w:hint="default" w:hAnsi="宋体"/>
                <w:color w:val="auto"/>
                <w:sz w:val="24"/>
                <w:highlight w:val="none"/>
              </w:rPr>
            </w:pPr>
          </w:p>
          <w:p>
            <w:pPr>
              <w:pStyle w:val="2"/>
              <w:rPr>
                <w:rFonts w:hint="default" w:hAnsi="宋体"/>
                <w:color w:val="auto"/>
                <w:sz w:val="24"/>
                <w:highlight w:val="none"/>
              </w:rPr>
            </w:pPr>
          </w:p>
          <w:p>
            <w:pPr>
              <w:pStyle w:val="2"/>
              <w:rPr>
                <w:rFonts w:hint="default" w:hAnsi="宋体"/>
                <w:color w:val="auto"/>
                <w:sz w:val="24"/>
                <w:highlight w:val="none"/>
              </w:rPr>
            </w:pPr>
          </w:p>
          <w:p>
            <w:pPr>
              <w:pStyle w:val="2"/>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80"/>
              <w:rPr>
                <w:rFonts w:hint="default" w:hAnsi="宋体"/>
                <w:color w:val="auto"/>
                <w:sz w:val="24"/>
                <w:highlight w:val="none"/>
              </w:rPr>
            </w:pPr>
          </w:p>
          <w:p>
            <w:pPr>
              <w:keepNext w:val="0"/>
              <w:keepLines w:val="0"/>
              <w:suppressLineNumbers w:val="0"/>
              <w:adjustRightInd w:val="0"/>
              <w:snapToGrid w:val="0"/>
              <w:spacing w:before="0" w:beforeAutospacing="0" w:after="0" w:afterAutospacing="0" w:line="360" w:lineRule="auto"/>
              <w:ind w:left="0" w:right="0" w:firstLine="420" w:firstLineChars="20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25" w:hRule="atLeast"/>
          <w:jc w:val="center"/>
        </w:trPr>
        <w:tc>
          <w:tcPr>
            <w:tcW w:w="535" w:type="dxa"/>
            <w:noWrap w:val="0"/>
            <w:tcMar>
              <w:left w:w="28" w:type="dxa"/>
              <w:right w:w="28" w:type="dxa"/>
            </w:tcMar>
            <w:vAlign w:val="center"/>
          </w:tcPr>
          <w:p>
            <w:pPr>
              <w:pStyle w:val="25"/>
              <w:adjustRightInd w:val="0"/>
              <w:snapToGrid w:val="0"/>
              <w:spacing w:before="0" w:beforeAutospacing="0" w:after="0" w:afterAutospacing="0"/>
              <w:jc w:val="center"/>
              <w:rPr>
                <w:rFonts w:ascii="Times New Roman" w:hAnsi="Times New Roman"/>
                <w:bCs/>
                <w:kern w:val="2"/>
                <w:sz w:val="21"/>
                <w:szCs w:val="21"/>
                <w:highlight w:val="yellow"/>
                <w:lang w:val="en-US" w:eastAsia="zh-CN"/>
              </w:rPr>
            </w:pPr>
            <w:r>
              <w:rPr>
                <w:rFonts w:ascii="Times New Roman" w:hAnsi="Times New Roman"/>
                <w:bCs/>
                <w:spacing w:val="10"/>
                <w:kern w:val="2"/>
                <w:sz w:val="24"/>
                <w:szCs w:val="24"/>
                <w:lang w:val="en-US" w:eastAsia="zh-CN"/>
              </w:rPr>
              <w:t>运营期生态环境影响分析</w:t>
            </w:r>
          </w:p>
        </w:tc>
        <w:tc>
          <w:tcPr>
            <w:tcW w:w="9244" w:type="dxa"/>
            <w:noWrap w:val="0"/>
            <w:vAlign w:val="top"/>
          </w:tcPr>
          <w:p>
            <w:pPr>
              <w:keepNext w:val="0"/>
              <w:keepLines w:val="0"/>
              <w:suppressLineNumbers w:val="0"/>
              <w:adjustRightInd w:val="0"/>
              <w:snapToGrid w:val="0"/>
              <w:spacing w:before="0" w:beforeAutospacing="0" w:after="0" w:afterAutospacing="0" w:line="360" w:lineRule="auto"/>
              <w:ind w:left="0" w:right="0"/>
              <w:rPr>
                <w:rFonts w:hint="default" w:ascii="Times New Roman" w:hAnsi="Times New Roman" w:eastAsia="宋体" w:cs="Times New Roman"/>
                <w:b/>
                <w:color w:val="auto"/>
                <w:spacing w:val="6"/>
                <w:sz w:val="24"/>
                <w:highlight w:val="none"/>
              </w:rPr>
            </w:pPr>
            <w:r>
              <w:rPr>
                <w:rFonts w:hint="eastAsia" w:ascii="Times New Roman" w:hAnsi="Times New Roman" w:eastAsia="宋体" w:cs="Times New Roman"/>
                <w:b/>
                <w:color w:val="auto"/>
                <w:spacing w:val="6"/>
                <w:sz w:val="24"/>
                <w:highlight w:val="none"/>
                <w:lang w:val="en-US" w:eastAsia="zh-CN"/>
              </w:rPr>
              <w:t>1、</w:t>
            </w:r>
            <w:r>
              <w:rPr>
                <w:rFonts w:hint="default" w:ascii="Times New Roman" w:hAnsi="Times New Roman" w:eastAsia="宋体" w:cs="Times New Roman"/>
                <w:b/>
                <w:color w:val="auto"/>
                <w:spacing w:val="6"/>
                <w:sz w:val="24"/>
                <w:highlight w:val="none"/>
              </w:rPr>
              <w:t>工艺流程简述</w:t>
            </w:r>
          </w:p>
          <w:p>
            <w:pPr>
              <w:adjustRightInd w:val="0"/>
              <w:snapToGrid w:val="0"/>
              <w:spacing w:line="360" w:lineRule="auto"/>
              <w:ind w:firstLine="482" w:firstLineChars="200"/>
              <w:rPr>
                <w:rFonts w:hint="default" w:cs="Times New Roman"/>
                <w:b/>
                <w:bCs/>
                <w:sz w:val="24"/>
                <w:szCs w:val="24"/>
                <w:lang w:val="en-US" w:eastAsia="zh-CN"/>
              </w:rPr>
            </w:pPr>
            <w:r>
              <w:rPr>
                <w:rFonts w:hint="eastAsia" w:cs="Times New Roman"/>
                <w:b/>
                <w:bCs/>
                <w:sz w:val="24"/>
                <w:szCs w:val="24"/>
                <w:lang w:val="en-US" w:eastAsia="zh-CN"/>
              </w:rPr>
              <w:t>(1)采矿区</w:t>
            </w:r>
          </w:p>
          <w:p>
            <w:pPr>
              <w:adjustRightInd w:val="0"/>
              <w:snapToGrid w:val="0"/>
              <w:spacing w:line="360" w:lineRule="auto"/>
              <w:ind w:firstLine="480" w:firstLineChars="200"/>
              <w:rPr>
                <w:rFonts w:hint="default" w:ascii="Times New Roman" w:hAnsi="Times New Roman" w:cs="Times New Roman"/>
                <w:sz w:val="24"/>
                <w:szCs w:val="24"/>
              </w:rPr>
            </w:pPr>
            <w:r>
              <w:rPr>
                <w:rFonts w:hint="eastAsia" w:cs="Times New Roman"/>
                <w:sz w:val="24"/>
                <w:szCs w:val="24"/>
                <w:lang w:eastAsia="zh-CN"/>
              </w:rPr>
              <w:t>采矿场</w:t>
            </w:r>
            <w:r>
              <w:rPr>
                <w:rFonts w:hint="default" w:ascii="Times New Roman" w:hAnsi="Times New Roman" w:cs="Times New Roman"/>
                <w:sz w:val="24"/>
                <w:szCs w:val="24"/>
              </w:rPr>
              <w:t>采取露天开采方法，最终</w:t>
            </w:r>
            <w:r>
              <w:rPr>
                <w:rFonts w:hint="eastAsia" w:cs="Times New Roman"/>
                <w:sz w:val="24"/>
                <w:szCs w:val="24"/>
                <w:lang w:eastAsia="zh-CN"/>
              </w:rPr>
              <w:t>项目矿区</w:t>
            </w:r>
            <w:r>
              <w:rPr>
                <w:rFonts w:hint="default" w:ascii="Times New Roman" w:hAnsi="Times New Roman" w:cs="Times New Roman"/>
                <w:sz w:val="24"/>
                <w:szCs w:val="24"/>
              </w:rPr>
              <w:t>服务期满后</w:t>
            </w:r>
            <w:r>
              <w:rPr>
                <w:rFonts w:hint="default" w:ascii="Times New Roman" w:hAnsi="Times New Roman" w:cs="Times New Roman"/>
                <w:spacing w:val="-13"/>
                <w:sz w:val="24"/>
                <w:szCs w:val="24"/>
              </w:rPr>
              <w:t>需进行治理恢复。从环保角度分析，</w:t>
            </w:r>
            <w:r>
              <w:rPr>
                <w:rFonts w:hint="default" w:ascii="Times New Roman" w:hAnsi="Times New Roman" w:cs="Times New Roman"/>
                <w:sz w:val="24"/>
                <w:szCs w:val="24"/>
              </w:rPr>
              <w:t>矿区开采过程可分为前期（准备期），开采期（运营期）和关闭期（封闭期），其各阶段的主要任务及产污环节见图</w:t>
            </w:r>
            <w:r>
              <w:rPr>
                <w:rFonts w:hint="eastAsia" w:cs="Times New Roman"/>
                <w:sz w:val="24"/>
                <w:szCs w:val="24"/>
                <w:lang w:val="en-US" w:eastAsia="zh-CN"/>
              </w:rPr>
              <w:t>4-1</w:t>
            </w:r>
            <w:r>
              <w:rPr>
                <w:rFonts w:hint="default" w:ascii="Times New Roman" w:hAnsi="Times New Roman" w:cs="Times New Roman"/>
                <w:sz w:val="24"/>
                <w:szCs w:val="24"/>
              </w:rPr>
              <w:t>。</w:t>
            </w:r>
          </w:p>
          <w:tbl>
            <w:tblPr>
              <w:tblStyle w:val="29"/>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1" w:hRule="atLeast"/>
              </w:trPr>
              <w:tc>
                <w:tcPr>
                  <w:tcW w:w="7480" w:type="dxa"/>
                  <w:tcBorders>
                    <w:tl2br w:val="nil"/>
                    <w:tr2bl w:val="nil"/>
                  </w:tcBorders>
                  <w:vAlign w:val="top"/>
                </w:tcPr>
                <w:p>
                  <w:pPr>
                    <w:pStyle w:val="35"/>
                    <w:ind w:left="0" w:leftChars="0" w:firstLine="0" w:firstLineChars="0"/>
                    <w:jc w:val="both"/>
                    <w:rPr>
                      <w:vertAlign w:val="baseline"/>
                    </w:rPr>
                  </w:pPr>
                  <w:r>
                    <w:drawing>
                      <wp:anchor distT="0" distB="0" distL="114935" distR="114935" simplePos="0" relativeHeight="251664384" behindDoc="0" locked="0" layoutInCell="1" allowOverlap="1">
                        <wp:simplePos x="0" y="0"/>
                        <wp:positionH relativeFrom="column">
                          <wp:posOffset>133350</wp:posOffset>
                        </wp:positionH>
                        <wp:positionV relativeFrom="paragraph">
                          <wp:posOffset>31115</wp:posOffset>
                        </wp:positionV>
                        <wp:extent cx="4312285" cy="3592195"/>
                        <wp:effectExtent l="0" t="0" r="12065" b="8255"/>
                        <wp:wrapTopAndBottom/>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17"/>
                                <a:stretch>
                                  <a:fillRect/>
                                </a:stretch>
                              </pic:blipFill>
                              <pic:spPr>
                                <a:xfrm>
                                  <a:off x="0" y="0"/>
                                  <a:ext cx="4312285" cy="3592195"/>
                                </a:xfrm>
                                <a:prstGeom prst="rect">
                                  <a:avLst/>
                                </a:prstGeom>
                                <a:noFill/>
                                <a:ln>
                                  <a:noFill/>
                                </a:ln>
                              </pic:spPr>
                            </pic:pic>
                          </a:graphicData>
                        </a:graphic>
                      </wp:anchor>
                    </w:drawing>
                  </w:r>
                </w:p>
              </w:tc>
            </w:tr>
          </w:tbl>
          <w:p>
            <w:pPr>
              <w:keepNext w:val="0"/>
              <w:keepLines w:val="0"/>
              <w:pageBreakBefore w:val="0"/>
              <w:widowControl w:val="0"/>
              <w:tabs>
                <w:tab w:val="left" w:pos="753"/>
              </w:tabs>
              <w:kinsoku/>
              <w:wordWrap/>
              <w:overflowPunct/>
              <w:topLinePunct w:val="0"/>
              <w:autoSpaceDE w:val="0"/>
              <w:autoSpaceDN w:val="0"/>
              <w:bidi w:val="0"/>
              <w:adjustRightInd/>
              <w:snapToGrid/>
              <w:spacing w:before="0" w:line="360" w:lineRule="auto"/>
              <w:ind w:left="0" w:right="0" w:firstLine="0" w:firstLineChars="0"/>
              <w:jc w:val="center"/>
              <w:textAlignment w:val="auto"/>
              <w:rPr>
                <w:b/>
                <w:sz w:val="21"/>
              </w:rPr>
            </w:pPr>
            <w:r>
              <w:rPr>
                <w:b/>
                <w:sz w:val="24"/>
                <w:szCs w:val="24"/>
              </w:rPr>
              <w:t>图</w:t>
            </w:r>
            <w:r>
              <w:rPr>
                <w:rFonts w:hint="eastAsia"/>
                <w:b/>
                <w:sz w:val="24"/>
                <w:szCs w:val="24"/>
                <w:lang w:val="en-US" w:eastAsia="zh-CN"/>
              </w:rPr>
              <w:t>4-1</w:t>
            </w:r>
            <w:r>
              <w:rPr>
                <w:b/>
                <w:sz w:val="24"/>
                <w:szCs w:val="24"/>
              </w:rPr>
              <w:tab/>
            </w:r>
            <w:r>
              <w:rPr>
                <w:rFonts w:hint="eastAsia"/>
                <w:b/>
                <w:sz w:val="24"/>
                <w:szCs w:val="24"/>
                <w:lang w:val="en-US" w:eastAsia="zh-CN"/>
              </w:rPr>
              <w:t xml:space="preserve">    </w:t>
            </w:r>
            <w:r>
              <w:rPr>
                <w:rFonts w:hint="eastAsia" w:ascii="Times New Roman" w:eastAsia="宋体"/>
                <w:b/>
                <w:sz w:val="24"/>
                <w:szCs w:val="24"/>
                <w:lang w:val="en-US" w:eastAsia="zh-CN"/>
              </w:rPr>
              <w:t xml:space="preserve">    </w:t>
            </w:r>
            <w:r>
              <w:rPr>
                <w:b/>
                <w:sz w:val="24"/>
                <w:szCs w:val="24"/>
              </w:rPr>
              <w:t>各阶段主要任务</w:t>
            </w:r>
            <w:r>
              <w:rPr>
                <w:b/>
                <w:spacing w:val="-3"/>
                <w:sz w:val="24"/>
                <w:szCs w:val="24"/>
              </w:rPr>
              <w:t>及</w:t>
            </w:r>
            <w:r>
              <w:rPr>
                <w:b/>
                <w:sz w:val="24"/>
                <w:szCs w:val="24"/>
              </w:rPr>
              <w:t>产</w:t>
            </w:r>
            <w:r>
              <w:rPr>
                <w:rFonts w:hint="eastAsia"/>
                <w:b/>
                <w:sz w:val="24"/>
                <w:szCs w:val="24"/>
                <w:lang w:eastAsia="zh-CN"/>
              </w:rPr>
              <w:t>污</w:t>
            </w:r>
            <w:r>
              <w:rPr>
                <w:b/>
                <w:sz w:val="24"/>
                <w:szCs w:val="24"/>
              </w:rPr>
              <w:t>环节</w:t>
            </w:r>
          </w:p>
          <w:p>
            <w:pPr>
              <w:adjustRightInd w:val="0"/>
              <w:snapToGrid w:val="0"/>
              <w:spacing w:line="360" w:lineRule="auto"/>
              <w:ind w:firstLine="480" w:firstLineChars="200"/>
              <w:rPr>
                <w:rFonts w:hint="eastAsia" w:ascii="Times New Roman" w:hAnsi="Times New Roman" w:eastAsia="宋体" w:cs="Times New Roman"/>
                <w:sz w:val="24"/>
              </w:rPr>
            </w:pPr>
            <w:r>
              <w:rPr>
                <w:rFonts w:hint="eastAsia" w:ascii="Times New Roman" w:hAnsi="Times New Roman" w:eastAsia="宋体" w:cs="Times New Roman"/>
                <w:sz w:val="24"/>
              </w:rPr>
              <w:t>矿区开采前期（准备期）</w:t>
            </w:r>
          </w:p>
          <w:p>
            <w:pPr>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本项目采用露天作业，使用挖掘机或装载机进行开采。</w:t>
            </w:r>
          </w:p>
          <w:p>
            <w:pPr>
              <w:adjustRightInd w:val="0"/>
              <w:snapToGrid w:val="0"/>
              <w:spacing w:line="360" w:lineRule="auto"/>
              <w:ind w:firstLine="480" w:firstLineChars="200"/>
              <w:rPr>
                <w:rFonts w:hint="default"/>
                <w:lang w:val="en-US" w:eastAsia="zh-CN"/>
              </w:rPr>
            </w:pPr>
            <w:r>
              <w:rPr>
                <w:rFonts w:hint="eastAsia" w:ascii="Times New Roman" w:hAnsi="Times New Roman" w:eastAsia="宋体" w:cs="Times New Roman"/>
                <w:sz w:val="24"/>
                <w:lang w:eastAsia="zh-CN"/>
              </w:rPr>
              <w:t>采矿场</w:t>
            </w:r>
            <w:r>
              <w:rPr>
                <w:rFonts w:ascii="Times New Roman" w:hAnsi="Times New Roman" w:eastAsia="宋体" w:cs="Times New Roman"/>
                <w:sz w:val="24"/>
              </w:rPr>
              <w:t>开采前期的施工活动主要包括矿区道路，作好开采前的准备。这一阶段对环境影响的主要因素是矿区道路</w:t>
            </w:r>
            <w:r>
              <w:rPr>
                <w:rFonts w:hint="eastAsia" w:ascii="Times New Roman" w:hAnsi="Times New Roman" w:eastAsia="宋体" w:cs="Times New Roman"/>
                <w:sz w:val="24"/>
                <w:lang w:eastAsia="zh-CN"/>
              </w:rPr>
              <w:t>修建</w:t>
            </w:r>
            <w:r>
              <w:rPr>
                <w:rFonts w:ascii="Times New Roman" w:hAnsi="Times New Roman" w:eastAsia="宋体" w:cs="Times New Roman"/>
                <w:sz w:val="24"/>
              </w:rPr>
              <w:t>过程中扰动地表土层，造成局部地段植被破坏，对野生动物及其生存环境产生干扰与影响。</w:t>
            </w:r>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矿山开采主要工艺过程为：</w:t>
            </w:r>
          </w:p>
          <w:p>
            <w:pPr>
              <w:pStyle w:val="69"/>
              <w:spacing w:line="360" w:lineRule="auto"/>
              <w:rPr>
                <w:rFonts w:hint="default" w:ascii="Times New Roman" w:hAnsi="Times New Roman" w:cs="Times New Roman"/>
                <w:sz w:val="24"/>
                <w:szCs w:val="24"/>
              </w:rPr>
            </w:pPr>
            <w:r>
              <w:rPr>
                <w:rFonts w:hint="eastAsia" w:ascii="Times New Roman" w:hAnsi="Times New Roman" w:cs="Times New Roman"/>
                <w:sz w:val="24"/>
                <w:szCs w:val="24"/>
                <w:lang w:eastAsia="zh-CN"/>
              </w:rPr>
              <w:t>清表</w:t>
            </w:r>
            <w:r>
              <w:rPr>
                <w:rFonts w:hint="default" w:ascii="Times New Roman" w:hAnsi="Times New Roman" w:cs="Times New Roman"/>
                <w:sz w:val="24"/>
                <w:szCs w:val="24"/>
              </w:rPr>
              <w:t>—穿孔—爆破—铲装运输</w:t>
            </w:r>
          </w:p>
          <w:p>
            <w:pPr>
              <w:pStyle w:val="69"/>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工艺过程简述如下：</w:t>
            </w:r>
          </w:p>
          <w:p>
            <w:pPr>
              <w:pStyle w:val="69"/>
              <w:spacing w:line="360" w:lineRule="auto"/>
            </w:pPr>
            <w:r>
              <w:rPr>
                <w:rFonts w:hint="eastAsia"/>
                <w:b w:val="0"/>
                <w:bCs/>
                <w:sz w:val="24"/>
                <w:lang w:eastAsia="zh-CN"/>
              </w:rPr>
              <w:t>先进行</w:t>
            </w:r>
            <w:r>
              <w:rPr>
                <w:rFonts w:hint="eastAsia"/>
                <w:b w:val="0"/>
                <w:bCs/>
                <w:sz w:val="24"/>
              </w:rPr>
              <w:t>表土剥离</w:t>
            </w:r>
            <w:r>
              <w:rPr>
                <w:rFonts w:hint="eastAsia"/>
                <w:b w:val="0"/>
                <w:bCs/>
                <w:sz w:val="24"/>
                <w:lang w:eastAsia="zh-CN"/>
              </w:rPr>
              <w:t>，再</w:t>
            </w:r>
            <w:r>
              <w:rPr>
                <w:rFonts w:hint="default" w:ascii="Times New Roman" w:hAnsi="Times New Roman" w:cs="Times New Roman"/>
                <w:sz w:val="24"/>
                <w:szCs w:val="24"/>
              </w:rPr>
              <w:t xml:space="preserve">采用小型潜孔钻机穿孔，中-深孔多排微差爆破法进行矿石开采。对爆堆中的300mm以上的大块矿石，采用与挖掘机配套的破碎锤进行破碎；300mm以下的矿石采用挖掘机将矿石装入自卸汽车运至破碎站卸料平台。 </w:t>
            </w:r>
          </w:p>
          <w:p>
            <w:pPr>
              <w:pStyle w:val="35"/>
              <w:rPr>
                <w:rFonts w:hint="default"/>
                <w:highlight w:val="none"/>
              </w:rPr>
            </w:pPr>
            <w:r>
              <w:rPr>
                <w:rFonts w:hint="eastAsia"/>
                <w:highlight w:val="none"/>
                <w:lang w:val="en-US" w:eastAsia="zh-CN"/>
              </w:rPr>
              <w:t xml:space="preserve">   </w:t>
            </w:r>
            <w:r>
              <w:rPr>
                <w:rFonts w:hint="default"/>
                <w:highlight w:val="none"/>
              </w:rPr>
              <w:drawing>
                <wp:inline distT="0" distB="0" distL="114300" distR="114300">
                  <wp:extent cx="3215640" cy="2554605"/>
                  <wp:effectExtent l="0" t="0" r="0" b="0"/>
                  <wp:docPr id="52"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CB019B1-382A-4266-B25C-5B523AA43C14-1" descr="qt_temp"/>
                          <pic:cNvPicPr>
                            <a:picLocks noChangeAspect="1"/>
                          </pic:cNvPicPr>
                        </pic:nvPicPr>
                        <pic:blipFill>
                          <a:blip r:embed="rId18"/>
                          <a:stretch>
                            <a:fillRect/>
                          </a:stretch>
                        </pic:blipFill>
                        <pic:spPr>
                          <a:xfrm>
                            <a:off x="0" y="0"/>
                            <a:ext cx="3215640" cy="2554605"/>
                          </a:xfrm>
                          <a:prstGeom prst="rect">
                            <a:avLst/>
                          </a:prstGeom>
                        </pic:spPr>
                      </pic:pic>
                    </a:graphicData>
                  </a:graphic>
                </wp:inline>
              </w:drawing>
            </w:r>
          </w:p>
          <w:p>
            <w:pPr>
              <w:pStyle w:val="35"/>
              <w:jc w:val="center"/>
              <w:rPr>
                <w:rFonts w:hint="default"/>
                <w:b/>
                <w:bCs/>
                <w:highlight w:val="none"/>
              </w:rPr>
            </w:pPr>
            <w:r>
              <w:rPr>
                <w:rFonts w:hint="eastAsia" w:ascii="Times New Roman" w:hAnsi="Times New Roman" w:cs="Times New Roman"/>
                <w:b/>
                <w:bCs/>
                <w:sz w:val="24"/>
                <w:szCs w:val="24"/>
                <w:highlight w:val="none"/>
                <w:lang w:val="en-US" w:eastAsia="zh-CN"/>
              </w:rPr>
              <w:t xml:space="preserve">图4-2    </w:t>
            </w:r>
            <w:r>
              <w:rPr>
                <w:rFonts w:hint="default" w:ascii="Times New Roman" w:hAnsi="Times New Roman" w:cs="Times New Roman"/>
                <w:b/>
                <w:bCs/>
                <w:sz w:val="24"/>
                <w:szCs w:val="24"/>
                <w:highlight w:val="none"/>
              </w:rPr>
              <w:t>采矿工艺流程及产物环节图</w:t>
            </w:r>
          </w:p>
          <w:p>
            <w:pPr>
              <w:adjustRightInd w:val="0"/>
              <w:snapToGrid w:val="0"/>
              <w:spacing w:line="360" w:lineRule="auto"/>
              <w:ind w:firstLine="472" w:firstLineChars="196"/>
              <w:rPr>
                <w:b/>
                <w:sz w:val="24"/>
              </w:rPr>
            </w:pPr>
            <w:r>
              <w:rPr>
                <w:rFonts w:hint="eastAsia"/>
                <w:b/>
                <w:sz w:val="24"/>
                <w:lang w:val="en-US" w:eastAsia="zh-CN"/>
              </w:rPr>
              <w:t>(1)砂石料加工</w:t>
            </w:r>
            <w:r>
              <w:rPr>
                <w:b/>
                <w:sz w:val="24"/>
              </w:rPr>
              <w:t>：</w:t>
            </w:r>
          </w:p>
          <w:p>
            <w:pPr>
              <w:spacing w:line="360" w:lineRule="auto"/>
              <w:ind w:firstLine="480" w:firstLineChars="200"/>
              <w:rPr>
                <w:rFonts w:hAnsi="宋体"/>
                <w:color w:val="auto"/>
                <w:sz w:val="24"/>
              </w:rPr>
            </w:pPr>
            <w:r>
              <w:rPr>
                <w:rFonts w:hint="eastAsia" w:hAnsi="宋体"/>
                <w:color w:val="auto"/>
                <w:sz w:val="24"/>
              </w:rPr>
              <w:t>在采场附近较平坦的区域设破碎</w:t>
            </w:r>
            <w:r>
              <w:rPr>
                <w:rFonts w:hAnsi="宋体"/>
                <w:color w:val="auto"/>
                <w:sz w:val="24"/>
              </w:rPr>
              <w:t>加工生产线，主要工序是破碎和筛分。</w:t>
            </w:r>
            <w:r>
              <w:rPr>
                <w:rFonts w:hint="eastAsia" w:hAnsi="宋体"/>
                <w:color w:val="auto"/>
                <w:sz w:val="24"/>
                <w:lang w:eastAsia="zh-CN"/>
              </w:rPr>
              <w:t>本项目设置全封闭厂房</w:t>
            </w:r>
            <w:r>
              <w:rPr>
                <w:rFonts w:hAnsi="宋体"/>
                <w:color w:val="auto"/>
                <w:sz w:val="24"/>
              </w:rPr>
              <w:t>，项目皮带传送采用密闭传送带。根据需要的产品方案，对矿石进行破碎筛分。采场经装矿，用汽车运输到破碎口，进行破碎，然后利用振动筛进行筛分</w:t>
            </w:r>
            <w:r>
              <w:rPr>
                <w:rFonts w:hint="eastAsia" w:hAnsi="宋体"/>
                <w:color w:val="auto"/>
                <w:sz w:val="24"/>
                <w:lang w:eastAsia="zh-CN"/>
              </w:rPr>
              <w:t>，部分较大粒径的石头进入制砂机制砂</w:t>
            </w:r>
            <w:r>
              <w:rPr>
                <w:rFonts w:hAnsi="宋体"/>
                <w:color w:val="auto"/>
                <w:sz w:val="24"/>
              </w:rPr>
              <w:t>。不符合规格的返回破碎工序再次破碎。</w:t>
            </w:r>
            <w:r>
              <w:rPr>
                <w:rFonts w:hint="eastAsia" w:hAnsi="宋体"/>
                <w:color w:val="auto"/>
                <w:sz w:val="24"/>
              </w:rPr>
              <w:t>破碎、筛分</w:t>
            </w:r>
            <w:r>
              <w:rPr>
                <w:rFonts w:hint="eastAsia" w:hAnsi="宋体"/>
                <w:color w:val="auto"/>
                <w:sz w:val="24"/>
                <w:lang w:eastAsia="zh-CN"/>
              </w:rPr>
              <w:t>、制砂</w:t>
            </w:r>
            <w:r>
              <w:rPr>
                <w:rFonts w:hint="eastAsia" w:hAnsi="宋体"/>
                <w:color w:val="auto"/>
                <w:sz w:val="24"/>
              </w:rPr>
              <w:t>工序全部进行喷淋洒水降尘作业，减轻粉尘污染。筛分机筛下砂土运至料斗，水冲进入筛分机，砾石、碎石筛分后由皮带送至</w:t>
            </w:r>
            <w:r>
              <w:rPr>
                <w:rFonts w:hint="eastAsia" w:hAnsi="宋体"/>
                <w:color w:val="auto"/>
                <w:sz w:val="24"/>
                <w:lang w:eastAsia="zh-CN"/>
              </w:rPr>
              <w:t>洗砂机，之后进入</w:t>
            </w:r>
            <w:r>
              <w:rPr>
                <w:rFonts w:hint="eastAsia" w:hAnsi="宋体"/>
                <w:color w:val="auto"/>
                <w:sz w:val="24"/>
              </w:rPr>
              <w:t>各自产品堆场；分离出的砂土</w:t>
            </w:r>
            <w:r>
              <w:rPr>
                <w:rFonts w:hAnsi="宋体"/>
                <w:color w:val="auto"/>
                <w:sz w:val="24"/>
              </w:rPr>
              <w:t>水洗后，洗沙送至成品堆场，</w:t>
            </w:r>
            <w:r>
              <w:rPr>
                <w:rFonts w:hint="eastAsia" w:hAnsi="宋体"/>
                <w:color w:val="auto"/>
                <w:sz w:val="24"/>
              </w:rPr>
              <w:t>泥水进入沉淀池</w:t>
            </w:r>
            <w:r>
              <w:rPr>
                <w:rFonts w:hAnsi="宋体"/>
                <w:color w:val="auto"/>
                <w:sz w:val="24"/>
              </w:rPr>
              <w:t>。水洗过程其尘土等随流水进入沉淀池，尘土在沉淀池沉积，经</w:t>
            </w:r>
            <w:r>
              <w:rPr>
                <w:rFonts w:hint="eastAsia" w:hAnsi="宋体"/>
                <w:color w:val="auto"/>
                <w:sz w:val="24"/>
                <w:lang w:eastAsia="zh-CN"/>
              </w:rPr>
              <w:t>压滤机处理后</w:t>
            </w:r>
            <w:r>
              <w:rPr>
                <w:rFonts w:hAnsi="宋体"/>
                <w:color w:val="auto"/>
                <w:sz w:val="24"/>
              </w:rPr>
              <w:t>被转移出来。矿砂冲洗水经沉淀池</w:t>
            </w:r>
            <w:r>
              <w:rPr>
                <w:rFonts w:hint="eastAsia" w:hAnsi="宋体"/>
                <w:color w:val="auto"/>
                <w:sz w:val="24"/>
                <w:lang w:val="en-US" w:eastAsia="zh-CN"/>
              </w:rPr>
              <w:t>+压滤机处理后</w:t>
            </w:r>
            <w:r>
              <w:rPr>
                <w:rFonts w:hAnsi="宋体"/>
                <w:color w:val="auto"/>
                <w:sz w:val="24"/>
              </w:rPr>
              <w:t>回用，不外排。</w:t>
            </w:r>
          </w:p>
          <w:p>
            <w:pPr>
              <w:spacing w:line="360" w:lineRule="auto"/>
              <w:ind w:firstLine="480" w:firstLineChars="200"/>
              <w:rPr>
                <w:rFonts w:hAnsi="宋体"/>
                <w:color w:val="auto"/>
                <w:sz w:val="24"/>
              </w:rPr>
            </w:pPr>
            <w:r>
              <w:rPr>
                <w:rFonts w:hint="eastAsia" w:hAnsi="宋体"/>
                <w:color w:val="auto"/>
                <w:sz w:val="24"/>
              </w:rPr>
              <w:t>破碎、筛分</w:t>
            </w:r>
            <w:r>
              <w:rPr>
                <w:rFonts w:hint="eastAsia" w:hAnsi="宋体"/>
                <w:color w:val="auto"/>
                <w:sz w:val="24"/>
                <w:lang w:eastAsia="zh-CN"/>
              </w:rPr>
              <w:t>、制砂</w:t>
            </w:r>
            <w:r>
              <w:rPr>
                <w:rFonts w:hint="eastAsia" w:hAnsi="宋体"/>
                <w:color w:val="auto"/>
                <w:sz w:val="24"/>
              </w:rPr>
              <w:t>工段采用水喷淋降尘；砂土</w:t>
            </w:r>
            <w:r>
              <w:rPr>
                <w:rFonts w:hAnsi="宋体"/>
                <w:color w:val="auto"/>
                <w:sz w:val="24"/>
              </w:rPr>
              <w:t>筛分工段采取</w:t>
            </w:r>
            <w:r>
              <w:rPr>
                <w:rFonts w:hint="eastAsia" w:hAnsi="宋体"/>
                <w:color w:val="auto"/>
                <w:sz w:val="24"/>
              </w:rPr>
              <w:t>水冲</w:t>
            </w:r>
            <w:r>
              <w:rPr>
                <w:rFonts w:hAnsi="宋体"/>
                <w:color w:val="auto"/>
                <w:sz w:val="24"/>
              </w:rPr>
              <w:t>措施，</w:t>
            </w:r>
            <w:r>
              <w:rPr>
                <w:rFonts w:hint="eastAsia" w:hAnsi="宋体"/>
                <w:color w:val="auto"/>
                <w:sz w:val="24"/>
              </w:rPr>
              <w:t>便于砂、石分离的同时，</w:t>
            </w:r>
            <w:r>
              <w:rPr>
                <w:rFonts w:hAnsi="宋体"/>
                <w:color w:val="auto"/>
                <w:sz w:val="24"/>
              </w:rPr>
              <w:t>减少粉尘排放。</w:t>
            </w:r>
          </w:p>
          <w:p>
            <w:pPr>
              <w:spacing w:line="360" w:lineRule="auto"/>
              <w:ind w:firstLine="480" w:firstLineChars="200"/>
              <w:rPr>
                <w:rFonts w:hAnsi="宋体"/>
                <w:color w:val="auto"/>
                <w:sz w:val="24"/>
              </w:rPr>
            </w:pPr>
            <w:r>
              <w:rPr>
                <w:rFonts w:hAnsi="宋体"/>
                <w:color w:val="auto"/>
                <w:sz w:val="24"/>
              </w:rPr>
              <w:t>项目</w:t>
            </w:r>
            <w:r>
              <w:rPr>
                <w:rFonts w:hint="eastAsia" w:hAnsi="宋体"/>
                <w:color w:val="auto"/>
                <w:sz w:val="24"/>
              </w:rPr>
              <w:t>砂石加工</w:t>
            </w:r>
            <w:r>
              <w:rPr>
                <w:rFonts w:hAnsi="宋体"/>
                <w:color w:val="auto"/>
                <w:sz w:val="24"/>
              </w:rPr>
              <w:t>具体工艺过程如图</w:t>
            </w:r>
            <w:r>
              <w:rPr>
                <w:rFonts w:hint="eastAsia" w:hAnsi="宋体"/>
                <w:color w:val="auto"/>
                <w:sz w:val="24"/>
                <w:lang w:val="en-US" w:eastAsia="zh-CN"/>
              </w:rPr>
              <w:t>4-3</w:t>
            </w:r>
            <w:r>
              <w:rPr>
                <w:rFonts w:hAnsi="宋体"/>
                <w:color w:val="auto"/>
                <w:sz w:val="24"/>
              </w:rPr>
              <w:t>所示</w:t>
            </w:r>
            <w:r>
              <w:rPr>
                <w:rFonts w:hint="eastAsia" w:hAnsi="宋体"/>
                <w:color w:val="auto"/>
                <w:sz w:val="24"/>
              </w:rPr>
              <w:t>，</w:t>
            </w:r>
            <w:r>
              <w:rPr>
                <w:rFonts w:hAnsi="宋体"/>
                <w:color w:val="auto"/>
                <w:sz w:val="24"/>
              </w:rPr>
              <w:t>工艺流程如下所述：</w:t>
            </w:r>
          </w:p>
          <w:p>
            <w:pPr>
              <w:pStyle w:val="27"/>
              <w:rPr>
                <w:rFonts w:hAnsi="宋体"/>
                <w:color w:val="auto"/>
                <w:sz w:val="24"/>
              </w:rPr>
            </w:pPr>
          </w:p>
          <w:p>
            <w:pPr>
              <w:rPr>
                <w:rFonts w:hAnsi="宋体"/>
                <w:color w:val="auto"/>
                <w:sz w:val="24"/>
              </w:rPr>
            </w:pPr>
          </w:p>
          <w:p>
            <w:pPr>
              <w:pStyle w:val="27"/>
            </w:pPr>
          </w:p>
          <w:p>
            <w:pPr>
              <w:spacing w:line="360" w:lineRule="auto"/>
              <w:jc w:val="center"/>
              <w:rPr>
                <w:color w:val="auto"/>
                <w:highlight w:val="yellow"/>
              </w:rPr>
            </w:pPr>
            <w:r>
              <w:rPr>
                <w:rFonts w:hint="eastAsia" w:eastAsia="宋体"/>
                <w:b/>
                <w:color w:val="auto"/>
                <w:lang w:eastAsia="zh-CN"/>
              </w:rPr>
              <w:drawing>
                <wp:inline distT="0" distB="0" distL="114300" distR="114300">
                  <wp:extent cx="6055360" cy="4782820"/>
                  <wp:effectExtent l="0" t="0" r="0" b="0"/>
                  <wp:docPr id="174" name="ECB019B1-382A-4266-B25C-5B523AA43C14-2" descr="C:/Users/Administrator/AppData/Local/Temp/qt_temp.IE7104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ECB019B1-382A-4266-B25C-5B523AA43C14-2" descr="C:/Users/Administrator/AppData/Local/Temp/qt_temp.IE7104qt_temp"/>
                          <pic:cNvPicPr>
                            <a:picLocks noChangeAspect="1"/>
                          </pic:cNvPicPr>
                        </pic:nvPicPr>
                        <pic:blipFill>
                          <a:blip r:embed="rId19"/>
                          <a:stretch>
                            <a:fillRect/>
                          </a:stretch>
                        </pic:blipFill>
                        <pic:spPr>
                          <a:xfrm>
                            <a:off x="0" y="0"/>
                            <a:ext cx="6055360" cy="4782820"/>
                          </a:xfrm>
                          <a:prstGeom prst="rect">
                            <a:avLst/>
                          </a:prstGeom>
                        </pic:spPr>
                      </pic:pic>
                    </a:graphicData>
                  </a:graphic>
                </wp:inline>
              </w:drawing>
            </w:r>
          </w:p>
          <w:p>
            <w:pPr>
              <w:adjustRightInd w:val="0"/>
              <w:snapToGrid w:val="0"/>
              <w:jc w:val="center"/>
              <w:rPr>
                <w:b/>
                <w:bCs/>
                <w:color w:val="auto"/>
                <w:sz w:val="24"/>
                <w:highlight w:val="none"/>
              </w:rPr>
            </w:pPr>
            <w:r>
              <w:rPr>
                <w:b/>
                <w:bCs/>
                <w:color w:val="auto"/>
                <w:sz w:val="24"/>
                <w:highlight w:val="none"/>
              </w:rPr>
              <w:t>图</w:t>
            </w:r>
            <w:r>
              <w:rPr>
                <w:rFonts w:hint="eastAsia"/>
                <w:b/>
                <w:bCs/>
                <w:color w:val="auto"/>
                <w:sz w:val="24"/>
                <w:highlight w:val="none"/>
                <w:lang w:val="en-US" w:eastAsia="zh-CN"/>
              </w:rPr>
              <w:t>4-3</w:t>
            </w:r>
            <w:r>
              <w:rPr>
                <w:rFonts w:hint="eastAsia"/>
                <w:b/>
                <w:bCs/>
                <w:color w:val="auto"/>
                <w:sz w:val="24"/>
                <w:highlight w:val="none"/>
              </w:rPr>
              <w:t xml:space="preserve">   </w:t>
            </w:r>
            <w:r>
              <w:rPr>
                <w:b/>
                <w:bCs/>
                <w:color w:val="auto"/>
                <w:sz w:val="24"/>
                <w:highlight w:val="none"/>
              </w:rPr>
              <w:t>运营期</w:t>
            </w:r>
            <w:r>
              <w:rPr>
                <w:rFonts w:hint="eastAsia"/>
                <w:b/>
                <w:bCs/>
                <w:color w:val="auto"/>
                <w:sz w:val="24"/>
                <w:highlight w:val="none"/>
                <w:lang w:eastAsia="zh-CN"/>
              </w:rPr>
              <w:t>砂石料加工</w:t>
            </w:r>
            <w:r>
              <w:rPr>
                <w:b/>
                <w:bCs/>
                <w:color w:val="auto"/>
                <w:sz w:val="24"/>
                <w:highlight w:val="none"/>
              </w:rPr>
              <w:t>生产工艺流程及产污节点图</w:t>
            </w:r>
          </w:p>
          <w:p>
            <w:pPr>
              <w:adjustRightInd w:val="0"/>
              <w:snapToGrid w:val="0"/>
              <w:spacing w:line="360" w:lineRule="auto"/>
              <w:ind w:firstLine="480" w:firstLineChars="200"/>
              <w:rPr>
                <w:color w:val="auto"/>
                <w:sz w:val="24"/>
                <w:highlight w:val="none"/>
              </w:rPr>
            </w:pPr>
          </w:p>
          <w:p>
            <w:pPr>
              <w:adjustRightInd w:val="0"/>
              <w:snapToGrid w:val="0"/>
              <w:spacing w:line="360" w:lineRule="auto"/>
              <w:rPr>
                <w:rFonts w:hint="eastAsia" w:ascii="Times New Roman" w:hAnsi="Times New Roman" w:eastAsia="宋体" w:cs="Times New Roman"/>
                <w:b/>
                <w:color w:val="auto"/>
                <w:sz w:val="24"/>
                <w:highlight w:val="none"/>
                <w:lang w:val="en-US" w:eastAsia="zh-CN"/>
              </w:rPr>
            </w:pPr>
            <w:r>
              <w:rPr>
                <w:rFonts w:hint="eastAsia" w:ascii="Times New Roman" w:hAnsi="Times New Roman" w:eastAsia="宋体" w:cs="Times New Roman"/>
                <w:b/>
                <w:color w:val="auto"/>
                <w:sz w:val="24"/>
                <w:highlight w:val="none"/>
                <w:lang w:val="en-US" w:eastAsia="zh-CN"/>
              </w:rPr>
              <w:t>2、产污节点分析</w:t>
            </w:r>
          </w:p>
          <w:p>
            <w:pPr>
              <w:pStyle w:val="35"/>
              <w:jc w:val="center"/>
              <w:rPr>
                <w:rFonts w:hint="default"/>
                <w:color w:val="auto"/>
                <w:highlight w:val="none"/>
                <w:lang w:val="en-US" w:eastAsia="zh-CN"/>
              </w:rPr>
            </w:pPr>
            <w:r>
              <w:rPr>
                <w:rFonts w:hint="default" w:ascii="Times New Roman" w:hAnsi="Times New Roman" w:cs="Times New Roman"/>
                <w:b/>
                <w:color w:val="auto"/>
                <w:spacing w:val="2"/>
                <w:sz w:val="24"/>
                <w:highlight w:val="none"/>
                <w:lang w:val="en-US" w:eastAsia="zh-CN"/>
              </w:rPr>
              <w:t>表</w:t>
            </w:r>
            <w:r>
              <w:rPr>
                <w:rFonts w:hint="eastAsia" w:ascii="Times New Roman" w:hAnsi="Times New Roman" w:cs="Times New Roman"/>
                <w:b/>
                <w:color w:val="auto"/>
                <w:spacing w:val="2"/>
                <w:sz w:val="24"/>
                <w:highlight w:val="none"/>
                <w:lang w:val="en-US" w:eastAsia="zh-CN"/>
              </w:rPr>
              <w:t xml:space="preserve">4-6   </w:t>
            </w:r>
            <w:r>
              <w:rPr>
                <w:rFonts w:hint="default" w:ascii="Times New Roman" w:hAnsi="Times New Roman" w:cs="Times New Roman"/>
                <w:b/>
                <w:color w:val="auto"/>
                <w:spacing w:val="2"/>
                <w:sz w:val="24"/>
                <w:highlight w:val="none"/>
                <w:lang w:val="en-US" w:eastAsia="zh-CN"/>
              </w:rPr>
              <w:t>项目产污</w:t>
            </w:r>
            <w:r>
              <w:rPr>
                <w:rFonts w:hint="eastAsia" w:ascii="宋体" w:hAnsi="宋体"/>
                <w:b/>
                <w:color w:val="auto"/>
                <w:spacing w:val="2"/>
                <w:sz w:val="24"/>
                <w:highlight w:val="none"/>
                <w:lang w:val="en-US" w:eastAsia="zh-CN"/>
              </w:rPr>
              <w:t>节点分析一览表</w:t>
            </w:r>
          </w:p>
          <w:tbl>
            <w:tblPr>
              <w:tblStyle w:val="28"/>
              <w:tblW w:w="8979" w:type="dxa"/>
              <w:jc w:val="center"/>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816"/>
              <w:gridCol w:w="874"/>
              <w:gridCol w:w="2511"/>
              <w:gridCol w:w="4778"/>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11" w:hRule="atLeast"/>
                <w:jc w:val="center"/>
              </w:trPr>
              <w:tc>
                <w:tcPr>
                  <w:tcW w:w="816" w:type="dxa"/>
                  <w:tcBorders>
                    <w:top w:val="single" w:color="auto" w:sz="4" w:space="0"/>
                    <w:left w:val="single" w:color="auto" w:sz="0"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污染物</w:t>
                  </w:r>
                </w:p>
              </w:tc>
              <w:tc>
                <w:tcPr>
                  <w:tcW w:w="3385" w:type="dxa"/>
                  <w:gridSpan w:val="2"/>
                  <w:tcBorders>
                    <w:top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产污环节</w:t>
                  </w:r>
                </w:p>
              </w:tc>
              <w:tc>
                <w:tcPr>
                  <w:tcW w:w="4778" w:type="dxa"/>
                  <w:tcBorders>
                    <w:top w:val="single" w:color="auto" w:sz="4" w:space="0"/>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污染治理措施</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11" w:hRule="atLeast"/>
                <w:jc w:val="center"/>
              </w:trPr>
              <w:tc>
                <w:tcPr>
                  <w:tcW w:w="816" w:type="dxa"/>
                  <w:vMerge w:val="restart"/>
                  <w:tcBorders>
                    <w:top w:val="single" w:color="auto" w:sz="4" w:space="0"/>
                    <w:left w:val="single" w:color="auto" w:sz="0"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废气</w:t>
                  </w:r>
                </w:p>
              </w:tc>
              <w:tc>
                <w:tcPr>
                  <w:tcW w:w="874" w:type="dxa"/>
                  <w:tcBorders>
                    <w:top w:val="single" w:color="auto" w:sz="4" w:space="0"/>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生活区</w:t>
                  </w:r>
                </w:p>
              </w:tc>
              <w:tc>
                <w:tcPr>
                  <w:tcW w:w="2511" w:type="dxa"/>
                  <w:tcBorders>
                    <w:top w:val="single" w:color="auto" w:sz="4" w:space="0"/>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eastAsia="zh-CN"/>
                    </w:rPr>
                    <w:t>油烟</w:t>
                  </w:r>
                  <w:r>
                    <w:rPr>
                      <w:rFonts w:ascii="Times New Roman" w:eastAsia="Times New Roman"/>
                      <w:color w:val="auto"/>
                      <w:sz w:val="21"/>
                      <w:highlight w:val="none"/>
                    </w:rPr>
                    <w:t>G1</w:t>
                  </w:r>
                  <w:r>
                    <w:rPr>
                      <w:rFonts w:hint="eastAsia"/>
                      <w:color w:val="auto"/>
                      <w:sz w:val="21"/>
                      <w:highlight w:val="none"/>
                      <w:lang w:val="en-US" w:eastAsia="zh-CN"/>
                    </w:rPr>
                    <w:t>3</w:t>
                  </w:r>
                </w:p>
              </w:tc>
              <w:tc>
                <w:tcPr>
                  <w:tcW w:w="4778" w:type="dxa"/>
                  <w:tcBorders>
                    <w:top w:val="single" w:color="auto" w:sz="4" w:space="0"/>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安装抽油烟机</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0"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restart"/>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采矿区</w:t>
                  </w: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eastAsia="Times New Roman"/>
                      <w:color w:val="auto"/>
                      <w:kern w:val="2"/>
                      <w:sz w:val="21"/>
                      <w:szCs w:val="21"/>
                      <w:highlight w:val="none"/>
                      <w:lang w:val="en-US" w:eastAsia="zh-CN" w:bidi="ar-SA"/>
                    </w:rPr>
                  </w:pPr>
                  <w:r>
                    <w:rPr>
                      <w:rFonts w:hint="eastAsia"/>
                      <w:color w:val="auto"/>
                      <w:sz w:val="21"/>
                      <w:highlight w:val="none"/>
                      <w:lang w:eastAsia="zh-CN"/>
                    </w:rPr>
                    <w:t>清表</w:t>
                  </w:r>
                  <w:r>
                    <w:rPr>
                      <w:color w:val="auto"/>
                      <w:sz w:val="21"/>
                      <w:highlight w:val="none"/>
                    </w:rPr>
                    <w:t xml:space="preserve">过程扬尘 </w:t>
                  </w:r>
                  <w:r>
                    <w:rPr>
                      <w:rFonts w:ascii="Times New Roman" w:eastAsia="Times New Roman"/>
                      <w:color w:val="auto"/>
                      <w:sz w:val="21"/>
                      <w:highlight w:val="none"/>
                    </w:rPr>
                    <w:t>G1</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color w:val="auto"/>
                      <w:kern w:val="2"/>
                      <w:sz w:val="21"/>
                      <w:szCs w:val="21"/>
                      <w:highlight w:val="none"/>
                      <w:lang w:val="en-US" w:eastAsia="zh-CN" w:bidi="ar-SA"/>
                    </w:rPr>
                  </w:pPr>
                  <w:r>
                    <w:rPr>
                      <w:color w:val="auto"/>
                      <w:sz w:val="21"/>
                      <w:highlight w:val="none"/>
                    </w:rPr>
                    <w:t>湿式采剥，产尘点洒水抑尘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0"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eastAsia="Times New Roman"/>
                      <w:color w:val="auto"/>
                      <w:kern w:val="2"/>
                      <w:sz w:val="21"/>
                      <w:szCs w:val="21"/>
                      <w:highlight w:val="none"/>
                      <w:lang w:val="en-US" w:eastAsia="zh-CN" w:bidi="ar-SA"/>
                    </w:rPr>
                  </w:pPr>
                  <w:r>
                    <w:rPr>
                      <w:rFonts w:hint="eastAsia"/>
                      <w:color w:val="auto"/>
                      <w:sz w:val="21"/>
                      <w:highlight w:val="none"/>
                      <w:lang w:eastAsia="zh-CN"/>
                    </w:rPr>
                    <w:t>穿孔作业</w:t>
                  </w:r>
                  <w:r>
                    <w:rPr>
                      <w:color w:val="auto"/>
                      <w:sz w:val="21"/>
                      <w:highlight w:val="none"/>
                    </w:rPr>
                    <w:t>扬尘</w:t>
                  </w:r>
                  <w:r>
                    <w:rPr>
                      <w:rFonts w:ascii="Times New Roman" w:eastAsia="Times New Roman"/>
                      <w:color w:val="auto"/>
                      <w:sz w:val="21"/>
                      <w:highlight w:val="none"/>
                    </w:rPr>
                    <w:t>G2</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color w:val="auto"/>
                      <w:kern w:val="2"/>
                      <w:sz w:val="21"/>
                      <w:szCs w:val="21"/>
                      <w:highlight w:val="none"/>
                      <w:lang w:val="en-US" w:eastAsia="zh-CN" w:bidi="ar-SA"/>
                    </w:rPr>
                  </w:pPr>
                  <w:r>
                    <w:rPr>
                      <w:color w:val="auto"/>
                      <w:sz w:val="21"/>
                      <w:highlight w:val="none"/>
                    </w:rPr>
                    <w:t>湿式</w:t>
                  </w:r>
                  <w:r>
                    <w:rPr>
                      <w:rFonts w:hint="eastAsia"/>
                      <w:color w:val="auto"/>
                      <w:sz w:val="21"/>
                      <w:highlight w:val="none"/>
                      <w:lang w:eastAsia="zh-CN"/>
                    </w:rPr>
                    <w:t>作业</w:t>
                  </w:r>
                  <w:r>
                    <w:rPr>
                      <w:color w:val="auto"/>
                      <w:sz w:val="21"/>
                      <w:highlight w:val="none"/>
                    </w:rPr>
                    <w:t>，产尘点洒水抑尘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0"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eastAsia="宋体"/>
                      <w:color w:val="auto"/>
                      <w:sz w:val="21"/>
                      <w:highlight w:val="none"/>
                      <w:lang w:val="en-US" w:eastAsia="zh-CN"/>
                    </w:rPr>
                  </w:pPr>
                  <w:r>
                    <w:rPr>
                      <w:rFonts w:hint="eastAsia"/>
                      <w:color w:val="auto"/>
                      <w:sz w:val="21"/>
                      <w:highlight w:val="none"/>
                      <w:lang w:val="en-US" w:eastAsia="zh-CN"/>
                    </w:rPr>
                    <w:t>爆破过程</w:t>
                  </w:r>
                  <w:r>
                    <w:rPr>
                      <w:color w:val="auto"/>
                      <w:sz w:val="21"/>
                      <w:highlight w:val="none"/>
                    </w:rPr>
                    <w:t>扬尘</w:t>
                  </w:r>
                  <w:r>
                    <w:rPr>
                      <w:rFonts w:ascii="Times New Roman" w:eastAsia="Times New Roman"/>
                      <w:color w:val="auto"/>
                      <w:sz w:val="21"/>
                      <w:highlight w:val="none"/>
                    </w:rPr>
                    <w:t>G</w:t>
                  </w:r>
                  <w:r>
                    <w:rPr>
                      <w:rFonts w:hint="eastAsia" w:ascii="Times New Roman" w:eastAsia="宋体"/>
                      <w:color w:val="auto"/>
                      <w:sz w:val="21"/>
                      <w:highlight w:val="none"/>
                      <w:lang w:val="en-US" w:eastAsia="zh-CN"/>
                    </w:rPr>
                    <w:t>3</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eastAsia="宋体"/>
                      <w:color w:val="auto"/>
                      <w:sz w:val="21"/>
                      <w:highlight w:val="none"/>
                      <w:lang w:val="en-US" w:eastAsia="zh-CN"/>
                    </w:rPr>
                  </w:pPr>
                  <w:r>
                    <w:rPr>
                      <w:color w:val="auto"/>
                      <w:sz w:val="21"/>
                      <w:highlight w:val="none"/>
                    </w:rPr>
                    <w:t>湿式</w:t>
                  </w:r>
                  <w:r>
                    <w:rPr>
                      <w:rFonts w:hint="eastAsia"/>
                      <w:color w:val="auto"/>
                      <w:sz w:val="21"/>
                      <w:highlight w:val="none"/>
                      <w:lang w:eastAsia="zh-CN"/>
                    </w:rPr>
                    <w:t>作业</w:t>
                  </w:r>
                  <w:r>
                    <w:rPr>
                      <w:color w:val="auto"/>
                      <w:sz w:val="21"/>
                      <w:highlight w:val="none"/>
                    </w:rPr>
                    <w:t>，产尘点洒水抑尘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816" w:type="dxa"/>
                  <w:vMerge w:val="continue"/>
                  <w:tcBorders>
                    <w:left w:val="single" w:color="auto" w:sz="0"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eastAsia="zh-CN"/>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eastAsia="宋体"/>
                      <w:color w:val="auto"/>
                      <w:sz w:val="21"/>
                      <w:highlight w:val="none"/>
                      <w:lang w:val="en-US" w:eastAsia="zh-CN"/>
                    </w:rPr>
                  </w:pPr>
                  <w:r>
                    <w:rPr>
                      <w:rFonts w:hint="eastAsia"/>
                      <w:color w:val="auto"/>
                      <w:sz w:val="21"/>
                      <w:highlight w:val="none"/>
                      <w:lang w:val="en-US" w:eastAsia="zh-CN"/>
                    </w:rPr>
                    <w:t>铲装扬尘</w:t>
                  </w:r>
                  <w:r>
                    <w:rPr>
                      <w:rFonts w:ascii="Times New Roman" w:eastAsia="Times New Roman"/>
                      <w:color w:val="auto"/>
                      <w:sz w:val="21"/>
                      <w:highlight w:val="none"/>
                    </w:rPr>
                    <w:t>G</w:t>
                  </w:r>
                  <w:r>
                    <w:rPr>
                      <w:rFonts w:hint="eastAsia" w:ascii="Times New Roman" w:eastAsia="宋体"/>
                      <w:color w:val="auto"/>
                      <w:sz w:val="21"/>
                      <w:highlight w:val="none"/>
                      <w:lang w:val="en-US" w:eastAsia="zh-CN"/>
                    </w:rPr>
                    <w:t>4</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color w:val="auto"/>
                      <w:sz w:val="21"/>
                      <w:highlight w:val="none"/>
                      <w:lang w:val="en-US" w:eastAsia="zh-CN"/>
                    </w:rPr>
                  </w:pPr>
                  <w:r>
                    <w:rPr>
                      <w:rFonts w:hint="eastAsia" w:ascii="Times New Roman" w:hAnsi="Times New Roman" w:eastAsia="宋体" w:cs="Times New Roman"/>
                      <w:color w:val="auto"/>
                      <w:sz w:val="21"/>
                      <w:highlight w:val="none"/>
                      <w:lang w:eastAsia="zh-CN"/>
                    </w:rPr>
                    <w:t>避免大风天气进行装卸作业等管理措施，同时进行人工洒水降尘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816" w:type="dxa"/>
                  <w:vMerge w:val="continue"/>
                  <w:tcBorders>
                    <w:left w:val="single" w:color="auto" w:sz="0"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restart"/>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加工区</w:t>
                  </w: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原料堆场粉尘</w:t>
                  </w:r>
                  <w:r>
                    <w:rPr>
                      <w:rFonts w:hint="eastAsia" w:cs="Times New Roman"/>
                      <w:color w:val="auto"/>
                      <w:sz w:val="21"/>
                      <w:szCs w:val="21"/>
                      <w:highlight w:val="none"/>
                      <w:lang w:val="en-US" w:eastAsia="zh-CN"/>
                    </w:rPr>
                    <w:t>G5</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r>
                    <w:rPr>
                      <w:rFonts w:hint="eastAsia" w:cs="Times New Roman"/>
                      <w:color w:val="auto"/>
                      <w:sz w:val="21"/>
                      <w:szCs w:val="21"/>
                      <w:highlight w:val="none"/>
                      <w:lang w:eastAsia="zh-CN"/>
                    </w:rPr>
                    <w:t>地面硬化</w:t>
                  </w:r>
                  <w:r>
                    <w:rPr>
                      <w:rFonts w:hint="eastAsia" w:cs="Times New Roman"/>
                      <w:color w:val="auto"/>
                      <w:sz w:val="21"/>
                      <w:szCs w:val="21"/>
                      <w:highlight w:val="none"/>
                      <w:lang w:val="en-US" w:eastAsia="zh-CN"/>
                    </w:rPr>
                    <w:t>+</w:t>
                  </w:r>
                  <w:r>
                    <w:rPr>
                      <w:rFonts w:hint="eastAsia" w:cs="Times New Roman"/>
                      <w:color w:val="auto"/>
                      <w:sz w:val="21"/>
                      <w:szCs w:val="21"/>
                      <w:highlight w:val="none"/>
                      <w:lang w:eastAsia="zh-CN"/>
                    </w:rPr>
                    <w:t>三面围挡</w:t>
                  </w:r>
                  <w:r>
                    <w:rPr>
                      <w:rFonts w:hint="eastAsia" w:ascii="Times New Roman" w:hAnsi="Times New Roman" w:cs="Times New Roman"/>
                      <w:color w:val="auto"/>
                      <w:sz w:val="21"/>
                      <w:szCs w:val="21"/>
                      <w:highlight w:val="none"/>
                      <w:lang w:eastAsia="zh-CN"/>
                    </w:rPr>
                    <w:t>，并进行篷布遮盖，</w:t>
                  </w:r>
                  <w:r>
                    <w:rPr>
                      <w:rFonts w:hint="default" w:ascii="Times New Roman" w:hAnsi="Times New Roman" w:cs="Times New Roman"/>
                      <w:color w:val="auto"/>
                      <w:sz w:val="21"/>
                      <w:szCs w:val="21"/>
                      <w:highlight w:val="none"/>
                    </w:rPr>
                    <w:t>定期对原料进行洒水降尘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816" w:type="dxa"/>
                  <w:vMerge w:val="continue"/>
                  <w:tcBorders>
                    <w:left w:val="single" w:color="auto" w:sz="0"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产品</w:t>
                  </w:r>
                  <w:r>
                    <w:rPr>
                      <w:rFonts w:hint="default" w:ascii="Times New Roman" w:hAnsi="Times New Roman" w:eastAsia="宋体" w:cs="Times New Roman"/>
                      <w:color w:val="auto"/>
                      <w:sz w:val="21"/>
                      <w:szCs w:val="21"/>
                      <w:highlight w:val="none"/>
                      <w:lang w:val="en-US" w:eastAsia="zh-CN"/>
                    </w:rPr>
                    <w:t>堆场粉尘</w:t>
                  </w:r>
                  <w:r>
                    <w:rPr>
                      <w:rFonts w:hint="eastAsia" w:ascii="Times New Roman" w:hAnsi="Times New Roman" w:eastAsia="宋体" w:cs="Times New Roman"/>
                      <w:color w:val="auto"/>
                      <w:sz w:val="21"/>
                      <w:szCs w:val="21"/>
                      <w:highlight w:val="none"/>
                      <w:lang w:val="en-US" w:eastAsia="zh-CN"/>
                    </w:rPr>
                    <w:t>G6</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cs="Times New Roman"/>
                      <w:b/>
                      <w:bCs/>
                      <w:color w:val="auto"/>
                      <w:sz w:val="21"/>
                      <w:szCs w:val="21"/>
                      <w:highlight w:val="none"/>
                      <w:lang w:val="en-US" w:eastAsia="zh-CN"/>
                    </w:rPr>
                  </w:pPr>
                  <w:r>
                    <w:rPr>
                      <w:rFonts w:hint="eastAsia" w:cs="Times New Roman"/>
                      <w:color w:val="auto"/>
                      <w:sz w:val="21"/>
                      <w:szCs w:val="21"/>
                      <w:highlight w:val="none"/>
                      <w:lang w:eastAsia="zh-CN"/>
                    </w:rPr>
                    <w:t>地面硬化</w:t>
                  </w:r>
                  <w:r>
                    <w:rPr>
                      <w:rFonts w:hint="eastAsia" w:cs="Times New Roman"/>
                      <w:color w:val="auto"/>
                      <w:sz w:val="21"/>
                      <w:szCs w:val="21"/>
                      <w:highlight w:val="none"/>
                      <w:lang w:val="en-US" w:eastAsia="zh-CN"/>
                    </w:rPr>
                    <w:t>+</w:t>
                  </w:r>
                  <w:r>
                    <w:rPr>
                      <w:rFonts w:hint="eastAsia" w:cs="Times New Roman"/>
                      <w:color w:val="auto"/>
                      <w:sz w:val="21"/>
                      <w:szCs w:val="21"/>
                      <w:highlight w:val="none"/>
                      <w:lang w:eastAsia="zh-CN"/>
                    </w:rPr>
                    <w:t>三面围挡</w:t>
                  </w:r>
                  <w:r>
                    <w:rPr>
                      <w:rFonts w:hint="eastAsia" w:ascii="Times New Roman" w:hAnsi="Times New Roman" w:cs="Times New Roman"/>
                      <w:color w:val="auto"/>
                      <w:sz w:val="21"/>
                      <w:szCs w:val="21"/>
                      <w:highlight w:val="none"/>
                      <w:lang w:eastAsia="zh-CN"/>
                    </w:rPr>
                    <w:t>，并进行篷布遮盖，</w:t>
                  </w:r>
                  <w:r>
                    <w:rPr>
                      <w:rFonts w:hint="default" w:ascii="Times New Roman" w:hAnsi="Times New Roman" w:cs="Times New Roman"/>
                      <w:color w:val="auto"/>
                      <w:sz w:val="21"/>
                      <w:szCs w:val="21"/>
                      <w:highlight w:val="none"/>
                    </w:rPr>
                    <w:t>定期对</w:t>
                  </w:r>
                  <w:r>
                    <w:rPr>
                      <w:rFonts w:hint="eastAsia" w:ascii="Times New Roman" w:hAnsi="Times New Roman" w:cs="Times New Roman"/>
                      <w:color w:val="auto"/>
                      <w:sz w:val="21"/>
                      <w:szCs w:val="21"/>
                      <w:highlight w:val="none"/>
                      <w:lang w:eastAsia="zh-CN"/>
                    </w:rPr>
                    <w:t>产品</w:t>
                  </w:r>
                  <w:r>
                    <w:rPr>
                      <w:rFonts w:hint="default" w:ascii="Times New Roman" w:hAnsi="Times New Roman" w:cs="Times New Roman"/>
                      <w:color w:val="auto"/>
                      <w:sz w:val="21"/>
                      <w:szCs w:val="21"/>
                      <w:highlight w:val="none"/>
                    </w:rPr>
                    <w:t>进行洒水降尘</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0"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en-US"/>
                    </w:rPr>
                  </w:pPr>
                </w:p>
              </w:tc>
              <w:tc>
                <w:tcPr>
                  <w:tcW w:w="2511" w:type="dxa"/>
                  <w:tcBorders>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筛</w:t>
                  </w:r>
                  <w:r>
                    <w:rPr>
                      <w:rFonts w:hint="eastAsia" w:cs="Times New Roman"/>
                      <w:color w:val="auto"/>
                      <w:sz w:val="21"/>
                      <w:szCs w:val="21"/>
                      <w:highlight w:val="none"/>
                      <w:lang w:val="en-US" w:eastAsia="zh-CN"/>
                    </w:rPr>
                    <w:t>分粉尘</w:t>
                  </w:r>
                  <w:r>
                    <w:rPr>
                      <w:rFonts w:hint="default" w:ascii="Times New Roman" w:hAnsi="Times New Roman" w:eastAsia="宋体" w:cs="Times New Roman"/>
                      <w:color w:val="auto"/>
                      <w:sz w:val="21"/>
                      <w:szCs w:val="21"/>
                      <w:highlight w:val="none"/>
                      <w:lang w:val="en-US" w:eastAsia="zh-CN"/>
                    </w:rPr>
                    <w:t xml:space="preserve"> G</w:t>
                  </w:r>
                  <w:r>
                    <w:rPr>
                      <w:rFonts w:hint="eastAsia" w:cs="Times New Roman"/>
                      <w:color w:val="auto"/>
                      <w:sz w:val="21"/>
                      <w:szCs w:val="21"/>
                      <w:highlight w:val="none"/>
                      <w:lang w:val="en-US" w:eastAsia="zh-CN"/>
                    </w:rPr>
                    <w:t>7</w:t>
                  </w:r>
                </w:p>
              </w:tc>
              <w:tc>
                <w:tcPr>
                  <w:tcW w:w="4778" w:type="dxa"/>
                  <w:vMerge w:val="restart"/>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r>
                    <w:rPr>
                      <w:rFonts w:hint="eastAsia"/>
                      <w:color w:val="auto"/>
                      <w:lang w:val="zh-CN" w:eastAsia="zh-CN"/>
                    </w:rPr>
                    <w:t>本项目设置全封闭厂房，</w:t>
                  </w:r>
                  <w:r>
                    <w:rPr>
                      <w:rFonts w:hint="eastAsia"/>
                      <w:color w:val="auto"/>
                      <w:lang w:val="zh-CN"/>
                    </w:rPr>
                    <w:t>加工设备粉尘（破碎、筛分等）设置喷淋洒水降尘</w:t>
                  </w:r>
                  <w:r>
                    <w:rPr>
                      <w:rFonts w:hint="eastAsia"/>
                      <w:color w:val="auto"/>
                    </w:rPr>
                    <w:t>处理</w:t>
                  </w:r>
                  <w:r>
                    <w:rPr>
                      <w:rFonts w:hint="eastAsia"/>
                      <w:color w:val="auto"/>
                      <w:lang w:val="zh-CN"/>
                    </w:rPr>
                    <w:t>，</w:t>
                  </w:r>
                  <w:r>
                    <w:rPr>
                      <w:rFonts w:hint="eastAsia"/>
                      <w:color w:val="auto"/>
                      <w:lang w:bidi="ar"/>
                    </w:rPr>
                    <w:t>项目皮带传送采用密闭传送带。</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0"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auto"/>
                      <w:sz w:val="21"/>
                      <w:szCs w:val="21"/>
                      <w:highlight w:val="none"/>
                      <w:lang w:val="en-US" w:eastAsia="zh-CN"/>
                    </w:rPr>
                  </w:pPr>
                </w:p>
              </w:tc>
              <w:tc>
                <w:tcPr>
                  <w:tcW w:w="2511" w:type="dxa"/>
                  <w:tcBorders>
                    <w:top w:val="single" w:color="auto" w:sz="4" w:space="0"/>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 xml:space="preserve">破碎粉尘 </w:t>
                  </w:r>
                  <w:r>
                    <w:rPr>
                      <w:rFonts w:hint="default" w:ascii="Times New Roman" w:hAnsi="Times New Roman" w:eastAsia="宋体" w:cs="Times New Roman"/>
                      <w:color w:val="auto"/>
                      <w:sz w:val="21"/>
                      <w:szCs w:val="21"/>
                      <w:highlight w:val="none"/>
                      <w:lang w:val="en-US" w:eastAsia="zh-CN"/>
                    </w:rPr>
                    <w:t>G</w:t>
                  </w:r>
                  <w:r>
                    <w:rPr>
                      <w:rFonts w:hint="eastAsia" w:cs="Times New Roman"/>
                      <w:color w:val="auto"/>
                      <w:sz w:val="21"/>
                      <w:szCs w:val="21"/>
                      <w:highlight w:val="none"/>
                      <w:lang w:val="en-US" w:eastAsia="zh-CN"/>
                    </w:rPr>
                    <w:t>8</w:t>
                  </w:r>
                </w:p>
              </w:tc>
              <w:tc>
                <w:tcPr>
                  <w:tcW w:w="4778" w:type="dxa"/>
                  <w:vMerge w:val="continue"/>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yellow"/>
                      <w:lang w:val="en-US" w:eastAsia="zh-CN" w:bidi="ar-SA"/>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0"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Times New Roman" w:cs="Times New Roman"/>
                      <w:color w:val="auto"/>
                      <w:sz w:val="21"/>
                      <w:szCs w:val="21"/>
                      <w:highlight w:val="none"/>
                    </w:rPr>
                  </w:pPr>
                </w:p>
              </w:tc>
              <w:tc>
                <w:tcPr>
                  <w:tcW w:w="2511" w:type="dxa"/>
                  <w:tcBorders>
                    <w:top w:val="single" w:color="auto" w:sz="4" w:space="0"/>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制砂粉尘</w:t>
                  </w:r>
                  <w:r>
                    <w:rPr>
                      <w:rFonts w:hint="default" w:ascii="Times New Roman" w:hAnsi="Times New Roman" w:cs="Times New Roman"/>
                      <w:color w:val="auto"/>
                      <w:sz w:val="21"/>
                      <w:szCs w:val="21"/>
                      <w:highlight w:val="none"/>
                      <w:lang w:val="en-US" w:eastAsia="zh-CN"/>
                    </w:rPr>
                    <w:t>G</w:t>
                  </w:r>
                  <w:r>
                    <w:rPr>
                      <w:rFonts w:hint="eastAsia" w:ascii="Times New Roman" w:hAnsi="Times New Roman" w:cs="Times New Roman"/>
                      <w:color w:val="auto"/>
                      <w:sz w:val="21"/>
                      <w:szCs w:val="21"/>
                      <w:highlight w:val="none"/>
                      <w:lang w:val="en-US" w:eastAsia="zh-CN"/>
                    </w:rPr>
                    <w:t>9</w:t>
                  </w:r>
                </w:p>
              </w:tc>
              <w:tc>
                <w:tcPr>
                  <w:tcW w:w="4778" w:type="dxa"/>
                  <w:vMerge w:val="continue"/>
                  <w:tcBorders>
                    <w:bottom w:val="single" w:color="auto" w:sz="4" w:space="0"/>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0"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Times New Roman" w:cs="Times New Roman"/>
                      <w:color w:val="auto"/>
                      <w:sz w:val="21"/>
                      <w:szCs w:val="21"/>
                      <w:highlight w:val="none"/>
                    </w:rPr>
                  </w:pPr>
                </w:p>
              </w:tc>
              <w:tc>
                <w:tcPr>
                  <w:tcW w:w="2511" w:type="dxa"/>
                  <w:tcBorders>
                    <w:top w:val="single" w:color="auto" w:sz="4" w:space="0"/>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Times New Roman"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皮带运输</w:t>
                  </w:r>
                  <w:r>
                    <w:rPr>
                      <w:rFonts w:hint="default" w:ascii="Times New Roman" w:hAnsi="Times New Roman" w:cs="Times New Roman"/>
                      <w:color w:val="auto"/>
                      <w:sz w:val="21"/>
                      <w:szCs w:val="21"/>
                      <w:highlight w:val="none"/>
                      <w:lang w:eastAsia="zh-CN"/>
                    </w:rPr>
                    <w:t>粉尘</w:t>
                  </w:r>
                  <w:r>
                    <w:rPr>
                      <w:rFonts w:hint="default" w:ascii="Times New Roman" w:hAnsi="Times New Roman" w:cs="Times New Roman"/>
                      <w:color w:val="auto"/>
                      <w:sz w:val="21"/>
                      <w:szCs w:val="21"/>
                      <w:highlight w:val="none"/>
                      <w:lang w:val="en-US" w:eastAsia="zh-CN"/>
                    </w:rPr>
                    <w:t>G</w:t>
                  </w:r>
                  <w:r>
                    <w:rPr>
                      <w:rFonts w:hint="eastAsia" w:cs="Times New Roman"/>
                      <w:color w:val="auto"/>
                      <w:sz w:val="21"/>
                      <w:szCs w:val="21"/>
                      <w:highlight w:val="none"/>
                      <w:lang w:val="en-US" w:eastAsia="zh-CN"/>
                    </w:rPr>
                    <w:t>10</w:t>
                  </w:r>
                </w:p>
              </w:tc>
              <w:tc>
                <w:tcPr>
                  <w:tcW w:w="4778" w:type="dxa"/>
                  <w:vMerge w:val="continue"/>
                  <w:tcBorders>
                    <w:bottom w:val="single" w:color="auto" w:sz="4" w:space="0"/>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816" w:type="dxa"/>
                  <w:vMerge w:val="continue"/>
                  <w:tcBorders>
                    <w:left w:val="single" w:color="auto" w:sz="0"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auto"/>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Times New Roman" w:cs="Times New Roman"/>
                      <w:color w:val="auto"/>
                      <w:sz w:val="21"/>
                      <w:szCs w:val="21"/>
                      <w:highlight w:val="none"/>
                    </w:rPr>
                  </w:pPr>
                </w:p>
              </w:tc>
              <w:tc>
                <w:tcPr>
                  <w:tcW w:w="2511" w:type="dxa"/>
                  <w:tcBorders>
                    <w:top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Times New Roman" w:cs="Times New Roman"/>
                      <w:color w:val="auto"/>
                      <w:kern w:val="2"/>
                      <w:sz w:val="21"/>
                      <w:szCs w:val="21"/>
                      <w:highlight w:val="none"/>
                      <w:lang w:val="en-US" w:eastAsia="zh-CN" w:bidi="ar-SA"/>
                    </w:rPr>
                  </w:pPr>
                  <w:r>
                    <w:rPr>
                      <w:rFonts w:hint="eastAsia" w:cs="Times New Roman"/>
                      <w:color w:val="auto"/>
                      <w:sz w:val="21"/>
                      <w:szCs w:val="21"/>
                      <w:highlight w:val="none"/>
                      <w:lang w:eastAsia="zh-CN"/>
                    </w:rPr>
                    <w:t>道路运输粉尘</w:t>
                  </w:r>
                  <w:r>
                    <w:rPr>
                      <w:rFonts w:hint="default" w:ascii="Times New Roman" w:hAnsi="Times New Roman" w:cs="Times New Roman"/>
                      <w:color w:val="auto"/>
                      <w:sz w:val="21"/>
                      <w:szCs w:val="21"/>
                      <w:highlight w:val="none"/>
                      <w:lang w:val="en-US" w:eastAsia="zh-CN"/>
                    </w:rPr>
                    <w:t>G</w:t>
                  </w:r>
                  <w:r>
                    <w:rPr>
                      <w:rFonts w:hint="eastAsia" w:cs="Times New Roman"/>
                      <w:color w:val="auto"/>
                      <w:sz w:val="21"/>
                      <w:szCs w:val="21"/>
                      <w:highlight w:val="none"/>
                      <w:lang w:val="en-US" w:eastAsia="zh-CN"/>
                    </w:rPr>
                    <w:t>11</w:t>
                  </w:r>
                </w:p>
              </w:tc>
              <w:tc>
                <w:tcPr>
                  <w:tcW w:w="4778" w:type="dxa"/>
                  <w:tcBorders>
                    <w:top w:val="single" w:color="auto" w:sz="4" w:space="0"/>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eastAsia="zh-CN"/>
                    </w:rPr>
                    <w:t>运输路进行碎石硬化，加工区进出道路进行碎石硬化</w:t>
                  </w:r>
                  <w:r>
                    <w:rPr>
                      <w:rFonts w:hint="eastAsia" w:ascii="Times New Roman" w:hAnsi="Times New Roman" w:eastAsia="宋体" w:cs="Times New Roman"/>
                      <w:color w:val="auto"/>
                      <w:sz w:val="21"/>
                      <w:szCs w:val="21"/>
                      <w:highlight w:val="none"/>
                      <w:lang w:val="en-US" w:eastAsia="zh-CN"/>
                    </w:rPr>
                    <w:t>,并时时进行洒水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816" w:type="dxa"/>
                  <w:vMerge w:val="continue"/>
                  <w:tcBorders>
                    <w:left w:val="single" w:color="auto" w:sz="0"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eastAsia="zh-CN"/>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b w:val="0"/>
                      <w:bCs/>
                      <w:sz w:val="21"/>
                      <w:szCs w:val="21"/>
                      <w:highlight w:val="none"/>
                      <w:lang w:val="en-US" w:eastAsia="zh-CN"/>
                    </w:rPr>
                    <w:t>燃油尾气</w:t>
                  </w:r>
                  <w:r>
                    <w:rPr>
                      <w:rFonts w:hint="default" w:ascii="Times New Roman" w:hAnsi="Times New Roman" w:cs="Times New Roman"/>
                      <w:b w:val="0"/>
                      <w:bCs/>
                      <w:sz w:val="21"/>
                      <w:szCs w:val="21"/>
                      <w:highlight w:val="none"/>
                      <w:lang w:val="en-US" w:eastAsia="zh-CN"/>
                    </w:rPr>
                    <w:t>G</w:t>
                  </w:r>
                  <w:r>
                    <w:rPr>
                      <w:rFonts w:hint="eastAsia" w:cs="Times New Roman"/>
                      <w:b w:val="0"/>
                      <w:bCs/>
                      <w:sz w:val="21"/>
                      <w:szCs w:val="21"/>
                      <w:highlight w:val="none"/>
                      <w:lang w:val="en-US" w:eastAsia="zh-CN"/>
                    </w:rPr>
                    <w:t>12</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sz w:val="21"/>
                      <w:szCs w:val="21"/>
                      <w:highlight w:val="none"/>
                      <w:lang w:val="en-US" w:eastAsia="zh-CN"/>
                    </w:rPr>
                  </w:pPr>
                  <w:r>
                    <w:rPr>
                      <w:color w:val="000000"/>
                      <w:szCs w:val="21"/>
                      <w:highlight w:val="none"/>
                    </w:rPr>
                    <w:t>加强设备维护检修，确保设备正常运行</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restart"/>
                  <w:tcBorders>
                    <w:left w:val="single" w:color="auto" w:sz="4" w:space="0"/>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废水</w:t>
                  </w:r>
                </w:p>
              </w:tc>
              <w:tc>
                <w:tcPr>
                  <w:tcW w:w="874" w:type="dxa"/>
                  <w:tcBorders>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sz w:val="21"/>
                      <w:szCs w:val="21"/>
                      <w:highlight w:val="none"/>
                      <w:lang w:val="en-US" w:eastAsia="zh-CN"/>
                    </w:rPr>
                    <w:t>采矿区</w:t>
                  </w:r>
                </w:p>
              </w:tc>
              <w:tc>
                <w:tcPr>
                  <w:tcW w:w="2511" w:type="dxa"/>
                  <w:tcBorders>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kern w:val="2"/>
                      <w:sz w:val="21"/>
                      <w:szCs w:val="21"/>
                      <w:highlight w:val="none"/>
                      <w:lang w:val="en-US" w:eastAsia="zh-CN" w:bidi="ar-SA"/>
                    </w:rPr>
                  </w:pPr>
                  <w:r>
                    <w:rPr>
                      <w:sz w:val="21"/>
                      <w:highlight w:val="none"/>
                    </w:rPr>
                    <w:t>运输道路抑尘用水</w:t>
                  </w:r>
                </w:p>
              </w:tc>
              <w:tc>
                <w:tcPr>
                  <w:tcW w:w="4778" w:type="dxa"/>
                  <w:tcBorders>
                    <w:bottom w:val="single" w:color="auto" w:sz="4" w:space="0"/>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kern w:val="2"/>
                      <w:sz w:val="21"/>
                      <w:szCs w:val="21"/>
                      <w:highlight w:val="none"/>
                      <w:lang w:val="en-US" w:eastAsia="zh-CN" w:bidi="ar-SA"/>
                    </w:rPr>
                  </w:pPr>
                  <w:r>
                    <w:rPr>
                      <w:sz w:val="21"/>
                      <w:highlight w:val="none"/>
                    </w:rPr>
                    <w:t>自然蒸发，无外排</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top w:val="single" w:color="auto" w:sz="4" w:space="0"/>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874" w:type="dxa"/>
                  <w:vMerge w:val="restart"/>
                  <w:tcBorders>
                    <w:top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加工区</w:t>
                  </w:r>
                </w:p>
              </w:tc>
              <w:tc>
                <w:tcPr>
                  <w:tcW w:w="2511" w:type="dxa"/>
                  <w:tcBorders>
                    <w:top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Times New Roman" w:cs="Times New Roman"/>
                      <w:kern w:val="2"/>
                      <w:sz w:val="21"/>
                      <w:szCs w:val="21"/>
                      <w:highlight w:val="none"/>
                      <w:lang w:val="en-US" w:eastAsia="zh-CN" w:bidi="ar-SA"/>
                    </w:rPr>
                  </w:pPr>
                  <w:r>
                    <w:rPr>
                      <w:rFonts w:hint="default" w:ascii="Times New Roman" w:hAnsi="Times New Roman" w:cs="Times New Roman"/>
                      <w:sz w:val="21"/>
                      <w:szCs w:val="21"/>
                      <w:highlight w:val="none"/>
                    </w:rPr>
                    <w:t>洗砂</w:t>
                  </w:r>
                  <w:r>
                    <w:rPr>
                      <w:rFonts w:hint="default" w:ascii="Times New Roman" w:hAnsi="Times New Roman" w:cs="Times New Roman"/>
                      <w:sz w:val="21"/>
                      <w:szCs w:val="21"/>
                      <w:highlight w:val="none"/>
                      <w:lang w:eastAsia="zh-CN"/>
                    </w:rPr>
                    <w:t>废</w:t>
                  </w:r>
                  <w:r>
                    <w:rPr>
                      <w:rFonts w:hint="default" w:ascii="Times New Roman" w:hAnsi="Times New Roman" w:cs="Times New Roman"/>
                      <w:sz w:val="21"/>
                      <w:szCs w:val="21"/>
                      <w:highlight w:val="none"/>
                    </w:rPr>
                    <w:t xml:space="preserve">水 </w:t>
                  </w:r>
                  <w:r>
                    <w:rPr>
                      <w:rFonts w:hint="default" w:ascii="Times New Roman" w:hAnsi="Times New Roman" w:eastAsia="Times New Roman" w:cs="Times New Roman"/>
                      <w:sz w:val="21"/>
                      <w:szCs w:val="21"/>
                      <w:highlight w:val="none"/>
                    </w:rPr>
                    <w:t>W</w:t>
                  </w:r>
                  <w:r>
                    <w:rPr>
                      <w:rFonts w:hint="default" w:ascii="Times New Roman" w:hAnsi="Times New Roman" w:eastAsia="宋体" w:cs="Times New Roman"/>
                      <w:sz w:val="21"/>
                      <w:szCs w:val="21"/>
                      <w:highlight w:val="none"/>
                      <w:lang w:val="en-US" w:eastAsia="zh-CN"/>
                    </w:rPr>
                    <w:t>1</w:t>
                  </w:r>
                </w:p>
              </w:tc>
              <w:tc>
                <w:tcPr>
                  <w:tcW w:w="4778" w:type="dxa"/>
                  <w:tcBorders>
                    <w:top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sz w:val="21"/>
                      <w:szCs w:val="21"/>
                      <w:highlight w:val="none"/>
                      <w:lang w:eastAsia="zh-CN"/>
                    </w:rPr>
                  </w:pPr>
                  <w:r>
                    <w:rPr>
                      <w:rFonts w:hint="eastAsia" w:cs="Times New Roman"/>
                      <w:sz w:val="21"/>
                      <w:szCs w:val="21"/>
                      <w:highlight w:val="none"/>
                      <w:lang w:eastAsia="zh-CN"/>
                    </w:rPr>
                    <w:t>沉淀池</w:t>
                  </w:r>
                  <w:r>
                    <w:rPr>
                      <w:rFonts w:hint="eastAsia" w:cs="Times New Roman"/>
                      <w:sz w:val="21"/>
                      <w:szCs w:val="21"/>
                      <w:highlight w:val="none"/>
                      <w:lang w:val="en-US" w:eastAsia="zh-CN"/>
                    </w:rPr>
                    <w:t>+压滤机</w:t>
                  </w:r>
                  <w:r>
                    <w:rPr>
                      <w:rFonts w:hint="default" w:ascii="Times New Roman" w:hAnsi="Times New Roman" w:cs="Times New Roman"/>
                      <w:sz w:val="21"/>
                      <w:szCs w:val="21"/>
                      <w:highlight w:val="none"/>
                      <w:lang w:eastAsia="zh-CN"/>
                    </w:rPr>
                    <w:t>处理后回用</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4" w:space="0"/>
                    <w:bottom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874" w:type="dxa"/>
                  <w:vMerge w:val="continue"/>
                  <w:tcBorders>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sz w:val="21"/>
                      <w:szCs w:val="21"/>
                      <w:highlight w:val="none"/>
                      <w:lang w:val="en-US" w:eastAsia="zh-CN"/>
                    </w:rPr>
                    <w:t>加工区</w:t>
                  </w:r>
                </w:p>
              </w:tc>
              <w:tc>
                <w:tcPr>
                  <w:tcW w:w="2511" w:type="dxa"/>
                  <w:tcBorders>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eastAsia="zh-CN"/>
                    </w:rPr>
                    <w:t>生活废水</w:t>
                  </w:r>
                  <w:r>
                    <w:rPr>
                      <w:rFonts w:hint="eastAsia" w:cs="Times New Roman"/>
                      <w:sz w:val="21"/>
                      <w:szCs w:val="21"/>
                      <w:highlight w:val="none"/>
                      <w:lang w:eastAsia="zh-CN"/>
                    </w:rPr>
                    <w:t>、食堂废水</w:t>
                  </w:r>
                  <w:r>
                    <w:rPr>
                      <w:rFonts w:hint="default" w:ascii="Times New Roman" w:hAnsi="Times New Roman" w:eastAsia="Times New Roman" w:cs="Times New Roman"/>
                      <w:sz w:val="21"/>
                      <w:szCs w:val="21"/>
                      <w:highlight w:val="none"/>
                    </w:rPr>
                    <w:t>W</w:t>
                  </w:r>
                  <w:r>
                    <w:rPr>
                      <w:rFonts w:hint="default" w:ascii="Times New Roman" w:hAnsi="Times New Roman" w:eastAsia="宋体" w:cs="Times New Roman"/>
                      <w:sz w:val="21"/>
                      <w:szCs w:val="21"/>
                      <w:highlight w:val="none"/>
                      <w:lang w:val="en-US" w:eastAsia="zh-CN"/>
                    </w:rPr>
                    <w:t>1</w:t>
                  </w:r>
                </w:p>
              </w:tc>
              <w:tc>
                <w:tcPr>
                  <w:tcW w:w="4778"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sz w:val="21"/>
                      <w:szCs w:val="21"/>
                      <w:highlight w:val="none"/>
                      <w:lang w:eastAsia="zh-CN"/>
                    </w:rPr>
                  </w:pPr>
                  <w:r>
                    <w:rPr>
                      <w:rFonts w:hint="eastAsia" w:cs="Times New Roman"/>
                      <w:sz w:val="21"/>
                      <w:szCs w:val="21"/>
                      <w:highlight w:val="none"/>
                      <w:lang w:eastAsia="zh-CN"/>
                    </w:rPr>
                    <w:t>环保厕所、化粪池</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816" w:type="dxa"/>
                  <w:vMerge w:val="restart"/>
                  <w:tcBorders>
                    <w:top w:val="single" w:color="auto" w:sz="4" w:space="0"/>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噪声</w:t>
                  </w:r>
                </w:p>
              </w:tc>
              <w:tc>
                <w:tcPr>
                  <w:tcW w:w="874" w:type="dxa"/>
                  <w:vMerge w:val="restart"/>
                  <w:tcBorders>
                    <w:top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采矿区</w:t>
                  </w:r>
                </w:p>
              </w:tc>
              <w:tc>
                <w:tcPr>
                  <w:tcW w:w="2511" w:type="dxa"/>
                  <w:tcBorders>
                    <w:top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eastAsia="Times New Roman"/>
                      <w:kern w:val="2"/>
                      <w:sz w:val="21"/>
                      <w:szCs w:val="21"/>
                      <w:highlight w:val="none"/>
                      <w:lang w:val="en-US" w:eastAsia="zh-CN" w:bidi="ar-SA"/>
                    </w:rPr>
                  </w:pPr>
                  <w:r>
                    <w:rPr>
                      <w:rFonts w:hint="eastAsia"/>
                      <w:sz w:val="21"/>
                      <w:highlight w:val="none"/>
                      <w:lang w:eastAsia="zh-CN"/>
                    </w:rPr>
                    <w:t>清表</w:t>
                  </w:r>
                  <w:r>
                    <w:rPr>
                      <w:sz w:val="21"/>
                      <w:highlight w:val="none"/>
                    </w:rPr>
                    <w:t xml:space="preserve">过程机械噪声 </w:t>
                  </w:r>
                  <w:r>
                    <w:rPr>
                      <w:rFonts w:ascii="Times New Roman" w:eastAsia="Times New Roman"/>
                      <w:sz w:val="21"/>
                      <w:highlight w:val="none"/>
                    </w:rPr>
                    <w:t>N1</w:t>
                  </w:r>
                </w:p>
              </w:tc>
              <w:tc>
                <w:tcPr>
                  <w:tcW w:w="4778" w:type="dxa"/>
                  <w:vMerge w:val="restart"/>
                  <w:tcBorders>
                    <w:top w:val="single" w:color="auto" w:sz="4" w:space="0"/>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r>
                    <w:rPr>
                      <w:sz w:val="21"/>
                      <w:highlight w:val="none"/>
                    </w:rPr>
                    <w:t>距离消减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eastAsia="Times New Roman"/>
                      <w:kern w:val="2"/>
                      <w:sz w:val="21"/>
                      <w:szCs w:val="21"/>
                      <w:highlight w:val="none"/>
                      <w:lang w:val="en-US" w:eastAsia="zh-CN" w:bidi="ar-SA"/>
                    </w:rPr>
                  </w:pPr>
                  <w:r>
                    <w:rPr>
                      <w:rFonts w:hint="eastAsia"/>
                      <w:sz w:val="21"/>
                      <w:highlight w:val="none"/>
                      <w:lang w:eastAsia="zh-CN"/>
                    </w:rPr>
                    <w:t>穿孔作业机械</w:t>
                  </w:r>
                  <w:r>
                    <w:rPr>
                      <w:sz w:val="21"/>
                      <w:highlight w:val="none"/>
                    </w:rPr>
                    <w:t xml:space="preserve">噪声 </w:t>
                  </w:r>
                  <w:r>
                    <w:rPr>
                      <w:rFonts w:ascii="Times New Roman" w:eastAsia="Times New Roman"/>
                      <w:sz w:val="21"/>
                      <w:highlight w:val="none"/>
                    </w:rPr>
                    <w:t>N2</w:t>
                  </w:r>
                </w:p>
              </w:tc>
              <w:tc>
                <w:tcPr>
                  <w:tcW w:w="4778" w:type="dxa"/>
                  <w:vMerge w:val="continue"/>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eastAsia="宋体"/>
                      <w:sz w:val="21"/>
                      <w:highlight w:val="none"/>
                      <w:lang w:val="en-US" w:eastAsia="zh-CN"/>
                    </w:rPr>
                  </w:pPr>
                  <w:r>
                    <w:rPr>
                      <w:rFonts w:hint="eastAsia"/>
                      <w:sz w:val="21"/>
                      <w:highlight w:val="none"/>
                      <w:lang w:val="en-US" w:eastAsia="zh-CN"/>
                    </w:rPr>
                    <w:t>爆破过程</w:t>
                  </w:r>
                  <w:r>
                    <w:rPr>
                      <w:sz w:val="21"/>
                      <w:highlight w:val="none"/>
                    </w:rPr>
                    <w:t>噪声</w:t>
                  </w:r>
                  <w:r>
                    <w:rPr>
                      <w:rFonts w:ascii="Times New Roman" w:eastAsia="Times New Roman"/>
                      <w:sz w:val="21"/>
                      <w:highlight w:val="none"/>
                    </w:rPr>
                    <w:t>N</w:t>
                  </w:r>
                  <w:r>
                    <w:rPr>
                      <w:rFonts w:hint="eastAsia" w:ascii="Times New Roman" w:eastAsia="宋体"/>
                      <w:sz w:val="21"/>
                      <w:highlight w:val="none"/>
                      <w:lang w:val="en-US" w:eastAsia="zh-CN"/>
                    </w:rPr>
                    <w:t>3</w:t>
                  </w:r>
                </w:p>
              </w:tc>
              <w:tc>
                <w:tcPr>
                  <w:tcW w:w="4778" w:type="dxa"/>
                  <w:vMerge w:val="continue"/>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eastAsia="宋体"/>
                      <w:sz w:val="21"/>
                      <w:highlight w:val="none"/>
                      <w:lang w:val="en-US" w:eastAsia="zh-CN"/>
                    </w:rPr>
                  </w:pPr>
                  <w:r>
                    <w:rPr>
                      <w:rFonts w:hint="eastAsia"/>
                      <w:sz w:val="21"/>
                      <w:highlight w:val="none"/>
                      <w:lang w:val="en-US" w:eastAsia="zh-CN"/>
                    </w:rPr>
                    <w:t>铲装车辆噪声</w:t>
                  </w:r>
                  <w:r>
                    <w:rPr>
                      <w:rFonts w:ascii="Times New Roman" w:eastAsia="Times New Roman"/>
                      <w:sz w:val="21"/>
                      <w:highlight w:val="none"/>
                    </w:rPr>
                    <w:t>N</w:t>
                  </w:r>
                  <w:r>
                    <w:rPr>
                      <w:rFonts w:hint="eastAsia" w:ascii="Times New Roman" w:eastAsia="宋体"/>
                      <w:sz w:val="21"/>
                      <w:highlight w:val="none"/>
                      <w:lang w:val="en-US" w:eastAsia="zh-CN"/>
                    </w:rPr>
                    <w:t>4</w:t>
                  </w:r>
                </w:p>
              </w:tc>
              <w:tc>
                <w:tcPr>
                  <w:tcW w:w="4778" w:type="dxa"/>
                  <w:vMerge w:val="continue"/>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874" w:type="dxa"/>
                  <w:vMerge w:val="restart"/>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加工区</w:t>
                  </w: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eastAsia="zh-CN"/>
                    </w:rPr>
                    <w:t>筛分机</w:t>
                  </w:r>
                  <w:r>
                    <w:rPr>
                      <w:rFonts w:hint="default" w:ascii="Times New Roman" w:hAnsi="Times New Roman" w:cs="Times New Roman"/>
                      <w:sz w:val="21"/>
                      <w:szCs w:val="21"/>
                      <w:highlight w:val="none"/>
                    </w:rPr>
                    <w:t xml:space="preserve">噪声 </w:t>
                  </w:r>
                  <w:r>
                    <w:rPr>
                      <w:rFonts w:hint="default" w:ascii="Times New Roman" w:hAnsi="Times New Roman" w:eastAsia="Times New Roman" w:cs="Times New Roman"/>
                      <w:sz w:val="21"/>
                      <w:szCs w:val="21"/>
                      <w:highlight w:val="none"/>
                    </w:rPr>
                    <w:t>N</w:t>
                  </w:r>
                  <w:r>
                    <w:rPr>
                      <w:rFonts w:hint="eastAsia" w:ascii="Times New Roman" w:hAnsi="Times New Roman" w:eastAsia="宋体" w:cs="Times New Roman"/>
                      <w:sz w:val="21"/>
                      <w:szCs w:val="21"/>
                      <w:highlight w:val="none"/>
                      <w:lang w:val="en-US" w:eastAsia="zh-CN"/>
                    </w:rPr>
                    <w:t>5</w:t>
                  </w:r>
                </w:p>
              </w:tc>
              <w:tc>
                <w:tcPr>
                  <w:tcW w:w="4778" w:type="dxa"/>
                  <w:vMerge w:val="restart"/>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基础减震、设备保养、距离消减</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Times New Roman" w:cs="Times New Roman"/>
                      <w:sz w:val="21"/>
                      <w:szCs w:val="21"/>
                      <w:highlight w:val="none"/>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eastAsia="宋体" w:cs="Times New Roman"/>
                      <w:sz w:val="21"/>
                      <w:szCs w:val="21"/>
                      <w:highlight w:val="none"/>
                      <w:lang w:eastAsia="zh-CN"/>
                    </w:rPr>
                    <w:t>破碎机噪声</w:t>
                  </w:r>
                  <w:r>
                    <w:rPr>
                      <w:rFonts w:hint="default" w:ascii="Times New Roman" w:hAnsi="Times New Roman" w:eastAsia="Times New Roman" w:cs="Times New Roman"/>
                      <w:sz w:val="21"/>
                      <w:szCs w:val="21"/>
                      <w:highlight w:val="none"/>
                    </w:rPr>
                    <w:t>N</w:t>
                  </w:r>
                  <w:r>
                    <w:rPr>
                      <w:rFonts w:hint="eastAsia" w:ascii="Times New Roman" w:hAnsi="Times New Roman" w:eastAsia="宋体" w:cs="Times New Roman"/>
                      <w:sz w:val="21"/>
                      <w:szCs w:val="21"/>
                      <w:highlight w:val="none"/>
                      <w:lang w:val="en-US" w:eastAsia="zh-CN"/>
                    </w:rPr>
                    <w:t>6</w:t>
                  </w:r>
                </w:p>
              </w:tc>
              <w:tc>
                <w:tcPr>
                  <w:tcW w:w="4778" w:type="dxa"/>
                  <w:vMerge w:val="continue"/>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816" w:type="dxa"/>
                  <w:vMerge w:val="continue"/>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Times New Roman" w:cs="Times New Roman"/>
                      <w:sz w:val="21"/>
                      <w:szCs w:val="21"/>
                      <w:highlight w:val="none"/>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rPr>
                    <w:t>洗砂机噪声</w:t>
                  </w:r>
                  <w:r>
                    <w:rPr>
                      <w:rFonts w:hint="default" w:ascii="Times New Roman" w:hAnsi="Times New Roman" w:eastAsia="Times New Roman" w:cs="Times New Roman"/>
                      <w:sz w:val="21"/>
                      <w:szCs w:val="21"/>
                      <w:highlight w:val="none"/>
                    </w:rPr>
                    <w:t>N</w:t>
                  </w:r>
                  <w:r>
                    <w:rPr>
                      <w:rFonts w:hint="eastAsia" w:ascii="Times New Roman" w:hAnsi="Times New Roman" w:eastAsia="宋体" w:cs="Times New Roman"/>
                      <w:sz w:val="21"/>
                      <w:szCs w:val="21"/>
                      <w:highlight w:val="none"/>
                      <w:lang w:val="en-US" w:eastAsia="zh-CN"/>
                    </w:rPr>
                    <w:t>7</w:t>
                  </w:r>
                </w:p>
              </w:tc>
              <w:tc>
                <w:tcPr>
                  <w:tcW w:w="4778" w:type="dxa"/>
                  <w:vMerge w:val="continue"/>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816" w:type="dxa"/>
                  <w:vMerge w:val="restart"/>
                  <w:tcBorders>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固废</w:t>
                  </w:r>
                </w:p>
              </w:tc>
              <w:tc>
                <w:tcPr>
                  <w:tcW w:w="874"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cs="Times New Roman"/>
                      <w:sz w:val="21"/>
                      <w:szCs w:val="21"/>
                      <w:highlight w:val="none"/>
                      <w:lang w:val="en-US" w:eastAsia="zh-CN"/>
                    </w:rPr>
                    <w:t>采矿区</w:t>
                  </w: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cs="Times New Roman"/>
                      <w:sz w:val="21"/>
                      <w:szCs w:val="21"/>
                      <w:highlight w:val="none"/>
                      <w:lang w:eastAsia="zh-CN"/>
                    </w:rPr>
                    <w:t>开采过程产生的剥离废土</w:t>
                  </w:r>
                  <w:r>
                    <w:rPr>
                      <w:rFonts w:hint="default" w:ascii="Times New Roman" w:hAnsi="Times New Roman" w:cs="Times New Roman"/>
                      <w:sz w:val="21"/>
                      <w:szCs w:val="21"/>
                      <w:highlight w:val="none"/>
                      <w:lang w:val="en-US" w:eastAsia="zh-CN"/>
                    </w:rPr>
                    <w:t>S1</w:t>
                  </w:r>
                </w:p>
              </w:tc>
              <w:tc>
                <w:tcPr>
                  <w:tcW w:w="4778"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kern w:val="2"/>
                      <w:sz w:val="21"/>
                      <w:szCs w:val="21"/>
                      <w:highlight w:val="none"/>
                      <w:lang w:val="en-US" w:eastAsia="zh-CN" w:bidi="ar-SA"/>
                    </w:rPr>
                  </w:pPr>
                  <w:r>
                    <w:rPr>
                      <w:rFonts w:hint="eastAsia" w:cs="Times New Roman"/>
                      <w:kern w:val="2"/>
                      <w:sz w:val="21"/>
                      <w:szCs w:val="21"/>
                      <w:highlight w:val="none"/>
                      <w:lang w:val="en-US" w:eastAsia="zh-CN" w:bidi="ar-SA"/>
                    </w:rPr>
                    <w:t>剥离表土用于厂区绿化，其他废土主要是黄土，用于厂区平整，后期进行道路平整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yellow"/>
                    </w:rPr>
                  </w:pPr>
                </w:p>
              </w:tc>
              <w:tc>
                <w:tcPr>
                  <w:tcW w:w="874" w:type="dxa"/>
                  <w:vMerge w:val="restart"/>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eastAsia="宋体" w:cs="Times New Roman"/>
                      <w:color w:val="FF0000"/>
                      <w:sz w:val="21"/>
                      <w:szCs w:val="21"/>
                      <w:highlight w:val="none"/>
                      <w:lang w:val="en-US" w:eastAsia="zh-CN"/>
                    </w:rPr>
                  </w:pPr>
                  <w:r>
                    <w:rPr>
                      <w:rFonts w:hint="eastAsia" w:ascii="Times New Roman" w:hAnsi="Times New Roman" w:eastAsia="宋体" w:cs="Times New Roman"/>
                      <w:sz w:val="21"/>
                      <w:szCs w:val="21"/>
                      <w:highlight w:val="none"/>
                      <w:lang w:val="en-US" w:eastAsia="zh-CN"/>
                    </w:rPr>
                    <w:t>加工区</w:t>
                  </w: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eastAsia" w:cs="Times New Roman"/>
                      <w:color w:val="000000"/>
                      <w:sz w:val="21"/>
                      <w:szCs w:val="21"/>
                      <w:highlight w:val="none"/>
                      <w:lang w:eastAsia="zh-CN"/>
                    </w:rPr>
                    <w:t>沉淀池、压滤机污泥</w:t>
                  </w:r>
                  <w:r>
                    <w:rPr>
                      <w:rFonts w:hint="default" w:ascii="Times New Roman" w:hAnsi="Times New Roman" w:cs="Times New Roman"/>
                      <w:color w:val="000000"/>
                      <w:sz w:val="21"/>
                      <w:szCs w:val="21"/>
                      <w:highlight w:val="none"/>
                    </w:rPr>
                    <w:t xml:space="preserve"> </w:t>
                  </w:r>
                  <w:r>
                    <w:rPr>
                      <w:rFonts w:hint="default" w:ascii="Times New Roman" w:hAnsi="Times New Roman" w:eastAsia="Times New Roman" w:cs="Times New Roman"/>
                      <w:color w:val="000000"/>
                      <w:sz w:val="21"/>
                      <w:szCs w:val="21"/>
                      <w:highlight w:val="none"/>
                    </w:rPr>
                    <w:t>S</w:t>
                  </w:r>
                  <w:r>
                    <w:rPr>
                      <w:rFonts w:hint="eastAsia" w:cs="Times New Roman"/>
                      <w:color w:val="000000"/>
                      <w:sz w:val="21"/>
                      <w:szCs w:val="21"/>
                      <w:highlight w:val="none"/>
                      <w:lang w:val="en-US" w:eastAsia="zh-CN"/>
                    </w:rPr>
                    <w:t>2</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color w:val="000000"/>
                      <w:sz w:val="21"/>
                      <w:szCs w:val="21"/>
                      <w:highlight w:val="yellow"/>
                      <w:lang w:eastAsia="zh-CN"/>
                    </w:rPr>
                  </w:pPr>
                  <w:r>
                    <w:rPr>
                      <w:rFonts w:hint="default" w:ascii="Times New Roman" w:hAnsi="Times New Roman" w:cs="Times New Roman"/>
                      <w:color w:val="000000"/>
                      <w:sz w:val="21"/>
                      <w:szCs w:val="21"/>
                      <w:highlight w:val="none"/>
                    </w:rPr>
                    <w:t>运至开采区回填并平整</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70" w:hRule="atLeast"/>
                <w:jc w:val="center"/>
              </w:trPr>
              <w:tc>
                <w:tcPr>
                  <w:tcW w:w="816" w:type="dxa"/>
                  <w:vMerge w:val="continue"/>
                  <w:tcBorders>
                    <w:lef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yellow"/>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eastAsia="宋体" w:cs="Times New Roman"/>
                      <w:kern w:val="0"/>
                      <w:sz w:val="21"/>
                      <w:szCs w:val="21"/>
                      <w:highlight w:val="none"/>
                      <w:lang w:val="en-US" w:eastAsia="zh-CN" w:bidi="ar-SA"/>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color w:val="000000"/>
                      <w:kern w:val="0"/>
                      <w:sz w:val="21"/>
                      <w:szCs w:val="21"/>
                      <w:highlight w:val="none"/>
                      <w:lang w:val="en-US" w:eastAsia="zh-CN" w:bidi="ar-SA"/>
                    </w:rPr>
                  </w:pPr>
                  <w:r>
                    <w:rPr>
                      <w:rFonts w:hint="default" w:ascii="Times New Roman" w:hAnsi="Times New Roman" w:cs="Times New Roman"/>
                      <w:color w:val="000000"/>
                      <w:sz w:val="21"/>
                      <w:szCs w:val="21"/>
                      <w:highlight w:val="none"/>
                    </w:rPr>
                    <w:t>废旧输送皮带等</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cs="Times New Roman"/>
                      <w:color w:val="000000"/>
                      <w:kern w:val="0"/>
                      <w:sz w:val="21"/>
                      <w:szCs w:val="21"/>
                      <w:highlight w:val="none"/>
                      <w:lang w:val="en-US" w:eastAsia="zh-CN" w:bidi="ar-SA"/>
                    </w:rPr>
                  </w:pPr>
                  <w:r>
                    <w:rPr>
                      <w:rFonts w:hint="default" w:ascii="Times New Roman" w:hAnsi="Times New Roman" w:cs="Times New Roman"/>
                      <w:color w:val="000000"/>
                      <w:sz w:val="21"/>
                      <w:szCs w:val="21"/>
                      <w:highlight w:val="none"/>
                    </w:rPr>
                    <w:t>收集暂存，外</w:t>
                  </w:r>
                  <w:r>
                    <w:rPr>
                      <w:rFonts w:hint="eastAsia" w:ascii="Times New Roman" w:hAnsi="Times New Roman" w:cs="Times New Roman"/>
                      <w:color w:val="000000"/>
                      <w:sz w:val="21"/>
                      <w:szCs w:val="21"/>
                      <w:highlight w:val="none"/>
                      <w:lang w:eastAsia="zh-CN"/>
                    </w:rPr>
                    <w:t>售废品回收单位</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16" w:type="dxa"/>
                  <w:vMerge w:val="continue"/>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yellow"/>
                    </w:rPr>
                  </w:pPr>
                </w:p>
              </w:tc>
              <w:tc>
                <w:tcPr>
                  <w:tcW w:w="874" w:type="dxa"/>
                  <w:vMerge w:val="continue"/>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none"/>
                    </w:rPr>
                  </w:pPr>
                </w:p>
              </w:tc>
              <w:tc>
                <w:tcPr>
                  <w:tcW w:w="2511"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default" w:ascii="Times New Roman" w:hAnsi="Times New Roman" w:cs="Times New Roman"/>
                      <w:color w:val="000000"/>
                      <w:kern w:val="2"/>
                      <w:sz w:val="21"/>
                      <w:szCs w:val="21"/>
                      <w:highlight w:val="none"/>
                      <w:lang w:val="en-US" w:eastAsia="zh-CN" w:bidi="ar-SA"/>
                    </w:rPr>
                  </w:pPr>
                  <w:r>
                    <w:rPr>
                      <w:rFonts w:hint="eastAsia" w:ascii="Times New Roman" w:hAnsi="Times New Roman" w:cs="Times New Roman"/>
                      <w:color w:val="000000"/>
                      <w:sz w:val="21"/>
                      <w:szCs w:val="21"/>
                      <w:highlight w:val="none"/>
                      <w:lang w:eastAsia="zh-CN"/>
                    </w:rPr>
                    <w:t>废机油</w:t>
                  </w:r>
                </w:p>
              </w:tc>
              <w:tc>
                <w:tcPr>
                  <w:tcW w:w="4778" w:type="dxa"/>
                  <w:tcBorders>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color w:val="000000"/>
                      <w:sz w:val="21"/>
                      <w:szCs w:val="21"/>
                      <w:highlight w:val="none"/>
                      <w:lang w:eastAsia="zh-CN"/>
                    </w:rPr>
                  </w:pPr>
                  <w:r>
                    <w:rPr>
                      <w:rFonts w:hint="eastAsia" w:ascii="Times New Roman" w:hAnsi="Times New Roman" w:cs="Times New Roman"/>
                      <w:color w:val="000000"/>
                      <w:sz w:val="21"/>
                      <w:szCs w:val="21"/>
                      <w:highlight w:val="none"/>
                      <w:lang w:eastAsia="zh-CN"/>
                    </w:rPr>
                    <w:t>设置危废暂存</w:t>
                  </w:r>
                  <w:r>
                    <w:rPr>
                      <w:rFonts w:hint="eastAsia" w:ascii="Times New Roman" w:hAnsi="Times New Roman" w:eastAsia="宋体" w:cs="Times New Roman"/>
                      <w:color w:val="000000"/>
                      <w:sz w:val="21"/>
                      <w:szCs w:val="21"/>
                      <w:highlight w:val="none"/>
                      <w:lang w:eastAsia="zh-CN"/>
                    </w:rPr>
                    <w:t>间，</w:t>
                  </w:r>
                  <w:r>
                    <w:rPr>
                      <w:rFonts w:hint="default" w:ascii="Times New Roman" w:hAnsi="Times New Roman" w:eastAsia="宋体" w:cs="Times New Roman"/>
                      <w:color w:val="000000"/>
                      <w:sz w:val="21"/>
                      <w:szCs w:val="21"/>
                      <w:highlight w:val="none"/>
                    </w:rPr>
                    <w:t>委托有资质单位处理</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10" w:hRule="atLeast"/>
                <w:jc w:val="center"/>
              </w:trPr>
              <w:tc>
                <w:tcPr>
                  <w:tcW w:w="816" w:type="dxa"/>
                  <w:vMerge w:val="continue"/>
                  <w:tcBorders>
                    <w:left w:val="single" w:color="auto" w:sz="4" w:space="0"/>
                    <w:bottom w:val="single" w:color="auto" w:sz="4" w:space="0"/>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sz w:val="21"/>
                      <w:szCs w:val="21"/>
                      <w:highlight w:val="yellow"/>
                    </w:rPr>
                  </w:pPr>
                </w:p>
              </w:tc>
              <w:tc>
                <w:tcPr>
                  <w:tcW w:w="874" w:type="dxa"/>
                  <w:vMerge w:val="continue"/>
                  <w:tcBorders>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eastAsia" w:ascii="Times New Roman" w:hAnsi="Times New Roman" w:eastAsia="宋体" w:cs="Times New Roman"/>
                      <w:color w:val="FF0000"/>
                      <w:sz w:val="21"/>
                      <w:szCs w:val="21"/>
                      <w:highlight w:val="yellow"/>
                      <w:lang w:eastAsia="zh-CN"/>
                    </w:rPr>
                  </w:pPr>
                </w:p>
              </w:tc>
              <w:tc>
                <w:tcPr>
                  <w:tcW w:w="2511" w:type="dxa"/>
                  <w:tcBorders>
                    <w:bottom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lang w:eastAsia="zh-CN"/>
                    </w:rPr>
                    <w:t>生活垃圾</w:t>
                  </w:r>
                </w:p>
              </w:tc>
              <w:tc>
                <w:tcPr>
                  <w:tcW w:w="4778" w:type="dxa"/>
                  <w:tcBorders>
                    <w:bottom w:val="single" w:color="auto" w:sz="4" w:space="0"/>
                    <w:right w:val="single" w:color="auto" w:sz="4" w:space="0"/>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rFonts w:hint="eastAsia"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eastAsia="zh-CN"/>
                    </w:rPr>
                    <w:t>定期清运至当地生活垃圾收集点</w:t>
                  </w:r>
                </w:p>
              </w:tc>
            </w:tr>
          </w:tbl>
          <w:p>
            <w:pPr>
              <w:adjustRightInd w:val="0"/>
              <w:snapToGrid w:val="0"/>
              <w:spacing w:line="360" w:lineRule="auto"/>
              <w:rPr>
                <w:b/>
                <w:bCs/>
                <w:color w:val="auto"/>
                <w:sz w:val="24"/>
                <w:highlight w:val="none"/>
              </w:rPr>
            </w:pPr>
            <w:r>
              <w:rPr>
                <w:rFonts w:hint="eastAsia"/>
                <w:b/>
                <w:bCs/>
                <w:color w:val="auto"/>
                <w:sz w:val="24"/>
                <w:highlight w:val="none"/>
                <w:lang w:val="en-US" w:eastAsia="zh-CN"/>
              </w:rPr>
              <w:t>3</w:t>
            </w:r>
            <w:r>
              <w:rPr>
                <w:rFonts w:hint="eastAsia"/>
                <w:b/>
                <w:bCs/>
                <w:color w:val="auto"/>
                <w:sz w:val="24"/>
                <w:highlight w:val="none"/>
                <w:lang w:eastAsia="zh-CN"/>
              </w:rPr>
              <w:t>、</w:t>
            </w:r>
            <w:r>
              <w:rPr>
                <w:b/>
                <w:bCs/>
                <w:color w:val="auto"/>
                <w:sz w:val="24"/>
                <w:highlight w:val="none"/>
              </w:rPr>
              <w:t>运营期</w:t>
            </w:r>
            <w:r>
              <w:rPr>
                <w:rFonts w:hint="eastAsia"/>
                <w:b/>
                <w:bCs/>
                <w:color w:val="auto"/>
                <w:sz w:val="24"/>
                <w:highlight w:val="none"/>
              </w:rPr>
              <w:t>废气影响分析</w:t>
            </w:r>
          </w:p>
          <w:p>
            <w:pPr>
              <w:adjustRightInd w:val="0"/>
              <w:snapToGrid w:val="0"/>
              <w:spacing w:line="360" w:lineRule="auto"/>
              <w:ind w:firstLine="482" w:firstLineChars="200"/>
              <w:rPr>
                <w:b/>
                <w:sz w:val="24"/>
              </w:rPr>
            </w:pPr>
            <w:r>
              <w:rPr>
                <w:b/>
                <w:sz w:val="24"/>
              </w:rPr>
              <w:t>（1）采场粉尘</w:t>
            </w:r>
          </w:p>
          <w:p>
            <w:pPr>
              <w:adjustRightInd w:val="0"/>
              <w:snapToGrid w:val="0"/>
              <w:spacing w:line="360" w:lineRule="auto"/>
              <w:ind w:firstLine="480" w:firstLineChars="200"/>
              <w:rPr>
                <w:rFonts w:hint="eastAsia"/>
                <w:b w:val="0"/>
                <w:bCs/>
                <w:sz w:val="24"/>
              </w:rPr>
            </w:pPr>
            <w:r>
              <w:rPr>
                <w:rFonts w:hint="eastAsia"/>
                <w:b w:val="0"/>
                <w:bCs/>
                <w:sz w:val="24"/>
              </w:rPr>
              <w:t>清表（G1）</w:t>
            </w:r>
          </w:p>
          <w:p>
            <w:pPr>
              <w:adjustRightInd w:val="0"/>
              <w:snapToGrid w:val="0"/>
              <w:spacing w:line="360" w:lineRule="auto"/>
              <w:ind w:firstLine="480" w:firstLineChars="200"/>
              <w:rPr>
                <w:rFonts w:hint="eastAsia"/>
                <w:b w:val="0"/>
                <w:bCs/>
                <w:sz w:val="24"/>
              </w:rPr>
            </w:pPr>
            <w:r>
              <w:rPr>
                <w:rFonts w:hint="eastAsia"/>
                <w:b w:val="0"/>
                <w:bCs/>
                <w:sz w:val="24"/>
              </w:rPr>
              <w:t>表土剥离过程中将产生一定量的扬尘，扬尘产生量与当地风速等条件有关，参照《露天矿剥离工作面粉尘分布与运移规律模拟研究》（中国矿业大学， 2014）中的研究成果，剥离粉尘按剥离量的 1‰计，总</w:t>
            </w:r>
            <w:r>
              <w:rPr>
                <w:rFonts w:hint="eastAsia"/>
                <w:b w:val="0"/>
                <w:bCs/>
                <w:sz w:val="24"/>
                <w:szCs w:val="24"/>
              </w:rPr>
              <w:t xml:space="preserve">剥离量 </w:t>
            </w:r>
            <w:r>
              <w:rPr>
                <w:rFonts w:hint="eastAsia"/>
                <w:kern w:val="0"/>
                <w:sz w:val="24"/>
                <w:szCs w:val="24"/>
                <w:lang w:val="zh-CN"/>
              </w:rPr>
              <w:t>9.27</w:t>
            </w:r>
            <w:r>
              <w:rPr>
                <w:rFonts w:hint="eastAsia"/>
                <w:sz w:val="24"/>
                <w:szCs w:val="24"/>
              </w:rPr>
              <w:t>×10</w:t>
            </w:r>
            <w:r>
              <w:rPr>
                <w:rFonts w:hint="eastAsia"/>
                <w:sz w:val="24"/>
                <w:szCs w:val="24"/>
                <w:vertAlign w:val="superscript"/>
              </w:rPr>
              <w:t>4</w:t>
            </w:r>
            <w:r>
              <w:rPr>
                <w:rFonts w:hint="eastAsia"/>
                <w:sz w:val="24"/>
                <w:szCs w:val="24"/>
              </w:rPr>
              <w:t>m</w:t>
            </w:r>
            <w:r>
              <w:rPr>
                <w:rFonts w:hint="eastAsia"/>
                <w:sz w:val="24"/>
                <w:szCs w:val="24"/>
                <w:vertAlign w:val="superscript"/>
              </w:rPr>
              <w:t>3</w:t>
            </w:r>
            <w:r>
              <w:rPr>
                <w:rFonts w:hint="eastAsia"/>
                <w:b w:val="0"/>
                <w:bCs/>
                <w:sz w:val="24"/>
              </w:rPr>
              <w:t xml:space="preserve">，矿山服务年限 </w:t>
            </w:r>
            <w:r>
              <w:rPr>
                <w:rFonts w:hint="eastAsia"/>
                <w:b w:val="0"/>
                <w:bCs/>
                <w:sz w:val="24"/>
                <w:lang w:val="en-US" w:eastAsia="zh-CN"/>
              </w:rPr>
              <w:t>5</w:t>
            </w:r>
            <w:r>
              <w:rPr>
                <w:rFonts w:hint="eastAsia"/>
                <w:b w:val="0"/>
                <w:bCs/>
                <w:sz w:val="24"/>
              </w:rPr>
              <w:t>a，年剥离量约为</w:t>
            </w:r>
            <w:r>
              <w:rPr>
                <w:rFonts w:hint="eastAsia"/>
                <w:b w:val="0"/>
                <w:bCs/>
                <w:sz w:val="24"/>
                <w:lang w:val="en-US" w:eastAsia="zh-CN"/>
              </w:rPr>
              <w:t>18540</w:t>
            </w:r>
            <w:r>
              <w:rPr>
                <w:rFonts w:hint="eastAsia"/>
                <w:b w:val="0"/>
                <w:bCs/>
                <w:sz w:val="24"/>
              </w:rPr>
              <w:t xml:space="preserve">  m</w:t>
            </w:r>
            <w:r>
              <w:rPr>
                <w:rFonts w:hint="eastAsia"/>
                <w:b w:val="0"/>
                <w:bCs/>
                <w:sz w:val="24"/>
                <w:vertAlign w:val="superscript"/>
              </w:rPr>
              <w:t>3</w:t>
            </w:r>
            <w:r>
              <w:rPr>
                <w:rFonts w:hint="eastAsia"/>
                <w:b w:val="0"/>
                <w:bCs/>
                <w:sz w:val="24"/>
              </w:rPr>
              <w:t>，</w:t>
            </w:r>
            <w:r>
              <w:rPr>
                <w:rFonts w:hint="default" w:ascii="Times New Roman" w:hAnsi="Times New Roman" w:cs="Times New Roman"/>
                <w:b w:val="0"/>
                <w:bCs w:val="0"/>
                <w:color w:val="000000"/>
                <w:spacing w:val="3"/>
                <w:sz w:val="24"/>
                <w:szCs w:val="24"/>
                <w:lang w:eastAsia="zh-CN"/>
              </w:rPr>
              <w:t>砂</w:t>
            </w:r>
            <w:r>
              <w:rPr>
                <w:rFonts w:hint="default" w:ascii="Times New Roman" w:hAnsi="Times New Roman" w:cs="Times New Roman"/>
                <w:b w:val="0"/>
                <w:bCs w:val="0"/>
                <w:color w:val="000000"/>
                <w:spacing w:val="3"/>
                <w:sz w:val="24"/>
                <w:szCs w:val="24"/>
              </w:rPr>
              <w:t>石料的密度为</w:t>
            </w:r>
            <w:r>
              <w:rPr>
                <w:rFonts w:hint="default" w:ascii="Times New Roman" w:hAnsi="Times New Roman" w:eastAsia="Times New Roman" w:cs="Times New Roman"/>
                <w:b w:val="0"/>
                <w:bCs w:val="0"/>
                <w:color w:val="000000"/>
                <w:sz w:val="24"/>
                <w:szCs w:val="24"/>
              </w:rPr>
              <w:t>1.6t/m</w:t>
            </w:r>
            <w:r>
              <w:rPr>
                <w:rFonts w:hint="default" w:ascii="Times New Roman" w:hAnsi="Times New Roman" w:eastAsia="宋体" w:cs="Times New Roman"/>
                <w:b w:val="0"/>
                <w:bCs w:val="0"/>
                <w:color w:val="000000"/>
                <w:sz w:val="24"/>
                <w:szCs w:val="24"/>
                <w:vertAlign w:val="superscript"/>
                <w:lang w:val="en-US" w:eastAsia="zh-CN"/>
              </w:rPr>
              <w:t>3</w:t>
            </w:r>
            <w:r>
              <w:rPr>
                <w:rFonts w:hint="eastAsia" w:ascii="Times New Roman" w:hAnsi="Times New Roman" w:eastAsia="宋体" w:cs="Times New Roman"/>
                <w:b w:val="0"/>
                <w:bCs w:val="0"/>
                <w:color w:val="000000"/>
                <w:sz w:val="24"/>
                <w:szCs w:val="24"/>
                <w:vertAlign w:val="baseline"/>
                <w:lang w:val="en-US" w:eastAsia="zh-CN"/>
              </w:rPr>
              <w:t>，</w:t>
            </w:r>
            <w:r>
              <w:rPr>
                <w:rFonts w:hint="eastAsia"/>
                <w:b w:val="0"/>
                <w:bCs/>
                <w:sz w:val="24"/>
              </w:rPr>
              <w:t>剥离粉尘产生量为</w:t>
            </w:r>
            <w:r>
              <w:rPr>
                <w:rFonts w:hint="eastAsia"/>
                <w:b w:val="0"/>
                <w:bCs/>
                <w:sz w:val="24"/>
                <w:lang w:val="en-US" w:eastAsia="zh-CN"/>
              </w:rPr>
              <w:t>29.664</w:t>
            </w:r>
            <w:r>
              <w:rPr>
                <w:rFonts w:hint="eastAsia"/>
                <w:b w:val="0"/>
                <w:bCs/>
                <w:sz w:val="24"/>
              </w:rPr>
              <w:t>t/a，清表作业拟采用湿式作业或雨后作业，抑尘效率可达到 90%以上，表土剥离过程中粉尘排放量约</w:t>
            </w:r>
            <w:r>
              <w:rPr>
                <w:rFonts w:hint="eastAsia"/>
                <w:b w:val="0"/>
                <w:bCs/>
                <w:sz w:val="24"/>
                <w:lang w:val="en-US" w:eastAsia="zh-CN"/>
              </w:rPr>
              <w:t>2.966</w:t>
            </w:r>
            <w:r>
              <w:rPr>
                <w:rFonts w:hint="eastAsia"/>
                <w:b w:val="0"/>
                <w:bCs/>
                <w:sz w:val="24"/>
              </w:rPr>
              <w:t>t/a。</w:t>
            </w:r>
          </w:p>
          <w:p>
            <w:pPr>
              <w:adjustRightInd w:val="0"/>
              <w:snapToGrid w:val="0"/>
              <w:spacing w:line="360" w:lineRule="auto"/>
              <w:ind w:firstLine="480" w:firstLineChars="200"/>
              <w:rPr>
                <w:rFonts w:hint="eastAsia"/>
                <w:b w:val="0"/>
                <w:bCs/>
                <w:sz w:val="24"/>
              </w:rPr>
            </w:pPr>
            <w:r>
              <w:rPr>
                <w:rFonts w:hint="eastAsia"/>
                <w:b w:val="0"/>
                <w:bCs/>
                <w:sz w:val="24"/>
              </w:rPr>
              <w:t>穿孔粉尘（G2）</w:t>
            </w:r>
          </w:p>
          <w:p>
            <w:pPr>
              <w:adjustRightInd w:val="0"/>
              <w:snapToGrid w:val="0"/>
              <w:spacing w:line="360" w:lineRule="auto"/>
              <w:ind w:firstLine="480" w:firstLineChars="200"/>
              <w:rPr>
                <w:rFonts w:hint="eastAsia"/>
                <w:b w:val="0"/>
                <w:bCs/>
                <w:sz w:val="24"/>
              </w:rPr>
            </w:pPr>
            <w:r>
              <w:rPr>
                <w:rFonts w:hint="eastAsia"/>
                <w:b w:val="0"/>
                <w:bCs/>
                <w:sz w:val="24"/>
              </w:rPr>
              <w:t>参考包钢科技第 38 卷第 5 期《露天矿开采过程中粉尘污染控制（孙丽</w:t>
            </w:r>
            <w:r>
              <w:rPr>
                <w:rFonts w:hint="eastAsia"/>
                <w:b w:val="0"/>
                <w:bCs/>
                <w:sz w:val="24"/>
              </w:rPr>
              <w:tab/>
            </w:r>
            <w:r>
              <w:rPr>
                <w:rFonts w:hint="eastAsia"/>
                <w:b w:val="0"/>
                <w:bCs/>
                <w:sz w:val="24"/>
              </w:rPr>
              <w:t>宝文宏）》（2012.10）中关于粉尘排放量的确定方法，钻机工作时，其附近的空气中粉尘浓度平均为 448.9mg/m</w:t>
            </w:r>
            <w:r>
              <w:rPr>
                <w:rFonts w:hint="eastAsia"/>
                <w:b w:val="0"/>
                <w:bCs/>
                <w:sz w:val="24"/>
                <w:vertAlign w:val="superscript"/>
              </w:rPr>
              <w:t>3</w:t>
            </w:r>
            <w:r>
              <w:rPr>
                <w:rFonts w:hint="eastAsia"/>
                <w:b w:val="0"/>
                <w:bCs/>
                <w:sz w:val="24"/>
              </w:rPr>
              <w:t>，采用 1 台潜孔钻机，其排风量均为 13m</w:t>
            </w:r>
            <w:r>
              <w:rPr>
                <w:rFonts w:hint="eastAsia"/>
                <w:b w:val="0"/>
                <w:bCs/>
                <w:sz w:val="24"/>
                <w:vertAlign w:val="superscript"/>
              </w:rPr>
              <w:t>3</w:t>
            </w:r>
            <w:r>
              <w:rPr>
                <w:rFonts w:hint="eastAsia"/>
                <w:b w:val="0"/>
                <w:bCs/>
                <w:sz w:val="24"/>
              </w:rPr>
              <w:t>/min，钻孔过程中，潜孔钻排放的粉尘量 Q1 为：</w:t>
            </w:r>
          </w:p>
          <w:p>
            <w:pPr>
              <w:adjustRightInd w:val="0"/>
              <w:snapToGrid w:val="0"/>
              <w:spacing w:line="360" w:lineRule="auto"/>
              <w:ind w:firstLine="480" w:firstLineChars="200"/>
              <w:rPr>
                <w:rFonts w:hint="eastAsia"/>
                <w:b w:val="0"/>
                <w:bCs/>
                <w:sz w:val="24"/>
              </w:rPr>
            </w:pPr>
            <w:r>
              <w:rPr>
                <w:rFonts w:hint="eastAsia"/>
                <w:b w:val="0"/>
                <w:bCs/>
                <w:sz w:val="24"/>
              </w:rPr>
              <w:t>Q1=448.9mg/m</w:t>
            </w:r>
            <w:r>
              <w:rPr>
                <w:rFonts w:hint="eastAsia"/>
                <w:b w:val="0"/>
                <w:bCs/>
                <w:sz w:val="24"/>
                <w:vertAlign w:val="superscript"/>
              </w:rPr>
              <w:t>3</w:t>
            </w:r>
            <w:r>
              <w:rPr>
                <w:rFonts w:hint="eastAsia"/>
                <w:b w:val="0"/>
                <w:bCs/>
                <w:sz w:val="24"/>
              </w:rPr>
              <w:t>×13m</w:t>
            </w:r>
            <w:r>
              <w:rPr>
                <w:rFonts w:hint="eastAsia"/>
                <w:b w:val="0"/>
                <w:bCs/>
                <w:sz w:val="24"/>
                <w:vertAlign w:val="superscript"/>
              </w:rPr>
              <w:t>3</w:t>
            </w:r>
            <w:r>
              <w:rPr>
                <w:rFonts w:hint="eastAsia"/>
                <w:b w:val="0"/>
                <w:bCs/>
                <w:sz w:val="24"/>
              </w:rPr>
              <w:t>/min=17.5071g/min</w:t>
            </w:r>
          </w:p>
          <w:p>
            <w:pPr>
              <w:adjustRightInd w:val="0"/>
              <w:snapToGrid w:val="0"/>
              <w:spacing w:line="360" w:lineRule="auto"/>
              <w:ind w:firstLine="480" w:firstLineChars="200"/>
              <w:rPr>
                <w:rFonts w:hint="eastAsia"/>
                <w:b w:val="0"/>
                <w:bCs/>
                <w:sz w:val="24"/>
              </w:rPr>
            </w:pPr>
            <w:r>
              <w:rPr>
                <w:rFonts w:hint="eastAsia"/>
                <w:b w:val="0"/>
                <w:bCs/>
                <w:sz w:val="24"/>
              </w:rPr>
              <w:t xml:space="preserve"> Q1′=17.5071g/min×60min/次×30 次/a=0.03t/a</w:t>
            </w:r>
          </w:p>
          <w:p>
            <w:pPr>
              <w:adjustRightInd w:val="0"/>
              <w:snapToGrid w:val="0"/>
              <w:spacing w:line="360" w:lineRule="auto"/>
              <w:ind w:firstLine="480" w:firstLineChars="200"/>
              <w:rPr>
                <w:rFonts w:hint="eastAsia"/>
                <w:b w:val="0"/>
                <w:bCs/>
                <w:sz w:val="24"/>
              </w:rPr>
            </w:pPr>
            <w:r>
              <w:rPr>
                <w:rFonts w:hint="eastAsia"/>
                <w:b w:val="0"/>
                <w:bCs/>
                <w:sz w:val="24"/>
              </w:rPr>
              <w:t>穿孔作业拟采用湿式作业，抑尘效率可达到 90%以上，穿孔粉尘排放量约0.003t/a。</w:t>
            </w:r>
          </w:p>
          <w:p>
            <w:pPr>
              <w:adjustRightInd w:val="0"/>
              <w:snapToGrid w:val="0"/>
              <w:spacing w:line="360" w:lineRule="auto"/>
              <w:ind w:firstLine="480" w:firstLineChars="200"/>
              <w:rPr>
                <w:b w:val="0"/>
                <w:bCs/>
                <w:sz w:val="24"/>
              </w:rPr>
            </w:pPr>
            <w:r>
              <w:rPr>
                <w:b w:val="0"/>
                <w:bCs/>
                <w:sz w:val="24"/>
              </w:rPr>
              <w:t>爆破废气（</w:t>
            </w:r>
            <w:r>
              <w:rPr>
                <w:rFonts w:ascii="Times New Roman" w:eastAsia="Times New Roman"/>
                <w:b w:val="0"/>
                <w:bCs/>
                <w:sz w:val="24"/>
              </w:rPr>
              <w:t>G3</w:t>
            </w:r>
            <w:r>
              <w:rPr>
                <w:b w:val="0"/>
                <w:bCs/>
                <w:sz w:val="24"/>
              </w:rPr>
              <w:t>）</w:t>
            </w:r>
          </w:p>
          <w:p>
            <w:pPr>
              <w:adjustRightInd w:val="0"/>
              <w:snapToGrid w:val="0"/>
              <w:spacing w:line="360" w:lineRule="auto"/>
              <w:ind w:firstLine="480" w:firstLineChars="200"/>
              <w:rPr>
                <w:rFonts w:hint="eastAsia"/>
                <w:b w:val="0"/>
                <w:bCs/>
                <w:sz w:val="24"/>
              </w:rPr>
            </w:pPr>
            <w:r>
              <w:rPr>
                <w:rFonts w:hint="eastAsia"/>
                <w:b w:val="0"/>
                <w:bCs/>
                <w:sz w:val="24"/>
              </w:rPr>
              <w:t xml:space="preserve">参考包钢科技第 38 卷第 5 期《露天矿开采过程中粉尘污染控制（孙丽 宝文宏）》（2012.10）中关于粉尘排放量的确定方法，爆破粉尘排放量占矿岩总爆破量的 0.0011%，矿山开采规模为 </w:t>
            </w:r>
            <w:r>
              <w:rPr>
                <w:rFonts w:hint="eastAsia"/>
                <w:b w:val="0"/>
                <w:bCs/>
                <w:sz w:val="24"/>
                <w:lang w:val="en-US" w:eastAsia="zh-CN"/>
              </w:rPr>
              <w:t>8</w:t>
            </w:r>
            <w:r>
              <w:rPr>
                <w:rFonts w:hint="eastAsia"/>
                <w:b w:val="0"/>
                <w:bCs/>
                <w:sz w:val="24"/>
              </w:rPr>
              <w:t>0</w:t>
            </w:r>
            <w:r>
              <w:rPr>
                <w:rFonts w:hint="eastAsia"/>
                <w:b w:val="0"/>
                <w:bCs/>
                <w:sz w:val="24"/>
                <w:lang w:eastAsia="zh-CN"/>
              </w:rPr>
              <w:t>万</w:t>
            </w:r>
            <w:r>
              <w:rPr>
                <w:rFonts w:hint="eastAsia"/>
                <w:b w:val="0"/>
                <w:bCs/>
                <w:sz w:val="24"/>
              </w:rPr>
              <w:t>m</w:t>
            </w:r>
            <w:r>
              <w:rPr>
                <w:rFonts w:hint="eastAsia"/>
                <w:b w:val="0"/>
                <w:bCs/>
                <w:sz w:val="24"/>
                <w:vertAlign w:val="superscript"/>
              </w:rPr>
              <w:t>3</w:t>
            </w:r>
            <w:r>
              <w:rPr>
                <w:rFonts w:hint="eastAsia"/>
                <w:b w:val="0"/>
                <w:bCs/>
                <w:sz w:val="24"/>
              </w:rPr>
              <w:t xml:space="preserve">/a，爆破粉尘排放量 Q2 </w:t>
            </w:r>
            <w:r>
              <w:rPr>
                <w:rFonts w:hint="eastAsia"/>
                <w:b w:val="0"/>
                <w:bCs/>
                <w:sz w:val="24"/>
                <w:szCs w:val="24"/>
              </w:rPr>
              <w:t>为</w:t>
            </w:r>
            <w:r>
              <w:rPr>
                <w:rFonts w:hint="eastAsia"/>
                <w:b w:val="0"/>
                <w:bCs/>
                <w:sz w:val="24"/>
                <w:szCs w:val="24"/>
                <w:lang w:eastAsia="zh-CN"/>
              </w:rPr>
              <w:t>（</w:t>
            </w:r>
            <w:r>
              <w:rPr>
                <w:rFonts w:hint="eastAsia" w:ascii="宋体" w:hAnsi="宋体" w:cs="宋体"/>
                <w:kern w:val="0"/>
                <w:sz w:val="24"/>
                <w:szCs w:val="24"/>
              </w:rPr>
              <w:t>花岗岩</w:t>
            </w:r>
            <w:r>
              <w:rPr>
                <w:rFonts w:hint="eastAsia" w:ascii="宋体" w:hAnsi="宋体" w:cs="宋体"/>
                <w:kern w:val="0"/>
                <w:sz w:val="24"/>
                <w:szCs w:val="24"/>
                <w:lang w:eastAsia="zh-CN"/>
              </w:rPr>
              <w:t>密度：</w:t>
            </w:r>
            <w:r>
              <w:rPr>
                <w:rFonts w:hint="default" w:ascii="Times New Roman" w:hAnsi="Times New Roman" w:eastAsia="Times New Roman" w:cs="Times New Roman"/>
                <w:b w:val="0"/>
                <w:bCs w:val="0"/>
                <w:color w:val="000000"/>
                <w:sz w:val="24"/>
                <w:szCs w:val="24"/>
              </w:rPr>
              <w:t>1.6t/m</w:t>
            </w:r>
            <w:r>
              <w:rPr>
                <w:rFonts w:hint="default" w:ascii="Times New Roman" w:hAnsi="Times New Roman" w:eastAsia="宋体" w:cs="Times New Roman"/>
                <w:b w:val="0"/>
                <w:bCs w:val="0"/>
                <w:color w:val="000000"/>
                <w:sz w:val="24"/>
                <w:szCs w:val="24"/>
                <w:vertAlign w:val="superscript"/>
                <w:lang w:val="en-US" w:eastAsia="zh-CN"/>
              </w:rPr>
              <w:t>3</w:t>
            </w:r>
            <w:r>
              <w:rPr>
                <w:rFonts w:hint="eastAsia" w:ascii="Times New Roman" w:hAnsi="Times New Roman" w:eastAsia="宋体" w:cs="Times New Roman"/>
                <w:b w:val="0"/>
                <w:bCs w:val="0"/>
                <w:color w:val="000000"/>
                <w:sz w:val="24"/>
                <w:szCs w:val="24"/>
                <w:vertAlign w:val="baseline"/>
                <w:lang w:val="en-US" w:eastAsia="zh-CN"/>
              </w:rPr>
              <w:t>）</w:t>
            </w:r>
            <w:r>
              <w:rPr>
                <w:rFonts w:hint="eastAsia"/>
                <w:b w:val="0"/>
                <w:bCs/>
                <w:sz w:val="24"/>
              </w:rPr>
              <w:t>：Q2=</w:t>
            </w:r>
            <w:r>
              <w:rPr>
                <w:rFonts w:hint="eastAsia"/>
                <w:b w:val="0"/>
                <w:bCs/>
                <w:sz w:val="24"/>
                <w:lang w:val="en-US" w:eastAsia="zh-CN"/>
              </w:rPr>
              <w:t>80</w:t>
            </w:r>
            <w:r>
              <w:rPr>
                <w:rFonts w:hint="eastAsia"/>
                <w:b w:val="0"/>
                <w:bCs/>
                <w:sz w:val="24"/>
              </w:rPr>
              <w:t>0000×</w:t>
            </w:r>
            <w:r>
              <w:rPr>
                <w:rFonts w:hint="eastAsia"/>
                <w:b w:val="0"/>
                <w:bCs/>
                <w:sz w:val="24"/>
                <w:lang w:val="en-US" w:eastAsia="zh-CN"/>
              </w:rPr>
              <w:t>1.6</w:t>
            </w:r>
            <w:r>
              <w:rPr>
                <w:rFonts w:hint="eastAsia"/>
                <w:b w:val="0"/>
                <w:bCs/>
                <w:sz w:val="24"/>
              </w:rPr>
              <w:t>×0.0011%=</w:t>
            </w:r>
            <w:r>
              <w:rPr>
                <w:rFonts w:hint="eastAsia"/>
                <w:b w:val="0"/>
                <w:bCs/>
                <w:sz w:val="24"/>
                <w:lang w:val="en-US" w:eastAsia="zh-CN"/>
              </w:rPr>
              <w:t>14.08</w:t>
            </w:r>
            <w:r>
              <w:rPr>
                <w:rFonts w:hint="eastAsia"/>
                <w:b w:val="0"/>
                <w:bCs/>
                <w:sz w:val="24"/>
              </w:rPr>
              <w:t>t/a。</w:t>
            </w:r>
          </w:p>
          <w:p>
            <w:pPr>
              <w:adjustRightInd w:val="0"/>
              <w:snapToGrid w:val="0"/>
              <w:spacing w:line="360" w:lineRule="auto"/>
              <w:ind w:firstLine="480" w:firstLineChars="200"/>
              <w:rPr>
                <w:rFonts w:hint="eastAsia"/>
                <w:b w:val="0"/>
                <w:bCs/>
                <w:sz w:val="24"/>
              </w:rPr>
            </w:pPr>
            <w:r>
              <w:rPr>
                <w:rFonts w:hint="eastAsia"/>
                <w:b w:val="0"/>
                <w:bCs/>
                <w:sz w:val="24"/>
              </w:rPr>
              <w:t>矿山采用湿式爆破，抑尘效率可达 90%以上，则采取措施后，爆破粉尘排放量约</w:t>
            </w:r>
            <w:r>
              <w:rPr>
                <w:rFonts w:hint="eastAsia"/>
                <w:b w:val="0"/>
                <w:bCs/>
                <w:sz w:val="24"/>
                <w:lang w:val="en-US" w:eastAsia="zh-CN"/>
              </w:rPr>
              <w:t>1.408</w:t>
            </w:r>
            <w:r>
              <w:rPr>
                <w:rFonts w:hint="eastAsia"/>
                <w:b w:val="0"/>
                <w:bCs/>
                <w:sz w:val="24"/>
              </w:rPr>
              <w:t>t/a。</w:t>
            </w:r>
          </w:p>
          <w:p>
            <w:pPr>
              <w:adjustRightInd w:val="0"/>
              <w:snapToGrid w:val="0"/>
              <w:spacing w:line="360" w:lineRule="auto"/>
              <w:ind w:firstLine="480" w:firstLineChars="200"/>
              <w:rPr>
                <w:rFonts w:hint="eastAsia"/>
                <w:b w:val="0"/>
                <w:bCs/>
                <w:sz w:val="24"/>
              </w:rPr>
            </w:pPr>
            <w:r>
              <w:rPr>
                <w:rFonts w:hint="eastAsia"/>
                <w:b w:val="0"/>
                <w:bCs/>
                <w:sz w:val="24"/>
              </w:rPr>
              <w:t>矿石装、卸车扬尘（G4）</w:t>
            </w:r>
          </w:p>
          <w:p>
            <w:pPr>
              <w:pStyle w:val="12"/>
              <w:keepNext w:val="0"/>
              <w:keepLines w:val="0"/>
              <w:pageBreakBefore w:val="0"/>
              <w:widowControl w:val="0"/>
              <w:kinsoku/>
              <w:wordWrap/>
              <w:overflowPunct/>
              <w:topLinePunct w:val="0"/>
              <w:autoSpaceDE w:val="0"/>
              <w:autoSpaceDN w:val="0"/>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砂石料铲装工作面相对较大，铲装作业时由于机械落差会产生的一定量的粉尘。本项目物料装车机械落差的起尘量采用交通部水运研究所和武汉工程学院提出的装卸起尘量的经验公式进行估算，具体公式为：</w:t>
            </w:r>
          </w:p>
          <w:p>
            <w:pPr>
              <w:pStyle w:val="12"/>
              <w:keepNext w:val="0"/>
              <w:keepLines w:val="0"/>
              <w:pageBreakBefore w:val="0"/>
              <w:widowControl w:val="0"/>
              <w:kinsoku/>
              <w:wordWrap/>
              <w:overflowPunct/>
              <w:topLinePunct w:val="0"/>
              <w:autoSpaceDE w:val="0"/>
              <w:autoSpaceDN w:val="0"/>
              <w:bidi w:val="0"/>
              <w:adjustRightInd/>
              <w:snapToGrid/>
              <w:spacing w:before="0" w:after="0" w:line="360" w:lineRule="auto"/>
              <w:ind w:left="0" w:right="0" w:firstLine="360" w:firstLineChars="200"/>
              <w:textAlignment w:val="auto"/>
            </w:pPr>
            <w:r>
              <w:rPr>
                <w:rFonts w:hint="eastAsia"/>
                <w:lang w:val="en-US" w:eastAsia="zh-CN"/>
              </w:rPr>
              <w:t xml:space="preserve">      </w:t>
            </w:r>
            <w:r>
              <w:drawing>
                <wp:inline distT="0" distB="0" distL="114300" distR="114300">
                  <wp:extent cx="2477135" cy="357505"/>
                  <wp:effectExtent l="0" t="0" r="18415" b="4445"/>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20"/>
                          <a:stretch>
                            <a:fillRect/>
                          </a:stretch>
                        </pic:blipFill>
                        <pic:spPr>
                          <a:xfrm>
                            <a:off x="0" y="0"/>
                            <a:ext cx="2477135" cy="3575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eastAsia="宋体" w:cs="Times New Roman"/>
                <w:b w:val="0"/>
                <w:bCs/>
                <w:spacing w:val="4"/>
                <w:sz w:val="24"/>
                <w:szCs w:val="24"/>
                <w:lang w:val="en-US" w:eastAsia="zh-CN"/>
              </w:rPr>
            </w:pPr>
            <w:r>
              <w:rPr>
                <w:rFonts w:hint="default" w:ascii="Times New Roman" w:hAnsi="Times New Roman" w:eastAsia="宋体" w:cs="Times New Roman"/>
                <w:sz w:val="24"/>
                <w:szCs w:val="24"/>
              </w:rPr>
              <w:t>式中：</w:t>
            </w:r>
            <w:r>
              <w:rPr>
                <w:rFonts w:hint="default" w:ascii="Times New Roman" w:hAnsi="Times New Roman" w:eastAsia="宋体" w:cs="Times New Roman"/>
                <w:b w:val="0"/>
                <w:bCs/>
                <w:spacing w:val="4"/>
                <w:sz w:val="24"/>
                <w:szCs w:val="24"/>
                <w:lang w:eastAsia="zh-CN"/>
              </w:rPr>
              <w:t>式中：</w:t>
            </w:r>
            <w:r>
              <w:rPr>
                <w:rFonts w:hint="default" w:ascii="Times New Roman" w:hAnsi="Times New Roman" w:eastAsia="宋体" w:cs="Times New Roman"/>
                <w:b w:val="0"/>
                <w:bCs/>
                <w:spacing w:val="4"/>
                <w:position w:val="-10"/>
                <w:sz w:val="24"/>
                <w:szCs w:val="24"/>
                <w:lang w:eastAsia="zh-CN"/>
              </w:rPr>
              <w:object>
                <v:shape id="_x0000_i1029" o:spt="75" type="#_x0000_t75" style="height:16pt;width:12pt;" o:ole="t" filled="f" o:preferrelative="t" stroked="f" coordsize="21600,21600">
                  <v:path/>
                  <v:fill on="f" focussize="0,0"/>
                  <v:stroke on="f"/>
                  <v:imagedata r:id="rId22" o:title=""/>
                  <o:lock v:ext="edit" aspectratio="t"/>
                  <w10:wrap type="none"/>
                  <w10:anchorlock/>
                </v:shape>
                <o:OLEObject Type="Embed" ProgID="Equation.KSEE3" ShapeID="_x0000_i1029" DrawAspect="Content" ObjectID="_1468075729" r:id="rId21">
                  <o:LockedField>false</o:LockedField>
                </o:OLEObject>
              </w:object>
            </w:r>
            <w:r>
              <w:rPr>
                <w:rFonts w:hint="default" w:ascii="Times New Roman" w:hAnsi="Times New Roman" w:eastAsia="宋体" w:cs="Times New Roman"/>
                <w:b w:val="0"/>
                <w:bCs/>
                <w:spacing w:val="4"/>
                <w:sz w:val="24"/>
                <w:szCs w:val="24"/>
                <w:lang w:val="en-US" w:eastAsia="zh-CN"/>
              </w:rPr>
              <w:t>—起尘量，</w:t>
            </w:r>
            <w:r>
              <w:rPr>
                <w:rFonts w:hint="eastAsia" w:cs="Times New Roman"/>
                <w:b w:val="0"/>
                <w:bCs/>
                <w:spacing w:val="4"/>
                <w:sz w:val="24"/>
                <w:szCs w:val="24"/>
                <w:lang w:val="en-US" w:eastAsia="zh-CN"/>
              </w:rPr>
              <w:t>mg</w:t>
            </w:r>
            <w:r>
              <w:rPr>
                <w:rFonts w:hint="default" w:ascii="Times New Roman" w:hAnsi="Times New Roman" w:eastAsia="宋体" w:cs="Times New Roman"/>
                <w:b w:val="0"/>
                <w:bCs/>
                <w:spacing w:val="4"/>
                <w:sz w:val="24"/>
                <w:szCs w:val="24"/>
                <w:lang w:val="en-US" w:eastAsia="zh-CN"/>
              </w:rPr>
              <w:t>/s；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200" w:firstLineChars="500"/>
              <w:textAlignment w:val="auto"/>
              <w:outlineLvl w:val="9"/>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position w:val="-6"/>
                <w:sz w:val="24"/>
                <w:szCs w:val="24"/>
              </w:rPr>
              <w:object>
                <v:shape id="_x0000_i1030" o:spt="75" type="#_x0000_t75" style="height:11pt;width:10pt;" o:ole="t" filled="f" o:preferrelative="t" stroked="f" coordsize="21600,21600">
                  <v:path/>
                  <v:fill on="f" focussize="0,0"/>
                  <v:stroke on="f"/>
                  <v:imagedata r:id="rId24" o:title=""/>
                  <o:lock v:ext="edit" aspectratio="t"/>
                  <w10:wrap type="none"/>
                  <w10:anchorlock/>
                </v:shape>
                <o:OLEObject Type="Embed" ProgID="Equation.KSEE3" ShapeID="_x0000_i1030" DrawAspect="Content" ObjectID="_1468075730" r:id="rId23">
                  <o:LockedField>false</o:LockedField>
                </o:OLEObject>
              </w:object>
            </w:r>
            <w:r>
              <w:rPr>
                <w:rFonts w:hint="default" w:ascii="Times New Roman" w:hAnsi="Times New Roman" w:eastAsia="宋体" w:cs="Times New Roman"/>
                <w:b w:val="0"/>
                <w:bCs/>
                <w:sz w:val="24"/>
                <w:szCs w:val="24"/>
                <w:lang w:eastAsia="zh-CN"/>
              </w:rPr>
              <w:t>—平均风速，</w:t>
            </w:r>
            <w:r>
              <w:rPr>
                <w:rFonts w:hint="default" w:ascii="Times New Roman" w:hAnsi="Times New Roman" w:eastAsia="宋体" w:cs="Times New Roman"/>
                <w:b w:val="0"/>
                <w:bCs/>
                <w:sz w:val="24"/>
                <w:szCs w:val="24"/>
                <w:lang w:val="en-US" w:eastAsia="zh-CN"/>
              </w:rPr>
              <w:t>m/s，取</w:t>
            </w:r>
            <w:r>
              <w:rPr>
                <w:rFonts w:hint="eastAsia" w:cs="Times New Roman"/>
                <w:b w:val="0"/>
                <w:bCs/>
                <w:sz w:val="24"/>
                <w:szCs w:val="24"/>
                <w:lang w:val="en-US" w:eastAsia="zh-CN"/>
              </w:rPr>
              <w:t>2.3</w:t>
            </w:r>
            <w:r>
              <w:rPr>
                <w:rFonts w:hint="default" w:ascii="Times New Roman" w:hAnsi="Times New Roman" w:eastAsia="宋体" w:cs="Times New Roman"/>
                <w:b w:val="0"/>
                <w:bCs/>
                <w:sz w:val="24"/>
                <w:szCs w:val="24"/>
                <w:lang w:val="en-US" w:eastAsia="zh-CN"/>
              </w:rPr>
              <w:t>m/s；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200" w:firstLineChars="500"/>
              <w:textAlignment w:val="auto"/>
              <w:outlineLvl w:val="9"/>
              <w:rPr>
                <w:rFonts w:hint="default" w:ascii="Times New Roman" w:hAnsi="Times New Roman" w:eastAsia="宋体" w:cs="Times New Roman"/>
                <w:b w:val="0"/>
                <w:bCs/>
                <w:sz w:val="24"/>
                <w:szCs w:val="24"/>
                <w:lang w:val="en-US" w:eastAsia="zh-CN"/>
              </w:rPr>
            </w:pPr>
            <w:r>
              <w:rPr>
                <w:rFonts w:hint="default" w:ascii="Times New Roman" w:hAnsi="Times New Roman" w:eastAsia="宋体" w:cs="Times New Roman"/>
                <w:b w:val="0"/>
                <w:bCs/>
                <w:i/>
                <w:iCs/>
                <w:sz w:val="24"/>
                <w:szCs w:val="24"/>
                <w:lang w:val="en-US" w:eastAsia="zh-CN"/>
              </w:rPr>
              <w:t>H</w:t>
            </w:r>
            <w:r>
              <w:rPr>
                <w:rFonts w:hint="default" w:ascii="Times New Roman" w:hAnsi="Times New Roman" w:eastAsia="宋体" w:cs="Times New Roman"/>
                <w:b w:val="0"/>
                <w:bCs/>
                <w:sz w:val="24"/>
                <w:szCs w:val="24"/>
                <w:lang w:val="en-US" w:eastAsia="zh-CN"/>
              </w:rPr>
              <w:t>—物料落差，m，取1.5m；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200" w:firstLineChars="500"/>
              <w:textAlignment w:val="auto"/>
              <w:outlineLvl w:val="9"/>
            </w:pPr>
            <w:r>
              <w:rPr>
                <w:rFonts w:hint="default" w:ascii="Times New Roman" w:hAnsi="Times New Roman" w:eastAsia="宋体" w:cs="Times New Roman"/>
                <w:b w:val="0"/>
                <w:bCs/>
                <w:i/>
                <w:iCs/>
                <w:sz w:val="24"/>
                <w:szCs w:val="24"/>
                <w:lang w:val="en-US" w:eastAsia="zh-CN"/>
              </w:rPr>
              <w:t>w</w:t>
            </w:r>
            <w:r>
              <w:rPr>
                <w:rFonts w:hint="default" w:ascii="Times New Roman" w:hAnsi="Times New Roman" w:eastAsia="宋体" w:cs="Times New Roman"/>
                <w:b w:val="0"/>
                <w:bCs/>
                <w:sz w:val="24"/>
                <w:szCs w:val="24"/>
                <w:lang w:val="en-US" w:eastAsia="zh-CN"/>
              </w:rPr>
              <w:t>—含水率，%，取9%；</w:t>
            </w:r>
          </w:p>
          <w:p>
            <w:pPr>
              <w:pStyle w:val="12"/>
              <w:keepNext w:val="0"/>
              <w:keepLines w:val="0"/>
              <w:pageBreakBefore w:val="0"/>
              <w:widowControl w:val="0"/>
              <w:kinsoku/>
              <w:wordWrap/>
              <w:overflowPunct/>
              <w:topLinePunct w:val="0"/>
              <w:autoSpaceDE w:val="0"/>
              <w:autoSpaceDN w:val="0"/>
              <w:bidi w:val="0"/>
              <w:adjustRightInd/>
              <w:snapToGrid/>
              <w:spacing w:after="0" w:line="360" w:lineRule="auto"/>
              <w:ind w:left="0" w:right="0" w:firstLine="480" w:firstLineChars="200"/>
              <w:jc w:val="both"/>
              <w:textAlignment w:val="auto"/>
              <w:rPr>
                <w:rFonts w:hint="eastAsia"/>
              </w:rPr>
            </w:pPr>
            <w:r>
              <w:rPr>
                <w:rFonts w:hint="eastAsia" w:ascii="Times New Roman" w:hAnsi="Times New Roman" w:eastAsia="宋体" w:cs="Times New Roman"/>
                <w:sz w:val="24"/>
                <w:szCs w:val="24"/>
                <w:lang w:eastAsia="zh-CN"/>
              </w:rPr>
              <w:t>根据上式计算本项目的起尘量。经计算，本项目装卸起尘量为</w:t>
            </w:r>
            <w:r>
              <w:rPr>
                <w:rFonts w:hint="eastAsia" w:ascii="Times New Roman" w:hAnsi="Times New Roman" w:eastAsia="宋体" w:cs="Times New Roman"/>
                <w:sz w:val="24"/>
                <w:szCs w:val="24"/>
                <w:lang w:val="en-US" w:eastAsia="zh-CN"/>
              </w:rPr>
              <w:t>569.23</w:t>
            </w:r>
            <w:r>
              <w:rPr>
                <w:rFonts w:hint="eastAsia" w:ascii="Times New Roman" w:hAnsi="Times New Roman" w:eastAsia="宋体" w:cs="Times New Roman"/>
                <w:sz w:val="24"/>
                <w:szCs w:val="24"/>
                <w:lang w:eastAsia="zh-CN"/>
              </w:rPr>
              <w:t>mg/s。本项目每次装卸作业时间按5min计，装载车辆均为</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0t</w:t>
            </w:r>
            <w:r>
              <w:rPr>
                <w:rFonts w:hint="eastAsia" w:ascii="Times New Roman" w:hAnsi="Times New Roman" w:eastAsia="宋体" w:cs="Times New Roman"/>
                <w:sz w:val="24"/>
                <w:szCs w:val="24"/>
                <w:lang w:eastAsia="zh-CN"/>
              </w:rPr>
              <w:t>自卸车，按每次满载计算，本项目每年砂石开采量为</w:t>
            </w:r>
            <w:r>
              <w:rPr>
                <w:rFonts w:hint="eastAsia" w:cs="Times New Roman"/>
                <w:sz w:val="24"/>
                <w:szCs w:val="24"/>
                <w:lang w:val="en-US" w:eastAsia="zh-CN"/>
              </w:rPr>
              <w:t>8</w:t>
            </w:r>
            <w:r>
              <w:rPr>
                <w:rFonts w:hint="eastAsia" w:ascii="Times New Roman" w:hAnsi="Times New Roman" w:eastAsia="宋体" w:cs="Times New Roman"/>
                <w:sz w:val="24"/>
                <w:szCs w:val="24"/>
                <w:lang w:val="en-US" w:eastAsia="zh-CN"/>
              </w:rPr>
              <w:t>0</w:t>
            </w:r>
            <w:r>
              <w:rPr>
                <w:rFonts w:hint="eastAsia" w:ascii="Times New Roman" w:hAnsi="Times New Roman" w:eastAsia="宋体" w:cs="Times New Roman"/>
                <w:sz w:val="24"/>
                <w:szCs w:val="24"/>
                <w:lang w:eastAsia="zh-CN"/>
              </w:rPr>
              <w:t>万m</w:t>
            </w:r>
            <w:r>
              <w:rPr>
                <w:rFonts w:hint="eastAsia" w:ascii="Times New Roman" w:hAnsi="Times New Roman" w:eastAsia="宋体" w:cs="Times New Roman"/>
                <w:sz w:val="24"/>
                <w:szCs w:val="24"/>
                <w:vertAlign w:val="superscript"/>
                <w:lang w:val="en-US" w:eastAsia="zh-CN"/>
              </w:rPr>
              <w:t>3</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矿石密度约为 1.6t/m</w:t>
            </w:r>
            <w:r>
              <w:rPr>
                <w:rFonts w:hint="eastAsia" w:ascii="Times New Roman" w:hAnsi="Times New Roman" w:eastAsia="宋体" w:cs="Times New Roman"/>
                <w:sz w:val="24"/>
                <w:szCs w:val="24"/>
                <w:vertAlign w:val="superscript"/>
                <w:lang w:val="en-US" w:eastAsia="zh-CN"/>
              </w:rPr>
              <w:t>3</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eastAsia="zh-CN"/>
              </w:rPr>
              <w:t>即</w:t>
            </w:r>
            <w:r>
              <w:rPr>
                <w:rFonts w:hint="eastAsia" w:cs="Times New Roman"/>
                <w:sz w:val="24"/>
                <w:szCs w:val="24"/>
                <w:lang w:val="en-US" w:eastAsia="zh-CN"/>
              </w:rPr>
              <w:t>128</w:t>
            </w:r>
            <w:r>
              <w:rPr>
                <w:rFonts w:hint="eastAsia" w:ascii="Times New Roman" w:hAnsi="Times New Roman" w:eastAsia="宋体" w:cs="Times New Roman"/>
                <w:sz w:val="24"/>
                <w:szCs w:val="24"/>
                <w:lang w:val="en-US" w:eastAsia="zh-CN"/>
              </w:rPr>
              <w:t>万t/a，</w:t>
            </w:r>
            <w:r>
              <w:rPr>
                <w:rFonts w:hint="eastAsia" w:ascii="Times New Roman" w:hAnsi="Times New Roman" w:eastAsia="宋体" w:cs="Times New Roman"/>
                <w:sz w:val="24"/>
                <w:szCs w:val="24"/>
                <w:lang w:eastAsia="zh-CN"/>
              </w:rPr>
              <w:t>则本项目装载次数约</w:t>
            </w:r>
            <w:r>
              <w:rPr>
                <w:rFonts w:hint="eastAsia" w:cs="Times New Roman"/>
                <w:sz w:val="24"/>
                <w:szCs w:val="24"/>
                <w:lang w:val="en-US" w:eastAsia="zh-CN"/>
              </w:rPr>
              <w:t>42667</w:t>
            </w:r>
            <w:r>
              <w:rPr>
                <w:rFonts w:hint="eastAsia" w:ascii="Times New Roman" w:hAnsi="Times New Roman" w:eastAsia="宋体" w:cs="Times New Roman"/>
                <w:sz w:val="24"/>
                <w:szCs w:val="24"/>
                <w:lang w:eastAsia="zh-CN"/>
              </w:rPr>
              <w:t>次，装卸时间共计</w:t>
            </w:r>
            <w:r>
              <w:rPr>
                <w:rFonts w:hint="eastAsia" w:cs="Times New Roman"/>
                <w:sz w:val="24"/>
                <w:szCs w:val="24"/>
                <w:lang w:val="en-US" w:eastAsia="zh-CN"/>
              </w:rPr>
              <w:t>3555.6</w:t>
            </w:r>
            <w:r>
              <w:rPr>
                <w:rFonts w:hint="eastAsia" w:ascii="Times New Roman" w:hAnsi="Times New Roman" w:eastAsia="宋体" w:cs="Times New Roman"/>
                <w:sz w:val="24"/>
                <w:szCs w:val="24"/>
                <w:lang w:eastAsia="zh-CN"/>
              </w:rPr>
              <w:t>h，粉尘产生量共计</w:t>
            </w:r>
            <w:r>
              <w:rPr>
                <w:rFonts w:hint="eastAsia" w:cs="Times New Roman"/>
                <w:sz w:val="24"/>
                <w:szCs w:val="24"/>
                <w:lang w:val="en-US" w:eastAsia="zh-CN"/>
              </w:rPr>
              <w:t>7.286</w:t>
            </w:r>
            <w:r>
              <w:rPr>
                <w:rFonts w:hint="eastAsia" w:ascii="Times New Roman" w:hAnsi="Times New Roman" w:eastAsia="宋体" w:cs="Times New Roman"/>
                <w:sz w:val="24"/>
                <w:szCs w:val="24"/>
                <w:lang w:val="en-US" w:eastAsia="zh-CN"/>
              </w:rPr>
              <w:t>t/a，</w:t>
            </w:r>
            <w:r>
              <w:rPr>
                <w:rFonts w:hint="eastAsia" w:ascii="Times New Roman" w:hAnsi="Times New Roman" w:eastAsia="宋体" w:cs="Times New Roman"/>
                <w:sz w:val="24"/>
                <w:szCs w:val="24"/>
                <w:lang w:eastAsia="zh-CN"/>
              </w:rPr>
              <w:t>项目通过装卸时通过采取缩短装卸时间、降低料斗高度，避免大风天气进行装卸作业等管理措施，同时进行人工洒水降尘，可使粉尘降低</w:t>
            </w:r>
            <w:r>
              <w:rPr>
                <w:rFonts w:hint="eastAsia" w:cs="Times New Roman"/>
                <w:sz w:val="24"/>
                <w:szCs w:val="24"/>
                <w:lang w:val="en-US" w:eastAsia="zh-CN"/>
              </w:rPr>
              <w:t>90</w:t>
            </w:r>
            <w:r>
              <w:rPr>
                <w:rFonts w:hint="eastAsia" w:ascii="Times New Roman" w:hAnsi="Times New Roman" w:eastAsia="宋体" w:cs="Times New Roman"/>
                <w:sz w:val="24"/>
                <w:szCs w:val="24"/>
                <w:lang w:eastAsia="zh-CN"/>
              </w:rPr>
              <w:t>%，则本项目装卸扬尘产生量约为</w:t>
            </w:r>
            <w:r>
              <w:rPr>
                <w:rFonts w:hint="eastAsia" w:ascii="Times New Roman" w:hAnsi="Times New Roman" w:eastAsia="宋体" w:cs="Times New Roman"/>
                <w:sz w:val="24"/>
                <w:szCs w:val="24"/>
                <w:lang w:val="en-US" w:eastAsia="zh-CN"/>
              </w:rPr>
              <w:t>0.</w:t>
            </w:r>
            <w:r>
              <w:rPr>
                <w:rFonts w:hint="eastAsia" w:cs="Times New Roman"/>
                <w:sz w:val="24"/>
                <w:szCs w:val="24"/>
                <w:lang w:val="en-US" w:eastAsia="zh-CN"/>
              </w:rPr>
              <w:t>729</w:t>
            </w:r>
            <w:r>
              <w:rPr>
                <w:rFonts w:hint="eastAsia" w:ascii="Times New Roman" w:hAnsi="Times New Roman" w:eastAsia="宋体" w:cs="Times New Roman"/>
                <w:sz w:val="24"/>
                <w:szCs w:val="24"/>
                <w:lang w:val="en-US" w:eastAsia="zh-CN"/>
              </w:rPr>
              <w:t>t/a。</w:t>
            </w:r>
          </w:p>
          <w:p>
            <w:pPr>
              <w:adjustRightInd w:val="0"/>
              <w:snapToGrid w:val="0"/>
              <w:spacing w:line="360" w:lineRule="auto"/>
              <w:ind w:firstLine="482" w:firstLineChars="200"/>
              <w:rPr>
                <w:b/>
                <w:sz w:val="24"/>
              </w:rPr>
            </w:pPr>
            <w:r>
              <w:rPr>
                <w:b/>
                <w:sz w:val="24"/>
              </w:rPr>
              <w:t>（</w:t>
            </w:r>
            <w:r>
              <w:rPr>
                <w:rFonts w:hint="eastAsia"/>
                <w:b/>
                <w:sz w:val="24"/>
                <w:lang w:val="en-US" w:eastAsia="zh-CN"/>
              </w:rPr>
              <w:t>2</w:t>
            </w:r>
            <w:r>
              <w:rPr>
                <w:b/>
                <w:sz w:val="24"/>
              </w:rPr>
              <w:t>）</w:t>
            </w:r>
            <w:r>
              <w:rPr>
                <w:rFonts w:hint="eastAsia"/>
                <w:b/>
                <w:sz w:val="24"/>
                <w:lang w:val="en-US" w:eastAsia="zh-CN"/>
              </w:rPr>
              <w:t>加工</w:t>
            </w:r>
            <w:r>
              <w:rPr>
                <w:b/>
                <w:sz w:val="24"/>
              </w:rPr>
              <w:t>场地粉尘</w:t>
            </w:r>
          </w:p>
          <w:p>
            <w:pPr>
              <w:pStyle w:val="78"/>
              <w:keepNext w:val="0"/>
              <w:keepLines w:val="0"/>
              <w:pageBreakBefore w:val="0"/>
              <w:widowControl w:val="0"/>
              <w:numPr>
                <w:ilvl w:val="0"/>
                <w:numId w:val="0"/>
              </w:numPr>
              <w:tabs>
                <w:tab w:val="left" w:pos="1311"/>
              </w:tabs>
              <w:kinsoku/>
              <w:wordWrap/>
              <w:overflowPunct/>
              <w:topLinePunct w:val="0"/>
              <w:autoSpaceDE w:val="0"/>
              <w:autoSpaceDN w:val="0"/>
              <w:bidi w:val="0"/>
              <w:adjustRightInd/>
              <w:snapToGrid/>
              <w:spacing w:line="360" w:lineRule="auto"/>
              <w:ind w:right="0" w:rightChars="0" w:firstLine="482" w:firstLineChars="200"/>
              <w:jc w:val="left"/>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①原料堆场粉尘</w:t>
            </w:r>
            <w:r>
              <w:rPr>
                <w:rFonts w:hint="default" w:ascii="Times New Roman" w:hAnsi="Times New Roman" w:cs="Times New Roman"/>
                <w:b w:val="0"/>
                <w:bCs/>
                <w:sz w:val="24"/>
              </w:rPr>
              <w:t>（G</w:t>
            </w:r>
            <w:r>
              <w:rPr>
                <w:rFonts w:hint="default" w:ascii="Times New Roman" w:hAnsi="Times New Roman" w:cs="Times New Roman"/>
                <w:b w:val="0"/>
                <w:bCs/>
                <w:sz w:val="24"/>
                <w:lang w:val="en-US" w:eastAsia="zh-CN"/>
              </w:rPr>
              <w:t>5</w:t>
            </w:r>
            <w:r>
              <w:rPr>
                <w:rFonts w:hint="default" w:ascii="Times New Roman" w:hAnsi="Times New Roman" w:cs="Times New Roman"/>
                <w:b w:val="0"/>
                <w:bCs/>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本项目原料堆场粉尘</w:t>
            </w:r>
            <w:r>
              <w:rPr>
                <w:rFonts w:hint="default" w:ascii="Times New Roman" w:hAnsi="Times New Roman" w:cs="Times New Roman"/>
                <w:b w:val="0"/>
                <w:bCs w:val="0"/>
                <w:color w:val="000000"/>
                <w:sz w:val="24"/>
                <w:szCs w:val="24"/>
                <w:lang w:eastAsia="zh-CN"/>
              </w:rPr>
              <w:t>的</w:t>
            </w:r>
            <w:r>
              <w:rPr>
                <w:rFonts w:hint="default" w:ascii="Times New Roman" w:hAnsi="Times New Roman" w:cs="Times New Roman"/>
                <w:b w:val="0"/>
                <w:bCs w:val="0"/>
                <w:color w:val="000000"/>
                <w:sz w:val="24"/>
                <w:szCs w:val="24"/>
              </w:rPr>
              <w:t>产生量采用《无组织排放源常用分析与估算方法》（西北铀矿地质，2005年10月）推荐的秦皇岛码头煤场起尘量经验公式进行计算，具体公式为：</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1200" w:firstLineChars="500"/>
              <w:jc w:val="both"/>
              <w:textAlignment w:val="auto"/>
              <w:outlineLvl w:val="9"/>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position w:val="-12"/>
                <w:sz w:val="24"/>
                <w:szCs w:val="24"/>
              </w:rPr>
              <w:object>
                <v:shape id="_x0000_i1031" o:spt="75" type="#_x0000_t75" style="height:20pt;width:149pt;" o:ole="t" filled="f" o:preferrelative="t" stroked="f" coordsize="21600,21600">
                  <v:path/>
                  <v:fill on="f" alignshape="1" focussize="0,0"/>
                  <v:stroke on="f"/>
                  <v:imagedata r:id="rId26" o:title=""/>
                  <o:lock v:ext="edit" aspectratio="t"/>
                  <w10:wrap type="none"/>
                  <w10:anchorlock/>
                </v:shape>
                <o:OLEObject Type="Embed" ProgID="Equation.3" ShapeID="_x0000_i1031" DrawAspect="Content" ObjectID="_1468075731" r:id="rId25">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式中：Q——堆放场地起尘量（mg/s）；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u</w:t>
            </w:r>
            <w:r>
              <w:rPr>
                <w:rFonts w:hint="default" w:ascii="Times New Roman" w:hAnsi="Times New Roman" w:cs="Times New Roman"/>
                <w:b w:val="0"/>
                <w:bCs w:val="0"/>
                <w:color w:val="000000"/>
                <w:sz w:val="24"/>
                <w:szCs w:val="24"/>
                <w:vertAlign w:val="subscript"/>
              </w:rPr>
              <w:t>0</w:t>
            </w:r>
            <w:r>
              <w:rPr>
                <w:rFonts w:hint="default" w:ascii="Times New Roman" w:hAnsi="Times New Roman" w:cs="Times New Roman"/>
                <w:b w:val="0"/>
                <w:bCs w:val="0"/>
                <w:color w:val="000000"/>
                <w:sz w:val="24"/>
                <w:szCs w:val="24"/>
              </w:rPr>
              <w:t>——50m高处的扬尘启动风速，一般取4.0m/s；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u——50m高度处的风速（m/s）；本项目取4.5m/s；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ω——物料含水率（%），本项目取9%；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M——堆场堆放的物料量（t）；</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default" w:ascii="Times New Roman" w:hAnsi="Times New Roman" w:cs="Times New Roman"/>
                <w:color w:val="000000"/>
                <w:sz w:val="24"/>
                <w:szCs w:val="24"/>
              </w:rPr>
            </w:pPr>
            <w:r>
              <w:rPr>
                <w:rFonts w:hint="default" w:ascii="Times New Roman" w:hAnsi="Times New Roman" w:cs="Times New Roman"/>
                <w:b w:val="0"/>
                <w:bCs w:val="0"/>
                <w:color w:val="000000"/>
                <w:sz w:val="24"/>
                <w:szCs w:val="24"/>
              </w:rPr>
              <w:t>k——与堆放物料含水率有关的系数，具体见表</w:t>
            </w:r>
            <w:r>
              <w:rPr>
                <w:rFonts w:hint="eastAsia" w:cs="Times New Roman"/>
                <w:b w:val="0"/>
                <w:bCs w:val="0"/>
                <w:color w:val="000000"/>
                <w:sz w:val="24"/>
                <w:szCs w:val="24"/>
                <w:lang w:val="en-US" w:eastAsia="zh-CN"/>
              </w:rPr>
              <w:t>4-7</w:t>
            </w:r>
            <w:r>
              <w:rPr>
                <w:rFonts w:hint="default" w:ascii="Times New Roman" w:hAnsi="Times New Roman" w:cs="Times New Roman"/>
                <w:b w:val="0"/>
                <w:bCs w:val="0"/>
                <w:color w:val="000000"/>
                <w:sz w:val="24"/>
                <w:szCs w:val="24"/>
              </w:rPr>
              <w:t>。</w:t>
            </w:r>
          </w:p>
          <w:p>
            <w:pPr>
              <w:pStyle w:val="2"/>
              <w:jc w:val="center"/>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w:t>
            </w:r>
            <w:r>
              <w:rPr>
                <w:rFonts w:hint="eastAsia" w:ascii="Times New Roman" w:hAnsi="Times New Roman" w:cs="Times New Roman"/>
                <w:b/>
                <w:color w:val="000000"/>
                <w:sz w:val="24"/>
                <w:szCs w:val="24"/>
                <w:lang w:val="en-US" w:eastAsia="zh-CN"/>
              </w:rPr>
              <w:t>4-7</w:t>
            </w:r>
            <w:r>
              <w:rPr>
                <w:rFonts w:hint="default" w:ascii="Times New Roman" w:hAnsi="Times New Roman" w:cs="Times New Roman"/>
                <w:b/>
                <w:color w:val="000000"/>
                <w:sz w:val="24"/>
                <w:szCs w:val="24"/>
              </w:rPr>
              <w:t xml:space="preserve">  </w:t>
            </w:r>
            <w:r>
              <w:rPr>
                <w:rFonts w:hint="default" w:ascii="Times New Roman" w:hAnsi="Times New Roman" w:cs="Times New Roman"/>
                <w:b/>
                <w:color w:val="000000"/>
                <w:sz w:val="24"/>
                <w:szCs w:val="24"/>
                <w:lang w:val="en-US" w:eastAsia="zh-CN"/>
              </w:rPr>
              <w:t xml:space="preserve">    </w:t>
            </w:r>
            <w:r>
              <w:rPr>
                <w:rFonts w:hint="default" w:ascii="Times New Roman" w:hAnsi="Times New Roman" w:cs="Times New Roman"/>
                <w:b/>
                <w:color w:val="000000"/>
                <w:sz w:val="24"/>
                <w:szCs w:val="24"/>
              </w:rPr>
              <w:t>不同含水率下的k值</w:t>
            </w:r>
          </w:p>
          <w:tbl>
            <w:tblPr>
              <w:tblStyle w:val="29"/>
              <w:tblW w:w="4999" w:type="pct"/>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858"/>
              <w:gridCol w:w="858"/>
              <w:gridCol w:w="858"/>
              <w:gridCol w:w="858"/>
              <w:gridCol w:w="859"/>
              <w:gridCol w:w="859"/>
              <w:gridCol w:w="859"/>
              <w:gridCol w:w="859"/>
              <w:gridCol w:w="85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pct"/>
                  <w:tcBorders>
                    <w:top w:val="single" w:color="auto" w:sz="4" w:space="0"/>
                    <w:left w:val="single" w:color="auto" w:sz="0" w:space="0"/>
                    <w:tl2br w:val="nil"/>
                    <w:tr2bl w:val="nil"/>
                  </w:tcBorders>
                  <w:noWrap w:val="0"/>
                  <w:vAlign w:val="center"/>
                </w:tcPr>
                <w:p>
                  <w:pPr>
                    <w:pStyle w:val="2"/>
                    <w:jc w:val="center"/>
                    <w:rPr>
                      <w:rFonts w:hint="default" w:ascii="Times New Roman" w:hAnsi="Times New Roman" w:cs="Times New Roman"/>
                      <w:b w:val="0"/>
                      <w:bCs w:val="0"/>
                      <w:color w:val="000000"/>
                      <w:sz w:val="21"/>
                      <w:szCs w:val="21"/>
                      <w:vertAlign w:val="baseline"/>
                    </w:rPr>
                  </w:pPr>
                  <w:r>
                    <w:rPr>
                      <w:rFonts w:hint="default" w:ascii="Times New Roman" w:hAnsi="Times New Roman" w:cs="Times New Roman"/>
                      <w:b w:val="0"/>
                      <w:bCs w:val="0"/>
                      <w:color w:val="000000"/>
                      <w:sz w:val="21"/>
                      <w:szCs w:val="21"/>
                    </w:rPr>
                    <w:t>含水率（%）</w:t>
                  </w:r>
                </w:p>
              </w:tc>
              <w:tc>
                <w:tcPr>
                  <w:tcW w:w="475" w:type="pct"/>
                  <w:tcBorders>
                    <w:top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1</w:t>
                  </w:r>
                </w:p>
              </w:tc>
              <w:tc>
                <w:tcPr>
                  <w:tcW w:w="475" w:type="pct"/>
                  <w:tcBorders>
                    <w:top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2</w:t>
                  </w:r>
                </w:p>
              </w:tc>
              <w:tc>
                <w:tcPr>
                  <w:tcW w:w="475" w:type="pct"/>
                  <w:tcBorders>
                    <w:top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3</w:t>
                  </w:r>
                </w:p>
              </w:tc>
              <w:tc>
                <w:tcPr>
                  <w:tcW w:w="475" w:type="pct"/>
                  <w:tcBorders>
                    <w:top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4</w:t>
                  </w:r>
                </w:p>
              </w:tc>
              <w:tc>
                <w:tcPr>
                  <w:tcW w:w="475" w:type="pct"/>
                  <w:tcBorders>
                    <w:top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5</w:t>
                  </w:r>
                </w:p>
              </w:tc>
              <w:tc>
                <w:tcPr>
                  <w:tcW w:w="475" w:type="pct"/>
                  <w:tcBorders>
                    <w:top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6</w:t>
                  </w:r>
                </w:p>
              </w:tc>
              <w:tc>
                <w:tcPr>
                  <w:tcW w:w="475" w:type="pct"/>
                  <w:tcBorders>
                    <w:top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7</w:t>
                  </w:r>
                </w:p>
              </w:tc>
              <w:tc>
                <w:tcPr>
                  <w:tcW w:w="475" w:type="pct"/>
                  <w:tcBorders>
                    <w:top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8</w:t>
                  </w:r>
                </w:p>
              </w:tc>
              <w:tc>
                <w:tcPr>
                  <w:tcW w:w="475" w:type="pct"/>
                  <w:tcBorders>
                    <w:top w:val="single" w:color="auto" w:sz="4" w:space="0"/>
                    <w:right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1" w:type="pct"/>
                  <w:tcBorders>
                    <w:left w:val="single" w:color="auto" w:sz="4" w:space="0"/>
                    <w:bottom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k</w:t>
                  </w:r>
                </w:p>
              </w:tc>
              <w:tc>
                <w:tcPr>
                  <w:tcW w:w="475" w:type="pct"/>
                  <w:tcBorders>
                    <w:bottom w:val="single" w:color="auto" w:sz="4" w:space="0"/>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sz w:val="21"/>
                      <w:szCs w:val="21"/>
                      <w:vertAlign w:val="baseline"/>
                    </w:rPr>
                  </w:pPr>
                  <w:r>
                    <w:rPr>
                      <w:rFonts w:hint="default" w:ascii="Times New Roman" w:hAnsi="Times New Roman" w:cs="Times New Roman"/>
                      <w:color w:val="000000"/>
                      <w:sz w:val="21"/>
                      <w:szCs w:val="21"/>
                    </w:rPr>
                    <w:t>1.019</w:t>
                  </w:r>
                </w:p>
              </w:tc>
              <w:tc>
                <w:tcPr>
                  <w:tcW w:w="475" w:type="pct"/>
                  <w:tcBorders>
                    <w:bottom w:val="single" w:color="auto" w:sz="4" w:space="0"/>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sz w:val="21"/>
                      <w:szCs w:val="21"/>
                      <w:vertAlign w:val="baseline"/>
                    </w:rPr>
                  </w:pPr>
                  <w:r>
                    <w:rPr>
                      <w:rFonts w:hint="default" w:ascii="Times New Roman" w:hAnsi="Times New Roman" w:cs="Times New Roman"/>
                      <w:color w:val="000000"/>
                      <w:sz w:val="21"/>
                      <w:szCs w:val="21"/>
                    </w:rPr>
                    <w:t>1.010</w:t>
                  </w:r>
                </w:p>
              </w:tc>
              <w:tc>
                <w:tcPr>
                  <w:tcW w:w="475" w:type="pct"/>
                  <w:tcBorders>
                    <w:bottom w:val="single" w:color="auto" w:sz="4" w:space="0"/>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sz w:val="21"/>
                      <w:szCs w:val="21"/>
                      <w:vertAlign w:val="baseline"/>
                    </w:rPr>
                  </w:pPr>
                  <w:r>
                    <w:rPr>
                      <w:rFonts w:hint="default" w:ascii="Times New Roman" w:hAnsi="Times New Roman" w:cs="Times New Roman"/>
                      <w:color w:val="000000"/>
                      <w:sz w:val="21"/>
                      <w:szCs w:val="21"/>
                    </w:rPr>
                    <w:t>1.002</w:t>
                  </w:r>
                </w:p>
              </w:tc>
              <w:tc>
                <w:tcPr>
                  <w:tcW w:w="475" w:type="pct"/>
                  <w:tcBorders>
                    <w:bottom w:val="single" w:color="auto" w:sz="4" w:space="0"/>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sz w:val="21"/>
                      <w:szCs w:val="21"/>
                      <w:vertAlign w:val="baseline"/>
                    </w:rPr>
                  </w:pPr>
                  <w:r>
                    <w:rPr>
                      <w:rFonts w:hint="default" w:ascii="Times New Roman" w:hAnsi="Times New Roman" w:cs="Times New Roman"/>
                      <w:color w:val="000000"/>
                      <w:sz w:val="21"/>
                      <w:szCs w:val="21"/>
                    </w:rPr>
                    <w:t>0.995</w:t>
                  </w:r>
                </w:p>
              </w:tc>
              <w:tc>
                <w:tcPr>
                  <w:tcW w:w="475" w:type="pct"/>
                  <w:tcBorders>
                    <w:bottom w:val="single" w:color="auto" w:sz="4" w:space="0"/>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sz w:val="21"/>
                      <w:szCs w:val="21"/>
                      <w:vertAlign w:val="baseline"/>
                    </w:rPr>
                  </w:pPr>
                  <w:r>
                    <w:rPr>
                      <w:rFonts w:hint="default" w:ascii="Times New Roman" w:hAnsi="Times New Roman" w:cs="Times New Roman"/>
                      <w:color w:val="000000"/>
                      <w:sz w:val="21"/>
                      <w:szCs w:val="21"/>
                    </w:rPr>
                    <w:t>0.986</w:t>
                  </w:r>
                </w:p>
              </w:tc>
              <w:tc>
                <w:tcPr>
                  <w:tcW w:w="475" w:type="pct"/>
                  <w:tcBorders>
                    <w:bottom w:val="single" w:color="auto" w:sz="4" w:space="0"/>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sz w:val="21"/>
                      <w:szCs w:val="21"/>
                      <w:vertAlign w:val="baseline"/>
                    </w:rPr>
                  </w:pPr>
                  <w:r>
                    <w:rPr>
                      <w:rFonts w:hint="default" w:ascii="Times New Roman" w:hAnsi="Times New Roman" w:cs="Times New Roman"/>
                      <w:color w:val="000000"/>
                      <w:sz w:val="21"/>
                      <w:szCs w:val="21"/>
                    </w:rPr>
                    <w:t>0.979</w:t>
                  </w:r>
                </w:p>
              </w:tc>
              <w:tc>
                <w:tcPr>
                  <w:tcW w:w="475" w:type="pct"/>
                  <w:tcBorders>
                    <w:bottom w:val="single" w:color="auto" w:sz="4" w:space="0"/>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sz w:val="21"/>
                      <w:szCs w:val="21"/>
                      <w:vertAlign w:val="baseline"/>
                    </w:rPr>
                  </w:pPr>
                  <w:r>
                    <w:rPr>
                      <w:rFonts w:hint="default" w:ascii="Times New Roman" w:hAnsi="Times New Roman" w:cs="Times New Roman"/>
                      <w:color w:val="000000"/>
                      <w:sz w:val="21"/>
                      <w:szCs w:val="21"/>
                    </w:rPr>
                    <w:t>0.971</w:t>
                  </w:r>
                </w:p>
              </w:tc>
              <w:tc>
                <w:tcPr>
                  <w:tcW w:w="475" w:type="pct"/>
                  <w:tcBorders>
                    <w:bottom w:val="single" w:color="auto" w:sz="4" w:space="0"/>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sz w:val="21"/>
                      <w:szCs w:val="21"/>
                      <w:vertAlign w:val="baseline"/>
                    </w:rPr>
                  </w:pPr>
                  <w:r>
                    <w:rPr>
                      <w:rFonts w:hint="default" w:ascii="Times New Roman" w:hAnsi="Times New Roman" w:cs="Times New Roman"/>
                      <w:color w:val="000000"/>
                      <w:sz w:val="21"/>
                      <w:szCs w:val="21"/>
                    </w:rPr>
                    <w:t>0.963</w:t>
                  </w:r>
                </w:p>
              </w:tc>
              <w:tc>
                <w:tcPr>
                  <w:tcW w:w="475" w:type="pct"/>
                  <w:tcBorders>
                    <w:bottom w:val="single" w:color="auto" w:sz="4" w:space="0"/>
                    <w:right w:val="single" w:color="auto" w:sz="4" w:space="0"/>
                    <w:tl2br w:val="nil"/>
                    <w:tr2bl w:val="nil"/>
                  </w:tcBorders>
                  <w:noWrap w:val="0"/>
                  <w:vAlign w:val="center"/>
                </w:tcPr>
                <w:p>
                  <w:pPr>
                    <w:pStyle w:val="2"/>
                    <w:jc w:val="center"/>
                    <w:rPr>
                      <w:rFonts w:hint="default" w:ascii="Times New Roman" w:hAnsi="Times New Roman" w:eastAsia="Sim Sun" w:cs="Times New Roman"/>
                      <w:b w:val="0"/>
                      <w:bCs w:val="0"/>
                      <w:color w:val="000000"/>
                      <w:sz w:val="21"/>
                      <w:szCs w:val="21"/>
                      <w:vertAlign w:val="baseline"/>
                      <w:lang w:val="en-US" w:eastAsia="zh-CN"/>
                    </w:rPr>
                  </w:pPr>
                  <w:r>
                    <w:rPr>
                      <w:rFonts w:hint="default" w:ascii="Times New Roman" w:hAnsi="Times New Roman" w:cs="Times New Roman"/>
                      <w:b w:val="0"/>
                      <w:bCs w:val="0"/>
                      <w:color w:val="000000"/>
                      <w:sz w:val="21"/>
                      <w:szCs w:val="21"/>
                      <w:vertAlign w:val="baseline"/>
                      <w:lang w:val="en-US" w:eastAsia="zh-CN"/>
                    </w:rPr>
                    <w:t>0.96</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本项目原料堆场面积为</w:t>
            </w:r>
            <w:r>
              <w:rPr>
                <w:rFonts w:hint="eastAsia" w:ascii="Times New Roman" w:hAnsi="Times New Roman" w:cs="Times New Roman"/>
                <w:color w:val="000000"/>
                <w:sz w:val="24"/>
                <w:szCs w:val="24"/>
                <w:lang w:val="en-US" w:eastAsia="zh-CN"/>
              </w:rPr>
              <w:t>1</w:t>
            </w:r>
            <w:r>
              <w:rPr>
                <w:rFonts w:hint="default" w:ascii="Times New Roman" w:hAnsi="Times New Roman" w:cs="Times New Roman"/>
                <w:color w:val="000000"/>
                <w:sz w:val="24"/>
                <w:szCs w:val="24"/>
              </w:rPr>
              <w:t>500m</w:t>
            </w:r>
            <w:r>
              <w:rPr>
                <w:rFonts w:hint="default" w:ascii="Times New Roman" w:hAnsi="Times New Roman" w:cs="Times New Roman"/>
                <w:color w:val="000000"/>
                <w:sz w:val="24"/>
                <w:szCs w:val="24"/>
                <w:vertAlign w:val="superscript"/>
              </w:rPr>
              <w:t>2</w:t>
            </w:r>
            <w:r>
              <w:rPr>
                <w:rFonts w:hint="default" w:ascii="Times New Roman" w:hAnsi="Times New Roman" w:cs="Times New Roman"/>
                <w:color w:val="000000"/>
                <w:sz w:val="24"/>
                <w:szCs w:val="24"/>
              </w:rPr>
              <w:t>，堆放高度按照3m计算，则原料堆场物料量约为</w:t>
            </w:r>
            <w:r>
              <w:rPr>
                <w:rFonts w:hint="eastAsia" w:ascii="Times New Roman" w:hAnsi="Times New Roman" w:cs="Times New Roman"/>
                <w:color w:val="000000"/>
                <w:sz w:val="24"/>
                <w:szCs w:val="24"/>
                <w:lang w:val="en-US" w:eastAsia="zh-CN"/>
              </w:rPr>
              <w:t>45</w:t>
            </w:r>
            <w:r>
              <w:rPr>
                <w:rFonts w:hint="default" w:ascii="Times New Roman" w:hAnsi="Times New Roman" w:cs="Times New Roman"/>
                <w:color w:val="000000"/>
                <w:sz w:val="24"/>
                <w:szCs w:val="24"/>
              </w:rPr>
              <w:t>00m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lang w:eastAsia="zh-CN"/>
              </w:rPr>
              <w:t>砂</w:t>
            </w:r>
            <w:r>
              <w:rPr>
                <w:rFonts w:hint="default" w:ascii="Times New Roman" w:hAnsi="Times New Roman" w:cs="Times New Roman"/>
                <w:color w:val="000000"/>
                <w:sz w:val="24"/>
                <w:szCs w:val="24"/>
              </w:rPr>
              <w:t>石料的密度</w:t>
            </w:r>
            <w:r>
              <w:rPr>
                <w:rFonts w:hint="default" w:ascii="Times New Roman" w:hAnsi="Times New Roman" w:cs="Times New Roman"/>
                <w:color w:val="000000"/>
                <w:sz w:val="24"/>
                <w:szCs w:val="24"/>
                <w:lang w:eastAsia="zh-CN"/>
              </w:rPr>
              <w:t>约</w:t>
            </w:r>
            <w:r>
              <w:rPr>
                <w:rFonts w:hint="default" w:ascii="Times New Roman" w:hAnsi="Times New Roman" w:cs="Times New Roman"/>
                <w:color w:val="000000"/>
                <w:sz w:val="24"/>
                <w:szCs w:val="24"/>
              </w:rPr>
              <w:t>为1.6t/m</w:t>
            </w:r>
            <w:r>
              <w:rPr>
                <w:rFonts w:hint="default" w:ascii="Times New Roman" w:hAnsi="Times New Roman" w:cs="Times New Roman"/>
                <w:color w:val="000000"/>
                <w:sz w:val="24"/>
                <w:szCs w:val="24"/>
                <w:vertAlign w:val="superscript"/>
              </w:rPr>
              <w:t>3</w:t>
            </w:r>
            <w:r>
              <w:rPr>
                <w:rFonts w:hint="default" w:ascii="Times New Roman" w:hAnsi="Times New Roman" w:cs="Times New Roman"/>
                <w:color w:val="000000"/>
                <w:sz w:val="24"/>
                <w:szCs w:val="24"/>
              </w:rPr>
              <w:t>，则</w:t>
            </w:r>
            <w:r>
              <w:rPr>
                <w:rFonts w:hint="eastAsia" w:ascii="Times New Roman" w:hAnsi="Times New Roman" w:cs="Times New Roman"/>
                <w:color w:val="000000"/>
                <w:sz w:val="24"/>
                <w:szCs w:val="24"/>
                <w:lang w:eastAsia="zh-CN"/>
              </w:rPr>
              <w:t>原</w:t>
            </w:r>
            <w:r>
              <w:rPr>
                <w:rFonts w:hint="default" w:ascii="Times New Roman" w:hAnsi="Times New Roman" w:cs="Times New Roman"/>
                <w:color w:val="000000"/>
                <w:sz w:val="24"/>
                <w:szCs w:val="24"/>
              </w:rPr>
              <w:t>料堆放量约为</w:t>
            </w:r>
            <w:r>
              <w:rPr>
                <w:rFonts w:hint="eastAsia" w:ascii="Times New Roman" w:hAnsi="Times New Roman" w:cs="Times New Roman"/>
                <w:color w:val="000000"/>
                <w:sz w:val="24"/>
                <w:szCs w:val="24"/>
                <w:lang w:val="en-US" w:eastAsia="zh-CN"/>
              </w:rPr>
              <w:t>72</w:t>
            </w:r>
            <w:r>
              <w:rPr>
                <w:rFonts w:hint="default" w:ascii="Times New Roman" w:hAnsi="Times New Roman" w:cs="Times New Roman"/>
                <w:color w:val="000000"/>
                <w:sz w:val="24"/>
                <w:szCs w:val="24"/>
              </w:rPr>
              <w:t>00t。</w:t>
            </w:r>
          </w:p>
          <w:p>
            <w:pPr>
              <w:pStyle w:val="78"/>
              <w:keepNext w:val="0"/>
              <w:keepLines w:val="0"/>
              <w:pageBreakBefore w:val="0"/>
              <w:widowControl w:val="0"/>
              <w:numPr>
                <w:ilvl w:val="0"/>
                <w:numId w:val="0"/>
              </w:numPr>
              <w:tabs>
                <w:tab w:val="left" w:pos="1311"/>
              </w:tabs>
              <w:kinsoku/>
              <w:wordWrap/>
              <w:overflowPunct/>
              <w:topLinePunct w:val="0"/>
              <w:autoSpaceDE w:val="0"/>
              <w:autoSpaceDN w:val="0"/>
              <w:bidi w:val="0"/>
              <w:adjustRightInd/>
              <w:snapToGrid/>
              <w:spacing w:line="360" w:lineRule="auto"/>
              <w:ind w:right="0" w:rightChars="0" w:firstLine="480"/>
              <w:jc w:val="both"/>
              <w:textAlignment w:val="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通过计算，本项目原料堆场粉尘产生量约为17.5mg/s（0.37t/a）。本项</w:t>
            </w:r>
            <w:r>
              <w:rPr>
                <w:rFonts w:hint="eastAsia" w:ascii="Times New Roman" w:hAnsi="Times New Roman" w:cs="Times New Roman"/>
                <w:color w:val="000000"/>
                <w:sz w:val="24"/>
                <w:szCs w:val="24"/>
                <w:lang w:eastAsia="zh-CN"/>
              </w:rPr>
              <w:t>目原料堆场地面硬化</w:t>
            </w:r>
            <w:r>
              <w:rPr>
                <w:rFonts w:hint="eastAsia" w:ascii="Times New Roman" w:hAnsi="Times New Roman" w:cs="Times New Roman"/>
                <w:color w:val="000000"/>
                <w:sz w:val="24"/>
                <w:szCs w:val="24"/>
                <w:lang w:val="en-US" w:eastAsia="zh-CN"/>
              </w:rPr>
              <w:t>+三面围挡</w:t>
            </w:r>
            <w:r>
              <w:rPr>
                <w:rFonts w:hint="eastAsia" w:ascii="Times New Roman" w:hAnsi="Times New Roman" w:cs="Times New Roman"/>
                <w:color w:val="000000"/>
                <w:sz w:val="24"/>
                <w:szCs w:val="24"/>
                <w:lang w:eastAsia="zh-CN"/>
              </w:rPr>
              <w:t>，并进行篷布遮盖，</w:t>
            </w:r>
            <w:r>
              <w:rPr>
                <w:rFonts w:hint="default" w:ascii="Times New Roman" w:hAnsi="Times New Roman" w:cs="Times New Roman"/>
                <w:color w:val="000000"/>
                <w:sz w:val="24"/>
                <w:szCs w:val="24"/>
              </w:rPr>
              <w:t>定期对原料进行洒水降尘，保持堆场内原料表面湿润。原料堆场粉尘产生量可减少</w:t>
            </w:r>
            <w:r>
              <w:rPr>
                <w:rFonts w:hint="eastAsia" w:ascii="Times New Roman" w:hAnsi="Times New Roman" w:cs="Times New Roman"/>
                <w:color w:val="000000"/>
                <w:sz w:val="24"/>
                <w:szCs w:val="24"/>
                <w:lang w:val="en-US" w:eastAsia="zh-CN"/>
              </w:rPr>
              <w:t>9</w:t>
            </w:r>
            <w:r>
              <w:rPr>
                <w:rFonts w:hint="default" w:ascii="Times New Roman" w:hAnsi="Times New Roman" w:cs="Times New Roman"/>
                <w:color w:val="000000"/>
                <w:sz w:val="24"/>
                <w:szCs w:val="24"/>
                <w:lang w:val="en-US" w:eastAsia="zh-CN"/>
              </w:rPr>
              <w:t>0</w:t>
            </w:r>
            <w:r>
              <w:rPr>
                <w:rFonts w:hint="default" w:ascii="Times New Roman" w:hAnsi="Times New Roman" w:cs="Times New Roman"/>
                <w:color w:val="000000"/>
                <w:sz w:val="24"/>
                <w:szCs w:val="24"/>
              </w:rPr>
              <w:t>%左右，则通过采取</w:t>
            </w:r>
            <w:r>
              <w:rPr>
                <w:rFonts w:hint="eastAsia" w:ascii="Times New Roman" w:hAnsi="Times New Roman" w:cs="Times New Roman"/>
                <w:color w:val="000000"/>
                <w:sz w:val="24"/>
                <w:szCs w:val="24"/>
                <w:lang w:eastAsia="zh-CN"/>
              </w:rPr>
              <w:t>上述措施</w:t>
            </w:r>
            <w:r>
              <w:rPr>
                <w:rFonts w:hint="default" w:ascii="Times New Roman" w:hAnsi="Times New Roman" w:cs="Times New Roman"/>
                <w:color w:val="000000"/>
                <w:sz w:val="24"/>
                <w:szCs w:val="24"/>
              </w:rPr>
              <w:t>后原料堆场粉尘排放量约为</w:t>
            </w:r>
            <w:r>
              <w:rPr>
                <w:rFonts w:hint="eastAsia" w:ascii="Times New Roman" w:hAnsi="Times New Roman" w:cs="Times New Roman"/>
                <w:color w:val="000000"/>
                <w:sz w:val="24"/>
                <w:szCs w:val="24"/>
                <w:lang w:val="en-US" w:eastAsia="zh-CN"/>
              </w:rPr>
              <w:t>1.75</w:t>
            </w:r>
            <w:r>
              <w:rPr>
                <w:rFonts w:hint="default" w:ascii="Times New Roman" w:hAnsi="Times New Roman" w:cs="Times New Roman"/>
                <w:color w:val="000000"/>
                <w:sz w:val="24"/>
                <w:szCs w:val="24"/>
              </w:rPr>
              <w:t>mg/s（0.</w:t>
            </w:r>
            <w:r>
              <w:rPr>
                <w:rFonts w:hint="default" w:ascii="Times New Roman" w:hAnsi="Times New Roman" w:cs="Times New Roman"/>
                <w:color w:val="000000"/>
                <w:sz w:val="24"/>
                <w:szCs w:val="24"/>
                <w:lang w:val="en-US" w:eastAsia="zh-CN"/>
              </w:rPr>
              <w:t>0</w:t>
            </w:r>
            <w:r>
              <w:rPr>
                <w:rFonts w:hint="eastAsia" w:ascii="Times New Roman" w:hAnsi="Times New Roman" w:cs="Times New Roman"/>
                <w:color w:val="000000"/>
                <w:sz w:val="24"/>
                <w:szCs w:val="24"/>
                <w:lang w:val="en-US" w:eastAsia="zh-CN"/>
              </w:rPr>
              <w:t>37</w:t>
            </w:r>
            <w:r>
              <w:rPr>
                <w:rFonts w:hint="default" w:ascii="Times New Roman" w:hAnsi="Times New Roman" w:cs="Times New Roman"/>
                <w:color w:val="000000"/>
                <w:sz w:val="24"/>
                <w:szCs w:val="24"/>
              </w:rPr>
              <w:t>t/a）。</w:t>
            </w:r>
          </w:p>
          <w:p>
            <w:pPr>
              <w:pStyle w:val="78"/>
              <w:keepNext w:val="0"/>
              <w:keepLines w:val="0"/>
              <w:pageBreakBefore w:val="0"/>
              <w:widowControl w:val="0"/>
              <w:numPr>
                <w:ilvl w:val="0"/>
                <w:numId w:val="0"/>
              </w:numPr>
              <w:tabs>
                <w:tab w:val="left" w:pos="1311"/>
              </w:tabs>
              <w:kinsoku/>
              <w:wordWrap/>
              <w:overflowPunct/>
              <w:topLinePunct w:val="0"/>
              <w:autoSpaceDE w:val="0"/>
              <w:autoSpaceDN w:val="0"/>
              <w:bidi w:val="0"/>
              <w:adjustRightInd/>
              <w:snapToGrid/>
              <w:spacing w:line="360" w:lineRule="auto"/>
              <w:ind w:right="0" w:rightChars="0" w:firstLine="482" w:firstLineChars="200"/>
              <w:jc w:val="both"/>
              <w:textAlignment w:val="auto"/>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②成品石料堆场粉尘</w:t>
            </w:r>
            <w:r>
              <w:rPr>
                <w:rFonts w:hint="default" w:ascii="Times New Roman" w:hAnsi="Times New Roman" w:cs="Times New Roman"/>
                <w:b w:val="0"/>
                <w:bCs/>
                <w:sz w:val="24"/>
              </w:rPr>
              <w:t>（G</w:t>
            </w:r>
            <w:r>
              <w:rPr>
                <w:rFonts w:hint="default" w:ascii="Times New Roman" w:hAnsi="Times New Roman" w:cs="Times New Roman"/>
                <w:b w:val="0"/>
                <w:bCs/>
                <w:sz w:val="24"/>
                <w:lang w:val="en-US" w:eastAsia="zh-CN"/>
              </w:rPr>
              <w:t>6</w:t>
            </w:r>
            <w:r>
              <w:rPr>
                <w:rFonts w:hint="default" w:ascii="Times New Roman" w:hAnsi="Times New Roman" w:cs="Times New Roman"/>
                <w:b w:val="0"/>
                <w:bCs/>
                <w:sz w:val="24"/>
              </w:rPr>
              <w:t>）</w:t>
            </w:r>
          </w:p>
          <w:p>
            <w:pPr>
              <w:pStyle w:val="12"/>
              <w:keepNext w:val="0"/>
              <w:keepLines w:val="0"/>
              <w:pageBreakBefore w:val="0"/>
              <w:widowControl w:val="0"/>
              <w:numPr>
                <w:ilvl w:val="0"/>
                <w:numId w:val="0"/>
              </w:numPr>
              <w:kinsoku/>
              <w:wordWrap/>
              <w:overflowPunct/>
              <w:topLinePunct w:val="0"/>
              <w:autoSpaceDE w:val="0"/>
              <w:autoSpaceDN w:val="0"/>
              <w:bidi w:val="0"/>
              <w:adjustRightInd/>
              <w:snapToGrid/>
              <w:spacing w:after="0" w:line="360" w:lineRule="auto"/>
              <w:ind w:left="0" w:leftChars="0" w:right="0" w:rightChars="0"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本项目成品</w:t>
            </w:r>
            <w:r>
              <w:rPr>
                <w:rFonts w:hint="default" w:ascii="Times New Roman" w:hAnsi="Times New Roman" w:cs="Times New Roman"/>
                <w:b w:val="0"/>
                <w:bCs w:val="0"/>
                <w:color w:val="000000"/>
                <w:sz w:val="24"/>
                <w:szCs w:val="24"/>
                <w:lang w:eastAsia="zh-CN"/>
              </w:rPr>
              <w:t>砂</w:t>
            </w:r>
            <w:r>
              <w:rPr>
                <w:rFonts w:hint="default" w:ascii="Times New Roman" w:hAnsi="Times New Roman" w:cs="Times New Roman"/>
                <w:b w:val="0"/>
                <w:bCs w:val="0"/>
                <w:color w:val="000000"/>
                <w:sz w:val="24"/>
                <w:szCs w:val="24"/>
              </w:rPr>
              <w:t>石料</w:t>
            </w:r>
            <w:r>
              <w:rPr>
                <w:rFonts w:hint="default" w:ascii="Times New Roman" w:hAnsi="Times New Roman" w:cs="Times New Roman"/>
                <w:b w:val="0"/>
                <w:bCs w:val="0"/>
                <w:color w:val="000000"/>
                <w:sz w:val="24"/>
                <w:szCs w:val="24"/>
                <w:lang w:eastAsia="zh-CN"/>
              </w:rPr>
              <w:t>堆放于成品堆场，成品</w:t>
            </w:r>
            <w:r>
              <w:rPr>
                <w:rFonts w:hint="default" w:ascii="Times New Roman" w:hAnsi="Times New Roman" w:cs="Times New Roman"/>
                <w:b w:val="0"/>
                <w:bCs w:val="0"/>
                <w:color w:val="000000"/>
                <w:sz w:val="24"/>
                <w:szCs w:val="24"/>
              </w:rPr>
              <w:t>堆场产生的粉尘产生量采用《无组织排放源常用</w:t>
            </w:r>
            <w:r>
              <w:rPr>
                <w:rFonts w:hint="default" w:ascii="Times New Roman" w:hAnsi="Times New Roman" w:cs="Times New Roman"/>
                <w:b w:val="0"/>
                <w:bCs w:val="0"/>
                <w:color w:val="000000"/>
                <w:spacing w:val="-15"/>
                <w:sz w:val="24"/>
                <w:szCs w:val="24"/>
              </w:rPr>
              <w:t>分析与估算方法》</w:t>
            </w:r>
            <w:r>
              <w:rPr>
                <w:rFonts w:hint="default" w:ascii="Times New Roman" w:hAnsi="Times New Roman" w:cs="Times New Roman"/>
                <w:b w:val="0"/>
                <w:bCs w:val="0"/>
                <w:color w:val="000000"/>
                <w:sz w:val="24"/>
                <w:szCs w:val="24"/>
              </w:rPr>
              <w:t>（西北铀矿地质，</w:t>
            </w:r>
            <w:r>
              <w:rPr>
                <w:rFonts w:hint="default" w:ascii="Times New Roman" w:hAnsi="Times New Roman" w:eastAsia="Times New Roman" w:cs="Times New Roman"/>
                <w:b w:val="0"/>
                <w:bCs w:val="0"/>
                <w:color w:val="000000"/>
                <w:sz w:val="24"/>
                <w:szCs w:val="24"/>
              </w:rPr>
              <w:t>2005</w:t>
            </w:r>
            <w:r>
              <w:rPr>
                <w:rFonts w:hint="default" w:ascii="Times New Roman" w:hAnsi="Times New Roman" w:cs="Times New Roman"/>
                <w:b w:val="0"/>
                <w:bCs w:val="0"/>
                <w:color w:val="000000"/>
                <w:spacing w:val="-25"/>
                <w:sz w:val="24"/>
                <w:szCs w:val="24"/>
              </w:rPr>
              <w:t>年</w:t>
            </w:r>
            <w:r>
              <w:rPr>
                <w:rFonts w:hint="default" w:ascii="Times New Roman" w:hAnsi="Times New Roman" w:eastAsia="Times New Roman" w:cs="Times New Roman"/>
                <w:b w:val="0"/>
                <w:bCs w:val="0"/>
                <w:color w:val="000000"/>
                <w:sz w:val="24"/>
                <w:szCs w:val="24"/>
              </w:rPr>
              <w:t>10</w:t>
            </w:r>
            <w:r>
              <w:rPr>
                <w:rFonts w:hint="default" w:ascii="Times New Roman" w:hAnsi="Times New Roman" w:cs="Times New Roman"/>
                <w:b w:val="0"/>
                <w:bCs w:val="0"/>
                <w:color w:val="000000"/>
                <w:sz w:val="24"/>
                <w:szCs w:val="24"/>
              </w:rPr>
              <w:t>月）</w:t>
            </w:r>
            <w:r>
              <w:rPr>
                <w:rFonts w:hint="default" w:ascii="Times New Roman" w:hAnsi="Times New Roman" w:cs="Times New Roman"/>
                <w:b w:val="0"/>
                <w:bCs w:val="0"/>
                <w:color w:val="000000"/>
                <w:spacing w:val="-2"/>
                <w:sz w:val="24"/>
                <w:szCs w:val="24"/>
              </w:rPr>
              <w:t>推荐的秦皇岛码头煤场起尘量经</w:t>
            </w:r>
            <w:r>
              <w:rPr>
                <w:rFonts w:hint="default" w:ascii="Times New Roman" w:hAnsi="Times New Roman" w:cs="Times New Roman"/>
                <w:b w:val="0"/>
                <w:bCs w:val="0"/>
                <w:color w:val="000000"/>
                <w:sz w:val="24"/>
                <w:szCs w:val="24"/>
              </w:rPr>
              <w:t>验公式进行计算，具体公式为：</w:t>
            </w:r>
          </w:p>
          <w:p>
            <w:pPr>
              <w:keepNext w:val="0"/>
              <w:keepLines w:val="0"/>
              <w:pageBreakBefore w:val="0"/>
              <w:widowControl w:val="0"/>
              <w:kinsoku/>
              <w:wordWrap/>
              <w:overflowPunct/>
              <w:topLinePunct w:val="0"/>
              <w:bidi w:val="0"/>
              <w:adjustRightInd/>
              <w:snapToGrid/>
              <w:spacing w:line="360" w:lineRule="auto"/>
              <w:ind w:left="0" w:leftChars="0" w:right="0" w:firstLine="1200" w:firstLineChars="500"/>
              <w:jc w:val="left"/>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position w:val="-12"/>
                <w:sz w:val="24"/>
                <w:szCs w:val="24"/>
              </w:rPr>
              <w:object>
                <v:shape id="_x0000_i1032" o:spt="75" type="#_x0000_t75" style="height:20pt;width:149pt;" o:ole="t" filled="f" o:preferrelative="t" stroked="f" coordsize="21600,21600">
                  <v:path/>
                  <v:fill on="f" alignshape="1" focussize="0,0"/>
                  <v:stroke on="f"/>
                  <v:imagedata r:id="rId26" o:title=""/>
                  <o:lock v:ext="edit" aspectratio="t"/>
                  <w10:wrap type="none"/>
                  <w10:anchorlock/>
                </v:shape>
                <o:OLEObject Type="Embed" ProgID="Equation.3" ShapeID="_x0000_i1032" DrawAspect="Content" ObjectID="_1468075732" r:id="rId27">
                  <o:LockedField>false</o:LockedField>
                </o:OLEObject>
              </w:object>
            </w:r>
            <w:r>
              <w:rPr>
                <w:rFonts w:hint="default" w:ascii="Times New Roman" w:hAnsi="Times New Roman" w:cs="Times New Roman"/>
                <w:b w:val="0"/>
                <w:bCs w:val="0"/>
                <w:color w:val="000000"/>
                <w:sz w:val="24"/>
                <w:szCs w:val="24"/>
              </w:rPr>
              <mc:AlternateContent>
                <mc:Choice Requires="wps">
                  <w:drawing>
                    <wp:anchor distT="0" distB="0" distL="114300" distR="114300" simplePos="0" relativeHeight="251663360" behindDoc="1" locked="0" layoutInCell="1" allowOverlap="1">
                      <wp:simplePos x="0" y="0"/>
                      <wp:positionH relativeFrom="page">
                        <wp:posOffset>2597150</wp:posOffset>
                      </wp:positionH>
                      <wp:positionV relativeFrom="paragraph">
                        <wp:posOffset>160020</wp:posOffset>
                      </wp:positionV>
                      <wp:extent cx="52705" cy="10922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52705" cy="109220"/>
                              </a:xfrm>
                              <a:prstGeom prst="rect">
                                <a:avLst/>
                              </a:prstGeom>
                              <a:noFill/>
                              <a:ln>
                                <a:noFill/>
                              </a:ln>
                              <a:effectLst/>
                            </wps:spPr>
                            <wps:txbx>
                              <w:txbxContent>
                                <w:p>
                                  <w:pPr>
                                    <w:spacing w:before="0" w:line="170" w:lineRule="exact"/>
                                    <w:ind w:left="0" w:right="0" w:firstLine="0"/>
                                    <w:jc w:val="left"/>
                                    <w:rPr>
                                      <w:rFonts w:ascii="Times New Roman"/>
                                      <w:sz w:val="15"/>
                                    </w:rPr>
                                  </w:pPr>
                                  <w:r>
                                    <w:rPr>
                                      <w:rFonts w:ascii="Times New Roman"/>
                                      <w:w w:val="109"/>
                                      <w:sz w:val="15"/>
                                    </w:rPr>
                                    <w:t>0</w:t>
                                  </w:r>
                                </w:p>
                              </w:txbxContent>
                            </wps:txbx>
                            <wps:bodyPr wrap="square" lIns="0" tIns="0" rIns="0" bIns="0" upright="1"/>
                          </wps:wsp>
                        </a:graphicData>
                      </a:graphic>
                    </wp:anchor>
                  </w:drawing>
                </mc:Choice>
                <mc:Fallback>
                  <w:pict>
                    <v:shape id="_x0000_s1026" o:spid="_x0000_s1026" o:spt="202" type="#_x0000_t202" style="position:absolute;left:0pt;margin-left:204.5pt;margin-top:12.6pt;height:8.6pt;width:4.15pt;mso-position-horizontal-relative:page;z-index:-251653120;mso-width-relative:page;mso-height-relative:page;" filled="f" stroked="f" coordsize="21600,21600" o:gfxdata="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EA4da2QAAAAkBAAAPAAAAAAAAAAEAIAAAACIAAABkcnMv&#10;ZG93bnJldi54bWxQSwECFAAUAAAACACHTuJAyAhuqMkBAACOAwAADgAAAAAAAAABACAAAAAoAQAA&#10;ZHJzL2Uyb0RvYy54bWxQSwUGAAAAAAYABgBZAQAAYwUAAAAA&#10;">
                      <v:fill on="f" focussize="0,0"/>
                      <v:stroke on="f"/>
                      <v:imagedata o:title=""/>
                      <o:lock v:ext="edit" aspectratio="f"/>
                      <v:textbox inset="0mm,0mm,0mm,0mm">
                        <w:txbxContent>
                          <w:p>
                            <w:pPr>
                              <w:spacing w:before="0" w:line="170" w:lineRule="exact"/>
                              <w:ind w:left="0" w:right="0" w:firstLine="0"/>
                              <w:jc w:val="left"/>
                              <w:rPr>
                                <w:rFonts w:ascii="Times New Roman"/>
                                <w:sz w:val="15"/>
                              </w:rPr>
                            </w:pPr>
                            <w:r>
                              <w:rPr>
                                <w:rFonts w:ascii="Times New Roman"/>
                                <w:w w:val="109"/>
                                <w:sz w:val="15"/>
                              </w:rPr>
                              <w:t>0</w:t>
                            </w:r>
                          </w:p>
                        </w:txbxContent>
                      </v:textbox>
                    </v:shape>
                  </w:pict>
                </mc:Fallback>
              </mc:AlternateContent>
            </w:r>
          </w:p>
          <w:p>
            <w:pPr>
              <w:pStyle w:val="12"/>
              <w:keepNext w:val="0"/>
              <w:keepLines w:val="0"/>
              <w:pageBreakBefore w:val="0"/>
              <w:widowControl w:val="0"/>
              <w:kinsoku/>
              <w:wordWrap/>
              <w:overflowPunct/>
              <w:topLinePunct w:val="0"/>
              <w:bidi w:val="0"/>
              <w:adjustRightInd/>
              <w:snapToGrid/>
              <w:spacing w:after="0" w:line="360" w:lineRule="auto"/>
              <w:ind w:left="0" w:leftChars="0" w:right="0" w:firstLine="480" w:firstLineChars="200"/>
              <w:textAlignment w:val="auto"/>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式中：</w:t>
            </w:r>
            <w:r>
              <w:rPr>
                <w:rFonts w:hint="default" w:ascii="Times New Roman" w:hAnsi="Times New Roman" w:eastAsia="Times New Roman" w:cs="Times New Roman"/>
                <w:b w:val="0"/>
                <w:bCs w:val="0"/>
                <w:color w:val="000000"/>
                <w:spacing w:val="-1"/>
                <w:w w:val="99"/>
                <w:sz w:val="24"/>
                <w:szCs w:val="24"/>
              </w:rPr>
              <w:t>Q</w:t>
            </w:r>
            <w:r>
              <w:rPr>
                <w:rFonts w:hint="default" w:ascii="Times New Roman" w:hAnsi="Times New Roman" w:eastAsia="Times New Roman" w:cs="Times New Roman"/>
                <w:b w:val="0"/>
                <w:bCs w:val="0"/>
                <w:color w:val="000000"/>
                <w:sz w:val="24"/>
                <w:szCs w:val="24"/>
              </w:rPr>
              <w:t>——</w:t>
            </w:r>
            <w:r>
              <w:rPr>
                <w:rFonts w:hint="default" w:ascii="Times New Roman" w:hAnsi="Times New Roman" w:cs="Times New Roman"/>
                <w:b w:val="0"/>
                <w:bCs w:val="0"/>
                <w:color w:val="000000"/>
                <w:sz w:val="24"/>
                <w:szCs w:val="24"/>
              </w:rPr>
              <w:t>堆放场地起尘量（</w:t>
            </w:r>
            <w:r>
              <w:rPr>
                <w:rFonts w:hint="default" w:ascii="Times New Roman" w:hAnsi="Times New Roman" w:eastAsia="Times New Roman" w:cs="Times New Roman"/>
                <w:b w:val="0"/>
                <w:bCs w:val="0"/>
                <w:color w:val="000000"/>
                <w:sz w:val="24"/>
                <w:szCs w:val="24"/>
              </w:rPr>
              <w:t>m</w:t>
            </w:r>
            <w:r>
              <w:rPr>
                <w:rFonts w:hint="default" w:ascii="Times New Roman" w:hAnsi="Times New Roman" w:eastAsia="Times New Roman" w:cs="Times New Roman"/>
                <w:b w:val="0"/>
                <w:bCs w:val="0"/>
                <w:color w:val="000000"/>
                <w:spacing w:val="-2"/>
                <w:sz w:val="24"/>
                <w:szCs w:val="24"/>
              </w:rPr>
              <w:t>g</w:t>
            </w:r>
            <w:r>
              <w:rPr>
                <w:rFonts w:hint="default" w:ascii="Times New Roman" w:hAnsi="Times New Roman" w:eastAsia="Times New Roman" w:cs="Times New Roman"/>
                <w:b w:val="0"/>
                <w:bCs w:val="0"/>
                <w:color w:val="000000"/>
                <w:w w:val="99"/>
                <w:sz w:val="24"/>
                <w:szCs w:val="24"/>
              </w:rPr>
              <w:t>/s</w:t>
            </w:r>
            <w:r>
              <w:rPr>
                <w:rFonts w:hint="default" w:ascii="Times New Roman" w:hAnsi="Times New Roman" w:cs="Times New Roman"/>
                <w:b w:val="0"/>
                <w:bCs w:val="0"/>
                <w:color w:val="000000"/>
                <w:spacing w:val="-120"/>
                <w:sz w:val="24"/>
                <w:szCs w:val="24"/>
              </w:rPr>
              <w:t>）</w:t>
            </w:r>
            <w:r>
              <w:rPr>
                <w:rFonts w:hint="default" w:ascii="Times New Roman" w:hAnsi="Times New Roman" w:cs="Times New Roman"/>
                <w:b w:val="0"/>
                <w:bCs w:val="0"/>
                <w:color w:val="000000"/>
                <w:spacing w:val="-10"/>
                <w:sz w:val="24"/>
                <w:szCs w:val="24"/>
                <w:lang w:eastAsia="zh-CN"/>
              </w:rPr>
              <w:t>）；</w:t>
            </w:r>
          </w:p>
          <w:p>
            <w:pPr>
              <w:pStyle w:val="12"/>
              <w:keepNext w:val="0"/>
              <w:keepLines w:val="0"/>
              <w:pageBreakBefore w:val="0"/>
              <w:widowControl w:val="0"/>
              <w:kinsoku/>
              <w:wordWrap/>
              <w:overflowPunct/>
              <w:topLinePunct w:val="0"/>
              <w:bidi w:val="0"/>
              <w:adjustRightInd/>
              <w:snapToGrid/>
              <w:spacing w:after="0" w:line="360" w:lineRule="auto"/>
              <w:ind w:left="0" w:leftChars="0" w:right="0" w:firstLine="1200" w:firstLineChars="500"/>
              <w:textAlignment w:val="auto"/>
              <w:rPr>
                <w:rFonts w:hint="default" w:ascii="Times New Roman" w:hAnsi="Times New Roman" w:cs="Times New Roman"/>
                <w:b w:val="0"/>
                <w:bCs w:val="0"/>
                <w:color w:val="000000"/>
                <w:position w:val="2"/>
                <w:sz w:val="24"/>
                <w:szCs w:val="24"/>
              </w:rPr>
            </w:pPr>
            <w:r>
              <w:rPr>
                <w:rFonts w:hint="default" w:ascii="Times New Roman" w:hAnsi="Times New Roman" w:eastAsia="Times New Roman" w:cs="Times New Roman"/>
                <w:b w:val="0"/>
                <w:bCs w:val="0"/>
                <w:color w:val="000000"/>
                <w:position w:val="2"/>
                <w:sz w:val="24"/>
                <w:szCs w:val="24"/>
              </w:rPr>
              <w:t>u</w:t>
            </w:r>
            <w:r>
              <w:rPr>
                <w:rFonts w:hint="default" w:ascii="Times New Roman" w:hAnsi="Times New Roman" w:eastAsia="Times New Roman" w:cs="Times New Roman"/>
                <w:b w:val="0"/>
                <w:bCs w:val="0"/>
                <w:color w:val="000000"/>
                <w:sz w:val="24"/>
                <w:szCs w:val="24"/>
                <w:vertAlign w:val="subscript"/>
              </w:rPr>
              <w:t>0</w:t>
            </w:r>
            <w:r>
              <w:rPr>
                <w:rFonts w:hint="default" w:ascii="Times New Roman" w:hAnsi="Times New Roman" w:eastAsia="Times New Roman" w:cs="Times New Roman"/>
                <w:b w:val="0"/>
                <w:bCs w:val="0"/>
                <w:color w:val="000000"/>
                <w:position w:val="2"/>
                <w:sz w:val="24"/>
                <w:szCs w:val="24"/>
              </w:rPr>
              <w:t xml:space="preserve">——50m </w:t>
            </w:r>
            <w:r>
              <w:rPr>
                <w:rFonts w:hint="default" w:ascii="Times New Roman" w:hAnsi="Times New Roman" w:cs="Times New Roman"/>
                <w:b w:val="0"/>
                <w:bCs w:val="0"/>
                <w:color w:val="000000"/>
                <w:spacing w:val="-6"/>
                <w:position w:val="2"/>
                <w:sz w:val="24"/>
                <w:szCs w:val="24"/>
              </w:rPr>
              <w:t>高处的扬尘启动风速，</w:t>
            </w:r>
            <w:r>
              <w:rPr>
                <w:rFonts w:hint="default" w:ascii="Times New Roman" w:hAnsi="Times New Roman" w:cs="Times New Roman"/>
                <w:b w:val="0"/>
                <w:bCs w:val="0"/>
                <w:color w:val="000000"/>
                <w:spacing w:val="-6"/>
                <w:position w:val="2"/>
                <w:sz w:val="24"/>
                <w:szCs w:val="24"/>
                <w:lang w:eastAsia="zh-CN"/>
              </w:rPr>
              <w:t>一般</w:t>
            </w:r>
            <w:r>
              <w:rPr>
                <w:rFonts w:hint="default" w:ascii="Times New Roman" w:hAnsi="Times New Roman" w:cs="Times New Roman"/>
                <w:b w:val="0"/>
                <w:bCs w:val="0"/>
                <w:color w:val="000000"/>
                <w:spacing w:val="-6"/>
                <w:position w:val="2"/>
                <w:sz w:val="24"/>
                <w:szCs w:val="24"/>
              </w:rPr>
              <w:t>取</w:t>
            </w:r>
            <w:r>
              <w:rPr>
                <w:rFonts w:hint="default" w:ascii="Times New Roman" w:hAnsi="Times New Roman" w:eastAsia="Times New Roman" w:cs="Times New Roman"/>
                <w:b w:val="0"/>
                <w:bCs w:val="0"/>
                <w:color w:val="000000"/>
                <w:position w:val="2"/>
                <w:sz w:val="24"/>
                <w:szCs w:val="24"/>
              </w:rPr>
              <w:t>4.0m/s</w:t>
            </w:r>
            <w:r>
              <w:rPr>
                <w:rFonts w:hint="default" w:ascii="Times New Roman" w:hAnsi="Times New Roman" w:cs="Times New Roman"/>
                <w:b w:val="0"/>
                <w:bCs w:val="0"/>
                <w:color w:val="000000"/>
                <w:position w:val="2"/>
                <w:sz w:val="24"/>
                <w:szCs w:val="24"/>
              </w:rPr>
              <w:t>；</w:t>
            </w:r>
          </w:p>
          <w:p>
            <w:pPr>
              <w:pStyle w:val="12"/>
              <w:keepNext w:val="0"/>
              <w:keepLines w:val="0"/>
              <w:pageBreakBefore w:val="0"/>
              <w:widowControl w:val="0"/>
              <w:kinsoku/>
              <w:wordWrap/>
              <w:overflowPunct/>
              <w:topLinePunct w:val="0"/>
              <w:bidi w:val="0"/>
              <w:adjustRightInd/>
              <w:snapToGrid/>
              <w:spacing w:after="0" w:line="360" w:lineRule="auto"/>
              <w:ind w:left="0" w:leftChars="0" w:right="0" w:firstLine="1200" w:firstLineChars="500"/>
              <w:textAlignment w:val="auto"/>
              <w:rPr>
                <w:rFonts w:hint="default" w:ascii="Times New Roman" w:hAnsi="Times New Roman" w:cs="Times New Roman"/>
                <w:b w:val="0"/>
                <w:bCs w:val="0"/>
                <w:color w:val="000000"/>
                <w:spacing w:val="-3"/>
                <w:sz w:val="24"/>
                <w:szCs w:val="24"/>
              </w:rPr>
            </w:pPr>
            <w:r>
              <w:rPr>
                <w:rFonts w:hint="default" w:ascii="Times New Roman" w:hAnsi="Times New Roman" w:eastAsia="Times New Roman" w:cs="Times New Roman"/>
                <w:b w:val="0"/>
                <w:bCs w:val="0"/>
                <w:color w:val="000000"/>
                <w:sz w:val="24"/>
                <w:szCs w:val="24"/>
              </w:rPr>
              <w:t xml:space="preserve">u——50m </w:t>
            </w:r>
            <w:r>
              <w:rPr>
                <w:rFonts w:hint="default" w:ascii="Times New Roman" w:hAnsi="Times New Roman" w:cs="Times New Roman"/>
                <w:b w:val="0"/>
                <w:bCs w:val="0"/>
                <w:color w:val="000000"/>
                <w:sz w:val="24"/>
                <w:szCs w:val="24"/>
              </w:rPr>
              <w:t>高度处的风速（</w:t>
            </w:r>
            <w:r>
              <w:rPr>
                <w:rFonts w:hint="default" w:ascii="Times New Roman" w:hAnsi="Times New Roman" w:eastAsia="Times New Roman" w:cs="Times New Roman"/>
                <w:b w:val="0"/>
                <w:bCs w:val="0"/>
                <w:color w:val="000000"/>
                <w:w w:val="99"/>
                <w:sz w:val="24"/>
                <w:szCs w:val="24"/>
              </w:rPr>
              <w:t>m/s</w:t>
            </w:r>
            <w:r>
              <w:rPr>
                <w:rFonts w:hint="default" w:ascii="Times New Roman" w:hAnsi="Times New Roman" w:cs="Times New Roman"/>
                <w:b w:val="0"/>
                <w:bCs w:val="0"/>
                <w:color w:val="000000"/>
                <w:spacing w:val="-120"/>
                <w:sz w:val="24"/>
                <w:szCs w:val="24"/>
              </w:rPr>
              <w:t>）</w:t>
            </w:r>
            <w:r>
              <w:rPr>
                <w:rFonts w:hint="default" w:ascii="Times New Roman" w:hAnsi="Times New Roman" w:cs="Times New Roman"/>
                <w:b w:val="0"/>
                <w:bCs w:val="0"/>
                <w:color w:val="000000"/>
                <w:spacing w:val="-120"/>
                <w:sz w:val="24"/>
                <w:szCs w:val="24"/>
                <w:lang w:val="en-US" w:eastAsia="zh-CN"/>
              </w:rPr>
              <w:t xml:space="preserve">  </w:t>
            </w:r>
            <w:r>
              <w:rPr>
                <w:rFonts w:hint="default" w:ascii="Times New Roman" w:hAnsi="Times New Roman" w:cs="Times New Roman"/>
                <w:b w:val="0"/>
                <w:bCs w:val="0"/>
                <w:color w:val="000000"/>
                <w:spacing w:val="-10"/>
                <w:sz w:val="24"/>
                <w:szCs w:val="24"/>
                <w:lang w:eastAsia="zh-CN"/>
              </w:rPr>
              <w:t>），本项目</w:t>
            </w:r>
            <w:r>
              <w:rPr>
                <w:rFonts w:hint="default" w:ascii="Times New Roman" w:hAnsi="Times New Roman" w:cs="Times New Roman"/>
                <w:b w:val="0"/>
                <w:bCs w:val="0"/>
                <w:color w:val="000000"/>
                <w:spacing w:val="-10"/>
                <w:sz w:val="24"/>
                <w:szCs w:val="24"/>
              </w:rPr>
              <w:t>取</w:t>
            </w:r>
            <w:r>
              <w:rPr>
                <w:rFonts w:hint="default" w:ascii="Times New Roman" w:hAnsi="Times New Roman" w:eastAsia="Times New Roman" w:cs="Times New Roman"/>
                <w:b w:val="0"/>
                <w:bCs w:val="0"/>
                <w:color w:val="000000"/>
                <w:spacing w:val="-3"/>
                <w:sz w:val="24"/>
                <w:szCs w:val="24"/>
              </w:rPr>
              <w:t>4.5m/</w:t>
            </w:r>
            <w:r>
              <w:rPr>
                <w:rFonts w:hint="default" w:ascii="Times New Roman" w:hAnsi="Times New Roman" w:eastAsia="Times New Roman" w:cs="Times New Roman"/>
                <w:b w:val="0"/>
                <w:bCs w:val="0"/>
                <w:color w:val="000000"/>
                <w:spacing w:val="-3"/>
                <w:w w:val="99"/>
                <w:sz w:val="24"/>
                <w:szCs w:val="24"/>
              </w:rPr>
              <w:t>s</w:t>
            </w:r>
            <w:r>
              <w:rPr>
                <w:rFonts w:hint="default" w:ascii="Times New Roman" w:hAnsi="Times New Roman" w:cs="Times New Roman"/>
                <w:b w:val="0"/>
                <w:bCs w:val="0"/>
                <w:color w:val="000000"/>
                <w:spacing w:val="-3"/>
                <w:sz w:val="24"/>
                <w:szCs w:val="24"/>
              </w:rPr>
              <w:t>；</w:t>
            </w:r>
          </w:p>
          <w:p>
            <w:pPr>
              <w:pStyle w:val="12"/>
              <w:keepNext w:val="0"/>
              <w:keepLines w:val="0"/>
              <w:pageBreakBefore w:val="0"/>
              <w:widowControl w:val="0"/>
              <w:kinsoku/>
              <w:wordWrap/>
              <w:overflowPunct/>
              <w:topLinePunct w:val="0"/>
              <w:bidi w:val="0"/>
              <w:adjustRightInd/>
              <w:snapToGrid/>
              <w:spacing w:after="0" w:line="360" w:lineRule="auto"/>
              <w:ind w:left="0" w:leftChars="0" w:right="0" w:firstLine="1200" w:firstLineChars="500"/>
              <w:textAlignment w:val="auto"/>
              <w:rPr>
                <w:rFonts w:hint="default" w:ascii="Times New Roman" w:hAnsi="Times New Roman" w:cs="Times New Roman"/>
                <w:b w:val="0"/>
                <w:bCs w:val="0"/>
                <w:color w:val="000000"/>
                <w:sz w:val="24"/>
                <w:szCs w:val="24"/>
              </w:rPr>
            </w:pPr>
            <w:r>
              <w:rPr>
                <w:rFonts w:hint="default" w:ascii="Times New Roman" w:hAnsi="Times New Roman" w:eastAsia="Times New Roman" w:cs="Times New Roman"/>
                <w:b w:val="0"/>
                <w:bCs w:val="0"/>
                <w:color w:val="000000"/>
                <w:sz w:val="24"/>
                <w:szCs w:val="24"/>
              </w:rPr>
              <w:t>ω——</w:t>
            </w:r>
            <w:r>
              <w:rPr>
                <w:rFonts w:hint="default" w:ascii="Times New Roman" w:hAnsi="Times New Roman" w:cs="Times New Roman"/>
                <w:b w:val="0"/>
                <w:bCs w:val="0"/>
                <w:color w:val="000000"/>
                <w:sz w:val="24"/>
                <w:szCs w:val="24"/>
              </w:rPr>
              <w:t>物料含水率（</w:t>
            </w:r>
            <w:r>
              <w:rPr>
                <w:rFonts w:hint="default" w:ascii="Times New Roman" w:hAnsi="Times New Roman" w:eastAsia="Times New Roman" w:cs="Times New Roman"/>
                <w:b w:val="0"/>
                <w:bCs w:val="0"/>
                <w:color w:val="000000"/>
                <w:spacing w:val="-1"/>
                <w:sz w:val="24"/>
                <w:szCs w:val="24"/>
              </w:rPr>
              <w:t>%</w:t>
            </w:r>
            <w:r>
              <w:rPr>
                <w:rFonts w:hint="default" w:ascii="Times New Roman" w:hAnsi="Times New Roman" w:cs="Times New Roman"/>
                <w:b w:val="0"/>
                <w:bCs w:val="0"/>
                <w:color w:val="000000"/>
                <w:spacing w:val="-120"/>
                <w:sz w:val="24"/>
                <w:szCs w:val="24"/>
              </w:rPr>
              <w:t>）</w:t>
            </w:r>
            <w:r>
              <w:rPr>
                <w:rFonts w:hint="default" w:ascii="Times New Roman" w:hAnsi="Times New Roman" w:cs="Times New Roman"/>
                <w:b w:val="0"/>
                <w:bCs w:val="0"/>
                <w:color w:val="000000"/>
                <w:spacing w:val="-10"/>
                <w:sz w:val="24"/>
                <w:szCs w:val="24"/>
                <w:lang w:eastAsia="zh-CN"/>
              </w:rPr>
              <w:t>），</w:t>
            </w:r>
            <w:r>
              <w:rPr>
                <w:rFonts w:hint="default" w:ascii="Times New Roman" w:hAnsi="Times New Roman" w:cs="Times New Roman"/>
                <w:b w:val="0"/>
                <w:bCs w:val="0"/>
                <w:color w:val="000000"/>
                <w:spacing w:val="-10"/>
                <w:sz w:val="24"/>
                <w:szCs w:val="24"/>
              </w:rPr>
              <w:t>本项目取</w:t>
            </w:r>
            <w:r>
              <w:rPr>
                <w:rFonts w:hint="default" w:ascii="Times New Roman" w:hAnsi="Times New Roman" w:eastAsia="Times New Roman" w:cs="Times New Roman"/>
                <w:b w:val="0"/>
                <w:bCs w:val="0"/>
                <w:color w:val="000000"/>
                <w:sz w:val="24"/>
                <w:szCs w:val="24"/>
              </w:rPr>
              <w:t>6</w:t>
            </w:r>
            <w:r>
              <w:rPr>
                <w:rFonts w:hint="default" w:ascii="Times New Roman" w:hAnsi="Times New Roman" w:eastAsia="Times New Roman" w:cs="Times New Roman"/>
                <w:b w:val="0"/>
                <w:bCs w:val="0"/>
                <w:color w:val="000000"/>
                <w:spacing w:val="-1"/>
                <w:sz w:val="24"/>
                <w:szCs w:val="24"/>
              </w:rPr>
              <w:t>%</w:t>
            </w:r>
            <w:r>
              <w:rPr>
                <w:rFonts w:hint="default" w:ascii="Times New Roman" w:hAnsi="Times New Roman" w:cs="Times New Roman"/>
                <w:b w:val="0"/>
                <w:bCs w:val="0"/>
                <w:color w:val="000000"/>
                <w:sz w:val="24"/>
                <w:szCs w:val="24"/>
              </w:rPr>
              <w:t>；</w:t>
            </w:r>
          </w:p>
          <w:p>
            <w:pPr>
              <w:pStyle w:val="12"/>
              <w:keepNext w:val="0"/>
              <w:keepLines w:val="0"/>
              <w:pageBreakBefore w:val="0"/>
              <w:widowControl w:val="0"/>
              <w:kinsoku/>
              <w:wordWrap/>
              <w:overflowPunct/>
              <w:topLinePunct w:val="0"/>
              <w:autoSpaceDE w:val="0"/>
              <w:autoSpaceDN w:val="0"/>
              <w:bidi w:val="0"/>
              <w:adjustRightInd/>
              <w:snapToGrid/>
              <w:spacing w:after="0" w:line="360" w:lineRule="auto"/>
              <w:ind w:left="0" w:leftChars="0" w:right="0" w:firstLine="1185" w:firstLineChars="500"/>
              <w:textAlignment w:val="auto"/>
              <w:rPr>
                <w:rFonts w:hint="default" w:ascii="Times New Roman" w:hAnsi="Times New Roman" w:cs="Times New Roman"/>
                <w:b w:val="0"/>
                <w:bCs w:val="0"/>
                <w:color w:val="000000"/>
                <w:spacing w:val="-10"/>
                <w:sz w:val="24"/>
                <w:szCs w:val="24"/>
                <w:lang w:eastAsia="zh-CN"/>
              </w:rPr>
            </w:pPr>
            <w:r>
              <w:rPr>
                <w:rFonts w:hint="default" w:ascii="Times New Roman" w:hAnsi="Times New Roman" w:eastAsia="Times New Roman" w:cs="Times New Roman"/>
                <w:b w:val="0"/>
                <w:bCs w:val="0"/>
                <w:color w:val="000000"/>
                <w:w w:val="99"/>
                <w:sz w:val="24"/>
                <w:szCs w:val="24"/>
              </w:rPr>
              <w:t>M</w:t>
            </w:r>
            <w:r>
              <w:rPr>
                <w:rFonts w:hint="default" w:ascii="Times New Roman" w:hAnsi="Times New Roman" w:eastAsia="Times New Roman" w:cs="Times New Roman"/>
                <w:b w:val="0"/>
                <w:bCs w:val="0"/>
                <w:color w:val="000000"/>
                <w:sz w:val="24"/>
                <w:szCs w:val="24"/>
              </w:rPr>
              <w:t>——</w:t>
            </w:r>
            <w:r>
              <w:rPr>
                <w:rFonts w:hint="default" w:ascii="Times New Roman" w:hAnsi="Times New Roman" w:cs="Times New Roman"/>
                <w:b w:val="0"/>
                <w:bCs w:val="0"/>
                <w:color w:val="000000"/>
                <w:sz w:val="24"/>
                <w:szCs w:val="24"/>
              </w:rPr>
              <w:t>堆场堆放的物料量（</w:t>
            </w:r>
            <w:r>
              <w:rPr>
                <w:rFonts w:hint="default" w:ascii="Times New Roman" w:hAnsi="Times New Roman" w:eastAsia="Times New Roman" w:cs="Times New Roman"/>
                <w:b w:val="0"/>
                <w:bCs w:val="0"/>
                <w:color w:val="000000"/>
                <w:sz w:val="24"/>
                <w:szCs w:val="24"/>
              </w:rPr>
              <w:t>t</w:t>
            </w:r>
            <w:r>
              <w:rPr>
                <w:rFonts w:hint="default" w:ascii="Times New Roman" w:hAnsi="Times New Roman" w:cs="Times New Roman"/>
                <w:b w:val="0"/>
                <w:bCs w:val="0"/>
                <w:color w:val="000000"/>
                <w:spacing w:val="-10"/>
                <w:sz w:val="24"/>
                <w:szCs w:val="24"/>
                <w:lang w:eastAsia="zh-CN"/>
              </w:rPr>
              <w:t>）；</w:t>
            </w:r>
          </w:p>
          <w:p>
            <w:pPr>
              <w:pStyle w:val="12"/>
              <w:keepNext w:val="0"/>
              <w:keepLines w:val="0"/>
              <w:pageBreakBefore w:val="0"/>
              <w:widowControl w:val="0"/>
              <w:kinsoku/>
              <w:wordWrap/>
              <w:overflowPunct/>
              <w:topLinePunct w:val="0"/>
              <w:bidi w:val="0"/>
              <w:adjustRightInd/>
              <w:snapToGrid/>
              <w:spacing w:after="0" w:line="360" w:lineRule="auto"/>
              <w:ind w:left="0" w:leftChars="0" w:right="0" w:firstLine="1200" w:firstLineChars="500"/>
              <w:textAlignment w:val="auto"/>
              <w:rPr>
                <w:rFonts w:hint="default" w:ascii="Times New Roman" w:hAnsi="Times New Roman" w:cs="Times New Roman"/>
                <w:color w:val="000000"/>
              </w:rPr>
            </w:pPr>
            <w:r>
              <w:rPr>
                <w:rFonts w:hint="default" w:ascii="Times New Roman" w:hAnsi="Times New Roman" w:eastAsia="Times New Roman" w:cs="Times New Roman"/>
                <w:b w:val="0"/>
                <w:bCs w:val="0"/>
                <w:color w:val="000000"/>
                <w:sz w:val="24"/>
                <w:szCs w:val="24"/>
              </w:rPr>
              <w:t>k——</w:t>
            </w:r>
            <w:r>
              <w:rPr>
                <w:rFonts w:hint="default" w:ascii="Times New Roman" w:hAnsi="Times New Roman" w:cs="Times New Roman"/>
                <w:b w:val="0"/>
                <w:bCs w:val="0"/>
                <w:color w:val="000000"/>
                <w:sz w:val="24"/>
                <w:szCs w:val="24"/>
              </w:rPr>
              <w:t>与堆放物料含水率有关的系数，具体见</w:t>
            </w:r>
            <w:r>
              <w:rPr>
                <w:rFonts w:hint="eastAsia" w:ascii="Times New Roman" w:hAnsi="Times New Roman" w:cs="Times New Roman"/>
                <w:b w:val="0"/>
                <w:bCs w:val="0"/>
                <w:color w:val="000000"/>
                <w:sz w:val="24"/>
                <w:szCs w:val="24"/>
                <w:lang w:eastAsia="zh-CN"/>
              </w:rPr>
              <w:t>表</w:t>
            </w:r>
            <w:r>
              <w:rPr>
                <w:rFonts w:hint="eastAsia" w:cs="Times New Roman"/>
                <w:b w:val="0"/>
                <w:bCs w:val="0"/>
                <w:color w:val="000000"/>
                <w:sz w:val="24"/>
                <w:szCs w:val="24"/>
                <w:lang w:val="en-US" w:eastAsia="zh-CN"/>
              </w:rPr>
              <w:t>4-8</w:t>
            </w:r>
            <w:r>
              <w:rPr>
                <w:rFonts w:hint="default" w:ascii="Times New Roman" w:hAnsi="Times New Roman" w:cs="Times New Roman"/>
                <w:b w:val="0"/>
                <w:bCs w:val="0"/>
                <w:color w:val="000000"/>
                <w:sz w:val="24"/>
                <w:szCs w:val="24"/>
              </w:rPr>
              <w:t>。</w:t>
            </w:r>
          </w:p>
          <w:p>
            <w:pPr>
              <w:pStyle w:val="27"/>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表</w:t>
            </w:r>
            <w:r>
              <w:rPr>
                <w:rFonts w:hint="eastAsia" w:cs="Times New Roman"/>
                <w:b/>
                <w:color w:val="000000"/>
                <w:sz w:val="24"/>
                <w:szCs w:val="24"/>
                <w:lang w:val="en-US" w:eastAsia="zh-CN"/>
              </w:rPr>
              <w:t>4-8</w:t>
            </w:r>
            <w:r>
              <w:rPr>
                <w:rFonts w:hint="default" w:ascii="Times New Roman" w:hAnsi="Times New Roman" w:eastAsia="Times New Roman" w:cs="Times New Roman"/>
                <w:b/>
                <w:color w:val="000000"/>
                <w:sz w:val="24"/>
                <w:szCs w:val="24"/>
              </w:rPr>
              <w:tab/>
            </w:r>
            <w:r>
              <w:rPr>
                <w:rFonts w:hint="default" w:ascii="Times New Roman" w:hAnsi="Times New Roman" w:eastAsia="宋体" w:cs="Times New Roman"/>
                <w:b/>
                <w:color w:val="000000"/>
                <w:sz w:val="24"/>
                <w:szCs w:val="24"/>
                <w:lang w:val="en-US" w:eastAsia="zh-CN"/>
              </w:rPr>
              <w:t xml:space="preserve">      </w:t>
            </w:r>
            <w:r>
              <w:rPr>
                <w:rFonts w:hint="default" w:ascii="Times New Roman" w:hAnsi="Times New Roman" w:cs="Times New Roman"/>
                <w:b/>
                <w:color w:val="000000"/>
                <w:sz w:val="24"/>
                <w:szCs w:val="24"/>
              </w:rPr>
              <w:t>不同含水率下</w:t>
            </w:r>
            <w:r>
              <w:rPr>
                <w:rFonts w:hint="default" w:ascii="Times New Roman" w:hAnsi="Times New Roman" w:cs="Times New Roman"/>
                <w:b/>
                <w:color w:val="000000"/>
                <w:sz w:val="24"/>
                <w:szCs w:val="24"/>
                <w:lang w:eastAsia="zh-CN"/>
              </w:rPr>
              <w:t>的</w:t>
            </w:r>
            <w:r>
              <w:rPr>
                <w:rFonts w:hint="default" w:ascii="Times New Roman" w:hAnsi="Times New Roman" w:cs="Times New Roman"/>
                <w:b/>
                <w:color w:val="000000"/>
                <w:sz w:val="24"/>
                <w:szCs w:val="24"/>
                <w:lang w:val="en-US" w:eastAsia="zh-CN"/>
              </w:rPr>
              <w:t>k</w:t>
            </w:r>
            <w:r>
              <w:rPr>
                <w:rFonts w:hint="default" w:ascii="Times New Roman" w:hAnsi="Times New Roman" w:cs="Times New Roman"/>
                <w:b/>
                <w:color w:val="000000"/>
                <w:sz w:val="24"/>
                <w:szCs w:val="24"/>
              </w:rPr>
              <w:t>值</w:t>
            </w:r>
          </w:p>
          <w:tbl>
            <w:tblPr>
              <w:tblStyle w:val="28"/>
              <w:tblW w:w="8937"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1368"/>
              <w:gridCol w:w="842"/>
              <w:gridCol w:w="842"/>
              <w:gridCol w:w="840"/>
              <w:gridCol w:w="843"/>
              <w:gridCol w:w="843"/>
              <w:gridCol w:w="840"/>
              <w:gridCol w:w="843"/>
              <w:gridCol w:w="843"/>
              <w:gridCol w:w="83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368"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含水率（</w:t>
                  </w:r>
                  <w:r>
                    <w:rPr>
                      <w:rFonts w:hint="default" w:ascii="Times New Roman" w:hAnsi="Times New Roman" w:eastAsia="Times New Roman" w:cs="Times New Roman"/>
                      <w:color w:val="000000"/>
                      <w:sz w:val="21"/>
                      <w:szCs w:val="21"/>
                    </w:rPr>
                    <w:t>%</w:t>
                  </w:r>
                  <w:r>
                    <w:rPr>
                      <w:rFonts w:hint="default" w:ascii="Times New Roman" w:hAnsi="Times New Roman" w:cs="Times New Roman"/>
                      <w:color w:val="000000"/>
                      <w:sz w:val="21"/>
                      <w:szCs w:val="21"/>
                    </w:rPr>
                    <w:t>）</w:t>
                  </w:r>
                </w:p>
              </w:tc>
              <w:tc>
                <w:tcPr>
                  <w:tcW w:w="842"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1</w:t>
                  </w:r>
                </w:p>
              </w:tc>
              <w:tc>
                <w:tcPr>
                  <w:tcW w:w="842"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2</w:t>
                  </w:r>
                </w:p>
              </w:tc>
              <w:tc>
                <w:tcPr>
                  <w:tcW w:w="840"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3</w:t>
                  </w:r>
                </w:p>
              </w:tc>
              <w:tc>
                <w:tcPr>
                  <w:tcW w:w="84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4</w:t>
                  </w:r>
                </w:p>
              </w:tc>
              <w:tc>
                <w:tcPr>
                  <w:tcW w:w="84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5</w:t>
                  </w:r>
                </w:p>
              </w:tc>
              <w:tc>
                <w:tcPr>
                  <w:tcW w:w="840"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6</w:t>
                  </w:r>
                </w:p>
              </w:tc>
              <w:tc>
                <w:tcPr>
                  <w:tcW w:w="84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7</w:t>
                  </w:r>
                </w:p>
              </w:tc>
              <w:tc>
                <w:tcPr>
                  <w:tcW w:w="84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8</w:t>
                  </w:r>
                </w:p>
              </w:tc>
              <w:tc>
                <w:tcPr>
                  <w:tcW w:w="83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9</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1368"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w w:val="100"/>
                      <w:sz w:val="21"/>
                      <w:szCs w:val="21"/>
                    </w:rPr>
                    <w:t>k</w:t>
                  </w:r>
                </w:p>
              </w:tc>
              <w:tc>
                <w:tcPr>
                  <w:tcW w:w="842"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1.019</w:t>
                  </w:r>
                </w:p>
              </w:tc>
              <w:tc>
                <w:tcPr>
                  <w:tcW w:w="842"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1.010</w:t>
                  </w:r>
                </w:p>
              </w:tc>
              <w:tc>
                <w:tcPr>
                  <w:tcW w:w="840"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1.002</w:t>
                  </w:r>
                </w:p>
              </w:tc>
              <w:tc>
                <w:tcPr>
                  <w:tcW w:w="84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0.995</w:t>
                  </w:r>
                </w:p>
              </w:tc>
              <w:tc>
                <w:tcPr>
                  <w:tcW w:w="84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0.986</w:t>
                  </w:r>
                </w:p>
              </w:tc>
              <w:tc>
                <w:tcPr>
                  <w:tcW w:w="840"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0.979</w:t>
                  </w:r>
                </w:p>
              </w:tc>
              <w:tc>
                <w:tcPr>
                  <w:tcW w:w="84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0.971</w:t>
                  </w:r>
                </w:p>
              </w:tc>
              <w:tc>
                <w:tcPr>
                  <w:tcW w:w="84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0.963</w:t>
                  </w:r>
                </w:p>
              </w:tc>
              <w:tc>
                <w:tcPr>
                  <w:tcW w:w="833" w:type="dxa"/>
                  <w:tcBorders>
                    <w:tl2br w:val="nil"/>
                    <w:tr2bl w:val="nil"/>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0.96</w:t>
                  </w:r>
                </w:p>
              </w:tc>
            </w:tr>
          </w:tbl>
          <w:p>
            <w:pPr>
              <w:pStyle w:val="12"/>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firstLine="468" w:firstLineChars="200"/>
              <w:jc w:val="both"/>
              <w:textAlignment w:val="auto"/>
              <w:rPr>
                <w:rFonts w:hint="default" w:ascii="Times New Roman" w:hAnsi="Times New Roman" w:cs="Times New Roman"/>
                <w:b w:val="0"/>
                <w:bCs w:val="0"/>
                <w:color w:val="000000"/>
                <w:spacing w:val="-6"/>
                <w:sz w:val="24"/>
                <w:szCs w:val="24"/>
                <w:lang w:eastAsia="zh-CN"/>
              </w:rPr>
            </w:pPr>
            <w:r>
              <w:rPr>
                <w:rFonts w:hint="default" w:ascii="Times New Roman" w:hAnsi="Times New Roman" w:cs="Times New Roman"/>
                <w:b w:val="0"/>
                <w:bCs w:val="0"/>
                <w:color w:val="000000"/>
                <w:spacing w:val="-3"/>
                <w:sz w:val="24"/>
                <w:szCs w:val="24"/>
              </w:rPr>
              <w:t>本项目成品堆场面积为</w:t>
            </w:r>
            <w:r>
              <w:rPr>
                <w:rFonts w:hint="default" w:ascii="Times New Roman" w:hAnsi="Times New Roman" w:eastAsia="Times New Roman" w:cs="Times New Roman"/>
                <w:b w:val="0"/>
                <w:bCs w:val="0"/>
                <w:color w:val="000000"/>
                <w:sz w:val="24"/>
                <w:szCs w:val="24"/>
              </w:rPr>
              <w:t>2000m</w:t>
            </w:r>
            <w:r>
              <w:rPr>
                <w:rFonts w:hint="default" w:ascii="Times New Roman" w:hAnsi="Times New Roman" w:eastAsia="宋体" w:cs="Times New Roman"/>
                <w:b w:val="0"/>
                <w:bCs w:val="0"/>
                <w:color w:val="000000"/>
                <w:sz w:val="24"/>
                <w:szCs w:val="24"/>
                <w:vertAlign w:val="superscript"/>
                <w:lang w:val="en-US" w:eastAsia="zh-CN"/>
              </w:rPr>
              <w:t>2</w:t>
            </w:r>
            <w:r>
              <w:rPr>
                <w:rFonts w:hint="default" w:ascii="Times New Roman" w:hAnsi="Times New Roman" w:cs="Times New Roman"/>
                <w:b w:val="0"/>
                <w:bCs w:val="0"/>
                <w:color w:val="000000"/>
                <w:spacing w:val="-5"/>
                <w:sz w:val="24"/>
                <w:szCs w:val="24"/>
              </w:rPr>
              <w:t>，堆放高度均按照</w:t>
            </w:r>
            <w:r>
              <w:rPr>
                <w:rFonts w:hint="eastAsia" w:ascii="Times New Roman" w:hAnsi="Times New Roman" w:eastAsia="宋体" w:cs="Times New Roman"/>
                <w:b w:val="0"/>
                <w:bCs w:val="0"/>
                <w:color w:val="000000"/>
                <w:sz w:val="24"/>
                <w:szCs w:val="24"/>
                <w:lang w:val="en-US" w:eastAsia="zh-CN"/>
              </w:rPr>
              <w:t>5</w:t>
            </w:r>
            <w:r>
              <w:rPr>
                <w:rFonts w:hint="default" w:ascii="Times New Roman" w:hAnsi="Times New Roman" w:eastAsia="Times New Roman" w:cs="Times New Roman"/>
                <w:b w:val="0"/>
                <w:bCs w:val="0"/>
                <w:color w:val="000000"/>
                <w:sz w:val="24"/>
                <w:szCs w:val="24"/>
              </w:rPr>
              <w:t>m</w:t>
            </w:r>
            <w:r>
              <w:rPr>
                <w:rFonts w:hint="default" w:ascii="Times New Roman" w:hAnsi="Times New Roman" w:cs="Times New Roman"/>
                <w:b w:val="0"/>
                <w:bCs w:val="0"/>
                <w:color w:val="000000"/>
                <w:spacing w:val="-3"/>
                <w:sz w:val="24"/>
                <w:szCs w:val="24"/>
              </w:rPr>
              <w:t>计算，则加</w:t>
            </w:r>
            <w:r>
              <w:rPr>
                <w:rFonts w:hint="default" w:ascii="Times New Roman" w:hAnsi="Times New Roman" w:cs="Times New Roman"/>
                <w:b w:val="0"/>
                <w:bCs w:val="0"/>
                <w:color w:val="000000"/>
                <w:spacing w:val="2"/>
                <w:sz w:val="24"/>
                <w:szCs w:val="24"/>
              </w:rPr>
              <w:t>工区成品堆场物料量为</w:t>
            </w:r>
            <w:r>
              <w:rPr>
                <w:rFonts w:hint="eastAsia" w:ascii="Times New Roman" w:hAnsi="Times New Roman" w:eastAsia="宋体" w:cs="Times New Roman"/>
                <w:b w:val="0"/>
                <w:bCs w:val="0"/>
                <w:color w:val="000000"/>
                <w:sz w:val="24"/>
                <w:szCs w:val="24"/>
                <w:lang w:val="en-US" w:eastAsia="zh-CN"/>
              </w:rPr>
              <w:t>10</w:t>
            </w:r>
            <w:r>
              <w:rPr>
                <w:rFonts w:hint="default" w:ascii="Times New Roman" w:hAnsi="Times New Roman" w:eastAsia="Times New Roman" w:cs="Times New Roman"/>
                <w:b w:val="0"/>
                <w:bCs w:val="0"/>
                <w:color w:val="000000"/>
                <w:sz w:val="24"/>
                <w:szCs w:val="24"/>
              </w:rPr>
              <w:t>000m</w:t>
            </w:r>
            <w:r>
              <w:rPr>
                <w:rFonts w:hint="default" w:ascii="Times New Roman" w:hAnsi="Times New Roman" w:eastAsia="宋体" w:cs="Times New Roman"/>
                <w:b w:val="0"/>
                <w:bCs w:val="0"/>
                <w:color w:val="000000"/>
                <w:sz w:val="24"/>
                <w:szCs w:val="24"/>
                <w:vertAlign w:val="superscript"/>
                <w:lang w:val="en-US" w:eastAsia="zh-CN"/>
              </w:rPr>
              <w:t>3</w:t>
            </w:r>
            <w:r>
              <w:rPr>
                <w:rFonts w:hint="default" w:ascii="Times New Roman" w:hAnsi="Times New Roman" w:cs="Times New Roman"/>
                <w:b w:val="0"/>
                <w:bCs w:val="0"/>
                <w:color w:val="000000"/>
                <w:spacing w:val="3"/>
                <w:sz w:val="24"/>
                <w:szCs w:val="24"/>
              </w:rPr>
              <w:t>，</w:t>
            </w:r>
            <w:r>
              <w:rPr>
                <w:rFonts w:hint="default" w:ascii="Times New Roman" w:hAnsi="Times New Roman" w:cs="Times New Roman"/>
                <w:b w:val="0"/>
                <w:bCs w:val="0"/>
                <w:color w:val="000000"/>
                <w:spacing w:val="3"/>
                <w:sz w:val="24"/>
                <w:szCs w:val="24"/>
                <w:lang w:eastAsia="zh-CN"/>
              </w:rPr>
              <w:t>砂</w:t>
            </w:r>
            <w:r>
              <w:rPr>
                <w:rFonts w:hint="default" w:ascii="Times New Roman" w:hAnsi="Times New Roman" w:cs="Times New Roman"/>
                <w:b w:val="0"/>
                <w:bCs w:val="0"/>
                <w:color w:val="000000"/>
                <w:spacing w:val="3"/>
                <w:sz w:val="24"/>
                <w:szCs w:val="24"/>
              </w:rPr>
              <w:t>石料的密度为</w:t>
            </w:r>
            <w:r>
              <w:rPr>
                <w:rFonts w:hint="default" w:ascii="Times New Roman" w:hAnsi="Times New Roman" w:eastAsia="Times New Roman" w:cs="Times New Roman"/>
                <w:b w:val="0"/>
                <w:bCs w:val="0"/>
                <w:color w:val="000000"/>
                <w:sz w:val="24"/>
                <w:szCs w:val="24"/>
              </w:rPr>
              <w:t>1.6t/m</w:t>
            </w:r>
            <w:r>
              <w:rPr>
                <w:rFonts w:hint="default" w:ascii="Times New Roman" w:hAnsi="Times New Roman" w:eastAsia="宋体" w:cs="Times New Roman"/>
                <w:b w:val="0"/>
                <w:bCs w:val="0"/>
                <w:color w:val="000000"/>
                <w:sz w:val="24"/>
                <w:szCs w:val="24"/>
                <w:vertAlign w:val="superscript"/>
                <w:lang w:val="en-US" w:eastAsia="zh-CN"/>
              </w:rPr>
              <w:t>3</w:t>
            </w:r>
            <w:r>
              <w:rPr>
                <w:rFonts w:hint="default" w:ascii="Times New Roman" w:hAnsi="Times New Roman" w:cs="Times New Roman"/>
                <w:b w:val="0"/>
                <w:bCs w:val="0"/>
                <w:color w:val="000000"/>
                <w:sz w:val="24"/>
                <w:szCs w:val="24"/>
              </w:rPr>
              <w:t>，则加工区成品堆放量约为</w:t>
            </w:r>
            <w:r>
              <w:rPr>
                <w:rFonts w:hint="eastAsia" w:ascii="Times New Roman" w:hAnsi="Times New Roman" w:eastAsia="宋体" w:cs="Times New Roman"/>
                <w:b w:val="0"/>
                <w:bCs w:val="0"/>
                <w:color w:val="000000"/>
                <w:sz w:val="24"/>
                <w:szCs w:val="24"/>
                <w:lang w:val="en-US" w:eastAsia="zh-CN"/>
              </w:rPr>
              <w:t>1600</w:t>
            </w:r>
            <w:r>
              <w:rPr>
                <w:rFonts w:hint="default" w:ascii="Times New Roman" w:hAnsi="Times New Roman" w:eastAsia="Times New Roman" w:cs="Times New Roman"/>
                <w:b w:val="0"/>
                <w:bCs w:val="0"/>
                <w:color w:val="000000"/>
                <w:sz w:val="24"/>
                <w:szCs w:val="24"/>
              </w:rPr>
              <w:t>00t</w:t>
            </w:r>
            <w:r>
              <w:rPr>
                <w:rFonts w:hint="default" w:ascii="Times New Roman" w:hAnsi="Times New Roman" w:cs="Times New Roman"/>
                <w:b w:val="0"/>
                <w:bCs w:val="0"/>
                <w:color w:val="000000"/>
                <w:spacing w:val="-4"/>
                <w:sz w:val="24"/>
                <w:szCs w:val="24"/>
              </w:rPr>
              <w:t>。通过计算，成品堆场粉尘产生量约为</w:t>
            </w:r>
            <w:r>
              <w:rPr>
                <w:rFonts w:hint="eastAsia" w:ascii="Times New Roman" w:hAnsi="Times New Roman" w:eastAsia="宋体" w:cs="Times New Roman"/>
                <w:b w:val="0"/>
                <w:bCs w:val="0"/>
                <w:color w:val="000000"/>
                <w:sz w:val="24"/>
                <w:szCs w:val="24"/>
                <w:lang w:val="en-US" w:eastAsia="zh-CN"/>
              </w:rPr>
              <w:t>32.02</w:t>
            </w:r>
            <w:r>
              <w:rPr>
                <w:rFonts w:hint="default" w:ascii="Times New Roman" w:hAnsi="Times New Roman" w:eastAsia="Times New Roman" w:cs="Times New Roman"/>
                <w:b w:val="0"/>
                <w:bCs w:val="0"/>
                <w:color w:val="000000"/>
                <w:sz w:val="24"/>
                <w:szCs w:val="24"/>
              </w:rPr>
              <w:t>m</w:t>
            </w:r>
            <w:r>
              <w:rPr>
                <w:rFonts w:hint="default" w:ascii="Times New Roman" w:hAnsi="Times New Roman" w:eastAsia="Times New Roman" w:cs="Times New Roman"/>
                <w:b w:val="0"/>
                <w:bCs w:val="0"/>
                <w:color w:val="000000"/>
                <w:spacing w:val="-2"/>
                <w:sz w:val="24"/>
                <w:szCs w:val="24"/>
              </w:rPr>
              <w:t>g</w:t>
            </w:r>
            <w:r>
              <w:rPr>
                <w:rFonts w:hint="default" w:ascii="Times New Roman" w:hAnsi="Times New Roman" w:eastAsia="Times New Roman" w:cs="Times New Roman"/>
                <w:b w:val="0"/>
                <w:bCs w:val="0"/>
                <w:color w:val="000000"/>
                <w:w w:val="99"/>
                <w:sz w:val="24"/>
                <w:szCs w:val="24"/>
              </w:rPr>
              <w:t>/s</w:t>
            </w:r>
            <w:r>
              <w:rPr>
                <w:rFonts w:hint="default" w:ascii="Times New Roman" w:hAnsi="Times New Roman" w:cs="Times New Roman"/>
                <w:b w:val="0"/>
                <w:bCs w:val="0"/>
                <w:color w:val="000000"/>
                <w:sz w:val="24"/>
                <w:szCs w:val="24"/>
              </w:rPr>
              <w:t>（</w:t>
            </w:r>
            <w:r>
              <w:rPr>
                <w:rFonts w:hint="default" w:ascii="Times New Roman" w:hAnsi="Times New Roman" w:eastAsia="Times New Roman" w:cs="Times New Roman"/>
                <w:b w:val="0"/>
                <w:bCs w:val="0"/>
                <w:color w:val="000000"/>
                <w:sz w:val="24"/>
                <w:szCs w:val="24"/>
              </w:rPr>
              <w:t>0.</w:t>
            </w:r>
            <w:r>
              <w:rPr>
                <w:rFonts w:hint="eastAsia" w:ascii="Times New Roman" w:hAnsi="Times New Roman" w:eastAsia="宋体" w:cs="Times New Roman"/>
                <w:b w:val="0"/>
                <w:bCs w:val="0"/>
                <w:color w:val="000000"/>
                <w:sz w:val="24"/>
                <w:szCs w:val="24"/>
                <w:lang w:val="en-US" w:eastAsia="zh-CN"/>
              </w:rPr>
              <w:t>83</w:t>
            </w:r>
            <w:r>
              <w:rPr>
                <w:rFonts w:hint="default" w:ascii="Times New Roman" w:hAnsi="Times New Roman" w:eastAsia="Times New Roman" w:cs="Times New Roman"/>
                <w:b w:val="0"/>
                <w:bCs w:val="0"/>
                <w:color w:val="000000"/>
                <w:sz w:val="24"/>
                <w:szCs w:val="24"/>
              </w:rPr>
              <w:t>t/</w:t>
            </w:r>
            <w:r>
              <w:rPr>
                <w:rFonts w:hint="default" w:ascii="Times New Roman" w:hAnsi="Times New Roman" w:eastAsia="Times New Roman" w:cs="Times New Roman"/>
                <w:b w:val="0"/>
                <w:bCs w:val="0"/>
                <w:color w:val="000000"/>
                <w:spacing w:val="-1"/>
                <w:sz w:val="24"/>
                <w:szCs w:val="24"/>
              </w:rPr>
              <w:t>a</w:t>
            </w:r>
            <w:r>
              <w:rPr>
                <w:rFonts w:hint="default" w:ascii="Times New Roman" w:hAnsi="Times New Roman" w:cs="Times New Roman"/>
                <w:b w:val="0"/>
                <w:bCs w:val="0"/>
                <w:color w:val="000000"/>
                <w:spacing w:val="-6"/>
                <w:sz w:val="24"/>
                <w:szCs w:val="24"/>
                <w:lang w:eastAsia="zh-CN"/>
              </w:rPr>
              <w:t>）。</w:t>
            </w:r>
          </w:p>
          <w:p>
            <w:pPr>
              <w:pStyle w:val="12"/>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firstLine="468" w:firstLineChars="200"/>
              <w:jc w:val="both"/>
              <w:textAlignment w:val="auto"/>
              <w:rPr>
                <w:rFonts w:hint="default" w:ascii="Times New Roman" w:hAnsi="Times New Roman" w:cs="Times New Roman"/>
                <w:b w:val="0"/>
                <w:bCs w:val="0"/>
                <w:color w:val="000000"/>
                <w:sz w:val="24"/>
                <w:lang w:val="en-US" w:eastAsia="zh-CN"/>
              </w:rPr>
            </w:pPr>
            <w:r>
              <w:rPr>
                <w:rFonts w:hint="default" w:ascii="Times New Roman" w:hAnsi="Times New Roman" w:eastAsia="宋体" w:cs="Times New Roman"/>
                <w:b w:val="0"/>
                <w:bCs w:val="0"/>
                <w:color w:val="000000"/>
                <w:spacing w:val="-3"/>
                <w:kern w:val="2"/>
                <w:sz w:val="24"/>
                <w:szCs w:val="24"/>
                <w:lang w:val="en-US" w:eastAsia="zh-CN" w:bidi="ar-SA"/>
              </w:rPr>
              <w:t>本项目成品堆场</w:t>
            </w:r>
            <w:r>
              <w:rPr>
                <w:rFonts w:hint="eastAsia" w:ascii="Times New Roman" w:hAnsi="Times New Roman" w:cs="Times New Roman"/>
                <w:color w:val="000000"/>
                <w:sz w:val="24"/>
                <w:szCs w:val="24"/>
                <w:lang w:eastAsia="zh-CN"/>
              </w:rPr>
              <w:t>地面硬化</w:t>
            </w:r>
            <w:r>
              <w:rPr>
                <w:rFonts w:hint="eastAsia" w:ascii="Times New Roman" w:hAnsi="Times New Roman" w:cs="Times New Roman"/>
                <w:color w:val="000000"/>
                <w:sz w:val="24"/>
                <w:szCs w:val="24"/>
                <w:lang w:val="en-US" w:eastAsia="zh-CN"/>
              </w:rPr>
              <w:t>+三面围挡，</w:t>
            </w:r>
            <w:r>
              <w:rPr>
                <w:rFonts w:hint="eastAsia" w:ascii="Times New Roman" w:hAnsi="Times New Roman" w:cs="Times New Roman"/>
                <w:color w:val="000000"/>
                <w:sz w:val="24"/>
                <w:szCs w:val="24"/>
                <w:lang w:eastAsia="zh-CN"/>
              </w:rPr>
              <w:t>并进行篷布遮盖，</w:t>
            </w:r>
            <w:r>
              <w:rPr>
                <w:rFonts w:hint="default" w:ascii="Times New Roman" w:hAnsi="Times New Roman" w:cs="Times New Roman"/>
                <w:color w:val="000000"/>
                <w:sz w:val="24"/>
                <w:szCs w:val="24"/>
              </w:rPr>
              <w:t>定期对原料进行洒水降尘，</w:t>
            </w:r>
            <w:r>
              <w:rPr>
                <w:rFonts w:hint="default" w:ascii="Times New Roman" w:hAnsi="Times New Roman" w:eastAsia="宋体" w:cs="Times New Roman"/>
                <w:b w:val="0"/>
                <w:bCs w:val="0"/>
                <w:color w:val="000000"/>
                <w:spacing w:val="-3"/>
                <w:kern w:val="2"/>
                <w:sz w:val="24"/>
                <w:szCs w:val="24"/>
                <w:lang w:val="en-US" w:eastAsia="zh-CN" w:bidi="ar-SA"/>
              </w:rPr>
              <w:t>通过采取封闭措施后，成品堆场粉尘产生量可减少90%左右，则通过采取</w:t>
            </w:r>
            <w:r>
              <w:rPr>
                <w:rFonts w:hint="eastAsia" w:ascii="Times New Roman" w:hAnsi="Times New Roman" w:eastAsia="宋体" w:cs="Times New Roman"/>
                <w:b w:val="0"/>
                <w:bCs w:val="0"/>
                <w:color w:val="000000"/>
                <w:spacing w:val="-3"/>
                <w:kern w:val="2"/>
                <w:sz w:val="24"/>
                <w:szCs w:val="24"/>
                <w:lang w:val="en-US" w:eastAsia="zh-CN" w:bidi="ar-SA"/>
              </w:rPr>
              <w:t>上述措施</w:t>
            </w:r>
            <w:r>
              <w:rPr>
                <w:rFonts w:hint="default" w:ascii="Times New Roman" w:hAnsi="Times New Roman" w:eastAsia="宋体" w:cs="Times New Roman"/>
                <w:b w:val="0"/>
                <w:bCs w:val="0"/>
                <w:color w:val="000000"/>
                <w:spacing w:val="-3"/>
                <w:kern w:val="2"/>
                <w:sz w:val="24"/>
                <w:szCs w:val="24"/>
                <w:lang w:val="en-US" w:eastAsia="zh-CN" w:bidi="ar-SA"/>
              </w:rPr>
              <w:t>后成品</w:t>
            </w:r>
            <w:r>
              <w:rPr>
                <w:rFonts w:hint="default" w:ascii="Times New Roman" w:hAnsi="Times New Roman" w:cs="Times New Roman"/>
                <w:b w:val="0"/>
                <w:bCs w:val="0"/>
                <w:color w:val="000000"/>
                <w:spacing w:val="-6"/>
                <w:sz w:val="24"/>
                <w:szCs w:val="24"/>
              </w:rPr>
              <w:t>堆场粉尘排放量约</w:t>
            </w:r>
            <w:r>
              <w:rPr>
                <w:rFonts w:hint="default" w:ascii="Times New Roman" w:hAnsi="Times New Roman" w:cs="Times New Roman"/>
                <w:b w:val="0"/>
                <w:bCs w:val="0"/>
                <w:color w:val="000000"/>
                <w:spacing w:val="-3"/>
                <w:sz w:val="24"/>
                <w:szCs w:val="24"/>
              </w:rPr>
              <w:t>为</w:t>
            </w:r>
            <w:r>
              <w:rPr>
                <w:rFonts w:hint="eastAsia" w:ascii="Times New Roman" w:hAnsi="Times New Roman" w:eastAsia="宋体" w:cs="Times New Roman"/>
                <w:b w:val="0"/>
                <w:bCs w:val="0"/>
                <w:color w:val="000000"/>
                <w:sz w:val="24"/>
                <w:szCs w:val="24"/>
                <w:lang w:val="en-US" w:eastAsia="zh-CN"/>
              </w:rPr>
              <w:t>3.2</w:t>
            </w:r>
            <w:r>
              <w:rPr>
                <w:rFonts w:hint="default" w:ascii="Times New Roman" w:hAnsi="Times New Roman" w:eastAsia="Times New Roman" w:cs="Times New Roman"/>
                <w:b w:val="0"/>
                <w:bCs w:val="0"/>
                <w:color w:val="000000"/>
                <w:sz w:val="24"/>
                <w:szCs w:val="24"/>
              </w:rPr>
              <w:t>m</w:t>
            </w:r>
            <w:r>
              <w:rPr>
                <w:rFonts w:hint="default" w:ascii="Times New Roman" w:hAnsi="Times New Roman" w:eastAsia="Times New Roman" w:cs="Times New Roman"/>
                <w:b w:val="0"/>
                <w:bCs w:val="0"/>
                <w:color w:val="000000"/>
                <w:spacing w:val="-2"/>
                <w:sz w:val="24"/>
                <w:szCs w:val="24"/>
              </w:rPr>
              <w:t>g</w:t>
            </w:r>
            <w:r>
              <w:rPr>
                <w:rFonts w:hint="default" w:ascii="Times New Roman" w:hAnsi="Times New Roman" w:eastAsia="Times New Roman" w:cs="Times New Roman"/>
                <w:b w:val="0"/>
                <w:bCs w:val="0"/>
                <w:color w:val="000000"/>
                <w:w w:val="99"/>
                <w:sz w:val="24"/>
                <w:szCs w:val="24"/>
              </w:rPr>
              <w:t>/</w:t>
            </w:r>
            <w:r>
              <w:rPr>
                <w:rFonts w:hint="default" w:ascii="Times New Roman" w:hAnsi="Times New Roman" w:eastAsia="Times New Roman" w:cs="Times New Roman"/>
                <w:b w:val="0"/>
                <w:bCs w:val="0"/>
                <w:color w:val="000000"/>
                <w:spacing w:val="1"/>
                <w:w w:val="99"/>
                <w:sz w:val="24"/>
                <w:szCs w:val="24"/>
              </w:rPr>
              <w:t>s</w:t>
            </w:r>
            <w:r>
              <w:rPr>
                <w:rFonts w:hint="default" w:ascii="Times New Roman" w:hAnsi="Times New Roman" w:cs="Times New Roman"/>
                <w:b w:val="0"/>
                <w:bCs w:val="0"/>
                <w:color w:val="000000"/>
                <w:sz w:val="24"/>
                <w:szCs w:val="24"/>
              </w:rPr>
              <w:t>（</w:t>
            </w:r>
            <w:r>
              <w:rPr>
                <w:rFonts w:hint="default" w:ascii="Times New Roman" w:hAnsi="Times New Roman" w:eastAsia="Times New Roman" w:cs="Times New Roman"/>
                <w:b w:val="0"/>
                <w:bCs w:val="0"/>
                <w:color w:val="000000"/>
                <w:sz w:val="24"/>
                <w:szCs w:val="24"/>
              </w:rPr>
              <w:t>0</w:t>
            </w:r>
            <w:r>
              <w:rPr>
                <w:rFonts w:hint="default" w:ascii="Times New Roman" w:hAnsi="Times New Roman" w:eastAsia="Times New Roman" w:cs="Times New Roman"/>
                <w:b w:val="0"/>
                <w:bCs w:val="0"/>
                <w:color w:val="000000"/>
                <w:spacing w:val="2"/>
                <w:sz w:val="24"/>
                <w:szCs w:val="24"/>
              </w:rPr>
              <w:t>.</w:t>
            </w:r>
            <w:r>
              <w:rPr>
                <w:rFonts w:hint="default" w:ascii="Times New Roman" w:hAnsi="Times New Roman" w:eastAsia="Times New Roman" w:cs="Times New Roman"/>
                <w:b w:val="0"/>
                <w:bCs w:val="0"/>
                <w:color w:val="000000"/>
                <w:sz w:val="24"/>
                <w:szCs w:val="24"/>
              </w:rPr>
              <w:t>0</w:t>
            </w:r>
            <w:r>
              <w:rPr>
                <w:rFonts w:hint="eastAsia" w:ascii="Times New Roman" w:hAnsi="Times New Roman" w:eastAsia="宋体" w:cs="Times New Roman"/>
                <w:b w:val="0"/>
                <w:bCs w:val="0"/>
                <w:color w:val="000000"/>
                <w:sz w:val="24"/>
                <w:szCs w:val="24"/>
                <w:lang w:val="en-US" w:eastAsia="zh-CN"/>
              </w:rPr>
              <w:t>83</w:t>
            </w:r>
            <w:r>
              <w:rPr>
                <w:rFonts w:hint="default" w:ascii="Times New Roman" w:hAnsi="Times New Roman" w:eastAsia="Times New Roman" w:cs="Times New Roman"/>
                <w:b w:val="0"/>
                <w:bCs w:val="0"/>
                <w:color w:val="000000"/>
                <w:sz w:val="24"/>
                <w:szCs w:val="24"/>
              </w:rPr>
              <w:t>t/</w:t>
            </w:r>
            <w:r>
              <w:rPr>
                <w:rFonts w:hint="default" w:ascii="Times New Roman" w:hAnsi="Times New Roman" w:eastAsia="Times New Roman" w:cs="Times New Roman"/>
                <w:b w:val="0"/>
                <w:bCs w:val="0"/>
                <w:color w:val="000000"/>
                <w:spacing w:val="-1"/>
                <w:sz w:val="24"/>
                <w:szCs w:val="24"/>
              </w:rPr>
              <w:t>a</w:t>
            </w:r>
            <w:r>
              <w:rPr>
                <w:rFonts w:hint="default" w:ascii="Times New Roman" w:hAnsi="Times New Roman" w:cs="Times New Roman"/>
                <w:b w:val="0"/>
                <w:bCs w:val="0"/>
                <w:color w:val="000000"/>
                <w:sz w:val="24"/>
                <w:szCs w:val="24"/>
                <w:lang w:eastAsia="zh-CN"/>
              </w:rPr>
              <w:t>）。</w:t>
            </w:r>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eastAsia="zh-CN"/>
              </w:rPr>
              <w:t>③</w:t>
            </w:r>
            <w:r>
              <w:rPr>
                <w:rFonts w:hint="default" w:ascii="Times New Roman" w:hAnsi="Times New Roman" w:eastAsia="宋体" w:cs="Times New Roman"/>
                <w:color w:val="auto"/>
                <w:sz w:val="24"/>
                <w:szCs w:val="24"/>
                <w:highlight w:val="none"/>
              </w:rPr>
              <w:t>筛分粉尘</w:t>
            </w:r>
            <w:r>
              <w:rPr>
                <w:rFonts w:hint="eastAsia"/>
                <w:b w:val="0"/>
                <w:bCs/>
                <w:sz w:val="24"/>
              </w:rPr>
              <w:t>（G</w:t>
            </w:r>
            <w:r>
              <w:rPr>
                <w:rFonts w:hint="eastAsia"/>
                <w:b w:val="0"/>
                <w:bCs/>
                <w:sz w:val="24"/>
                <w:lang w:val="en-US" w:eastAsia="zh-CN"/>
              </w:rPr>
              <w:t>7</w:t>
            </w:r>
            <w:r>
              <w:rPr>
                <w:rFonts w:hint="eastAsia"/>
                <w:b w:val="0"/>
                <w:bCs/>
                <w:sz w:val="24"/>
              </w:rPr>
              <w:t>）</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本项目砂石</w:t>
            </w:r>
            <w:r>
              <w:rPr>
                <w:rFonts w:hint="eastAsia" w:ascii="Times New Roman" w:hAnsi="Times New Roman" w:cs="Times New Roman"/>
                <w:color w:val="auto"/>
                <w:sz w:val="24"/>
                <w:szCs w:val="24"/>
                <w:highlight w:val="none"/>
                <w:lang w:eastAsia="zh-CN"/>
              </w:rPr>
              <w:t>筛分</w:t>
            </w:r>
            <w:r>
              <w:rPr>
                <w:rFonts w:hint="default" w:ascii="Times New Roman" w:hAnsi="Times New Roman" w:cs="Times New Roman"/>
                <w:color w:val="auto"/>
                <w:sz w:val="24"/>
                <w:szCs w:val="24"/>
                <w:highlight w:val="none"/>
              </w:rPr>
              <w:t>过程中会产生少量粉尘，根据《逸散性工业粉尘控制技术》中粒料加工厂的“逸散尘排放因子”，砂石（筛选）的起尘量为0.05kg/t，本项目加工区加工砂石量为</w:t>
            </w:r>
            <w:r>
              <w:rPr>
                <w:rFonts w:hint="eastAsia" w:ascii="Times New Roman" w:hAnsi="Times New Roman" w:cs="Times New Roman"/>
                <w:color w:val="auto"/>
                <w:sz w:val="24"/>
                <w:szCs w:val="24"/>
                <w:highlight w:val="none"/>
                <w:lang w:val="en-US" w:eastAsia="zh-CN"/>
              </w:rPr>
              <w:t>128</w:t>
            </w:r>
            <w:r>
              <w:rPr>
                <w:rFonts w:hint="default" w:ascii="Times New Roman" w:hAnsi="Times New Roman" w:cs="Times New Roman"/>
                <w:color w:val="auto"/>
                <w:sz w:val="24"/>
                <w:szCs w:val="24"/>
                <w:highlight w:val="none"/>
              </w:rPr>
              <w:t>万吨/年，则本项目加工区产生的粉尘约</w:t>
            </w:r>
            <w:r>
              <w:rPr>
                <w:rFonts w:hint="eastAsia" w:cs="Times New Roman"/>
                <w:color w:val="auto"/>
                <w:sz w:val="24"/>
                <w:szCs w:val="24"/>
                <w:highlight w:val="none"/>
                <w:lang w:val="en-US" w:eastAsia="zh-CN"/>
              </w:rPr>
              <w:t>6.4t</w:t>
            </w:r>
            <w:r>
              <w:rPr>
                <w:rFonts w:hint="default" w:ascii="Times New Roman" w:hAnsi="Times New Roman" w:cs="Times New Roman"/>
                <w:color w:val="auto"/>
                <w:sz w:val="24"/>
                <w:szCs w:val="24"/>
                <w:highlight w:val="none"/>
              </w:rPr>
              <w:t>/a。本项目采取筛分机上方设冲水管，可使降尘率达90%，</w:t>
            </w:r>
            <w:r>
              <w:rPr>
                <w:rFonts w:hint="eastAsia" w:cs="Times New Roman"/>
                <w:color w:val="auto"/>
                <w:sz w:val="24"/>
                <w:szCs w:val="24"/>
                <w:highlight w:val="none"/>
                <w:lang w:eastAsia="zh-CN"/>
              </w:rPr>
              <w:t>设置全封闭车间，车间进行喷雾除尘，其效率达</w:t>
            </w:r>
            <w:r>
              <w:rPr>
                <w:rFonts w:hint="eastAsia" w:cs="Times New Roman"/>
                <w:color w:val="auto"/>
                <w:sz w:val="24"/>
                <w:szCs w:val="24"/>
                <w:highlight w:val="none"/>
                <w:lang w:val="en-US" w:eastAsia="zh-CN"/>
              </w:rPr>
              <w:t>50%，</w:t>
            </w:r>
            <w:r>
              <w:rPr>
                <w:rFonts w:hint="default" w:ascii="Times New Roman" w:hAnsi="Times New Roman" w:cs="Times New Roman"/>
                <w:color w:val="auto"/>
                <w:sz w:val="24"/>
                <w:szCs w:val="24"/>
                <w:highlight w:val="none"/>
              </w:rPr>
              <w:t>则粉尘排放量约为</w:t>
            </w:r>
            <w:r>
              <w:rPr>
                <w:rFonts w:hint="eastAsia" w:ascii="Times New Roman" w:hAnsi="Times New Roman" w:cs="Times New Roman"/>
                <w:color w:val="auto"/>
                <w:sz w:val="24"/>
                <w:szCs w:val="24"/>
                <w:highlight w:val="none"/>
                <w:lang w:val="en-US" w:eastAsia="zh-CN"/>
              </w:rPr>
              <w:t>0.</w:t>
            </w:r>
            <w:r>
              <w:rPr>
                <w:rFonts w:hint="eastAsia" w:cs="Times New Roman"/>
                <w:color w:val="auto"/>
                <w:sz w:val="24"/>
                <w:szCs w:val="24"/>
                <w:highlight w:val="none"/>
                <w:lang w:val="en-US" w:eastAsia="zh-CN"/>
              </w:rPr>
              <w:t>32</w:t>
            </w:r>
            <w:r>
              <w:rPr>
                <w:rFonts w:hint="eastAsia" w:ascii="Times New Roman" w:hAnsi="Times New Roman" w:cs="Times New Roman"/>
                <w:color w:val="auto"/>
                <w:sz w:val="24"/>
                <w:szCs w:val="24"/>
                <w:highlight w:val="none"/>
                <w:lang w:val="en-US" w:eastAsia="zh-CN"/>
              </w:rPr>
              <w:t>t</w:t>
            </w:r>
            <w:r>
              <w:rPr>
                <w:rFonts w:hint="default" w:ascii="Times New Roman" w:hAnsi="Times New Roman" w:cs="Times New Roman"/>
                <w:color w:val="auto"/>
                <w:sz w:val="24"/>
                <w:szCs w:val="24"/>
                <w:highlight w:val="none"/>
              </w:rPr>
              <w:t>/a。</w:t>
            </w:r>
          </w:p>
          <w:p>
            <w:pPr>
              <w:pStyle w:val="5"/>
              <w:pageBreakBefore w:val="0"/>
              <w:widowControl w:val="0"/>
              <w:kinsoku/>
              <w:wordWrap/>
              <w:overflowPunct/>
              <w:topLinePunct w:val="0"/>
              <w:autoSpaceDE/>
              <w:autoSpaceDN/>
              <w:bidi w:val="0"/>
              <w:snapToGrid w:val="0"/>
              <w:spacing w:before="0" w:after="0" w:line="360" w:lineRule="auto"/>
              <w:ind w:firstLine="482" w:firstLineChars="200"/>
              <w:textAlignment w:val="auto"/>
              <w:rPr>
                <w:rFonts w:hint="eastAsia" w:ascii="Times New Roman" w:hAnsi="Times New Roman" w:eastAsia="宋体" w:cs="Times New Roman"/>
                <w:color w:val="auto"/>
                <w:sz w:val="24"/>
                <w:szCs w:val="24"/>
                <w:highlight w:val="none"/>
                <w:lang w:eastAsia="zh-CN"/>
              </w:rPr>
            </w:pPr>
            <w:r>
              <w:rPr>
                <w:rFonts w:hint="eastAsia" w:ascii="Times New Roman" w:hAnsi="Times New Roman" w:cs="Times New Roman"/>
                <w:color w:val="auto"/>
                <w:sz w:val="24"/>
                <w:szCs w:val="24"/>
                <w:highlight w:val="none"/>
                <w:lang w:eastAsia="zh-CN"/>
              </w:rPr>
              <w:t>④</w:t>
            </w:r>
            <w:r>
              <w:rPr>
                <w:rFonts w:hint="default" w:ascii="Times New Roman" w:hAnsi="Times New Roman" w:eastAsia="宋体" w:cs="Times New Roman"/>
                <w:color w:val="auto"/>
                <w:sz w:val="24"/>
                <w:szCs w:val="24"/>
                <w:highlight w:val="none"/>
                <w:lang w:eastAsia="zh-CN"/>
              </w:rPr>
              <w:t>破碎粉尘</w:t>
            </w:r>
            <w:r>
              <w:rPr>
                <w:rFonts w:hint="eastAsia"/>
                <w:b w:val="0"/>
                <w:bCs/>
                <w:sz w:val="24"/>
              </w:rPr>
              <w:t>（G</w:t>
            </w:r>
            <w:r>
              <w:rPr>
                <w:rFonts w:hint="eastAsia"/>
                <w:b w:val="0"/>
                <w:bCs/>
                <w:sz w:val="24"/>
                <w:lang w:val="en-US" w:eastAsia="zh-CN"/>
              </w:rPr>
              <w:t>8</w:t>
            </w:r>
            <w:r>
              <w:rPr>
                <w:rFonts w:hint="eastAsia"/>
                <w:b w:val="0"/>
                <w:bCs/>
                <w:sz w:val="24"/>
              </w:rPr>
              <w:t>）</w:t>
            </w:r>
            <w:r>
              <w:rPr>
                <w:rFonts w:hint="eastAsia"/>
                <w:b w:val="0"/>
                <w:bCs/>
                <w:sz w:val="24"/>
                <w:lang w:eastAsia="zh-CN"/>
              </w:rPr>
              <w:t>、</w:t>
            </w:r>
            <w:r>
              <w:rPr>
                <w:rFonts w:hint="eastAsia"/>
                <w:b/>
                <w:bCs w:val="0"/>
                <w:sz w:val="24"/>
                <w:lang w:eastAsia="zh-CN"/>
              </w:rPr>
              <w:t>制砂粉尘</w:t>
            </w:r>
            <w:r>
              <w:rPr>
                <w:rFonts w:hint="eastAsia"/>
                <w:b w:val="0"/>
                <w:bCs/>
                <w:sz w:val="24"/>
              </w:rPr>
              <w:t>（G</w:t>
            </w:r>
            <w:r>
              <w:rPr>
                <w:rFonts w:hint="eastAsia"/>
                <w:b w:val="0"/>
                <w:bCs/>
                <w:sz w:val="24"/>
                <w:lang w:val="en-US" w:eastAsia="zh-CN"/>
              </w:rPr>
              <w:t>9</w:t>
            </w:r>
            <w:r>
              <w:rPr>
                <w:rFonts w:hint="eastAsia"/>
                <w:b w:val="0"/>
                <w:bCs/>
                <w:sz w:val="24"/>
              </w:rPr>
              <w:t>）</w:t>
            </w:r>
          </w:p>
          <w:p>
            <w:pPr>
              <w:pStyle w:val="2"/>
              <w:spacing w:line="360" w:lineRule="auto"/>
              <w:ind w:firstLine="480" w:firstLineChars="200"/>
              <w:rPr>
                <w:rFonts w:hint="default" w:ascii="Times New Roman" w:hAnsi="Times New Roman" w:cs="Times New Roman"/>
                <w:color w:val="auto"/>
                <w:sz w:val="24"/>
                <w:szCs w:val="24"/>
                <w:highlight w:val="none"/>
              </w:rPr>
            </w:pPr>
            <w:r>
              <w:rPr>
                <w:rFonts w:ascii="宋体" w:hAnsi="宋体" w:eastAsia="宋体" w:cs="宋体"/>
                <w:color w:val="auto"/>
                <w:sz w:val="24"/>
                <w:szCs w:val="24"/>
                <w:highlight w:val="none"/>
              </w:rPr>
              <w:t>本项目砂石料生产线破碎的矿石主要为粒径较大的石料。通过调查分析，砂石料加工量约占砂石料总量的</w:t>
            </w:r>
            <w:r>
              <w:rPr>
                <w:rFonts w:hint="eastAsia" w:cs="宋体"/>
                <w:color w:val="auto"/>
                <w:sz w:val="24"/>
                <w:szCs w:val="24"/>
                <w:highlight w:val="none"/>
                <w:lang w:val="en-US" w:eastAsia="zh-CN"/>
              </w:rPr>
              <w:t>30</w:t>
            </w:r>
            <w:r>
              <w:rPr>
                <w:rFonts w:ascii="宋体" w:hAnsi="宋体" w:eastAsia="宋体" w:cs="宋体"/>
                <w:color w:val="auto"/>
                <w:sz w:val="24"/>
                <w:szCs w:val="24"/>
                <w:highlight w:val="none"/>
              </w:rPr>
              <w:t>%，则加工量为</w:t>
            </w:r>
            <w:r>
              <w:rPr>
                <w:rFonts w:hint="eastAsia" w:cs="宋体"/>
                <w:color w:val="auto"/>
                <w:sz w:val="24"/>
                <w:szCs w:val="24"/>
                <w:highlight w:val="none"/>
                <w:lang w:val="en-US" w:eastAsia="zh-CN"/>
              </w:rPr>
              <w:t>24</w:t>
            </w:r>
            <w:r>
              <w:rPr>
                <w:rFonts w:ascii="宋体" w:hAnsi="宋体" w:eastAsia="宋体" w:cs="宋体"/>
                <w:color w:val="auto"/>
                <w:sz w:val="24"/>
                <w:szCs w:val="24"/>
                <w:highlight w:val="none"/>
              </w:rPr>
              <w:t>万m</w:t>
            </w:r>
            <w:r>
              <w:rPr>
                <w:rFonts w:ascii="宋体" w:hAnsi="宋体" w:eastAsia="宋体" w:cs="宋体"/>
                <w:color w:val="auto"/>
                <w:sz w:val="24"/>
                <w:szCs w:val="24"/>
                <w:highlight w:val="none"/>
                <w:vertAlign w:val="superscript"/>
              </w:rPr>
              <w:t>3</w:t>
            </w:r>
            <w:r>
              <w:rPr>
                <w:rFonts w:ascii="宋体" w:hAnsi="宋体" w:eastAsia="宋体" w:cs="宋体"/>
                <w:color w:val="auto"/>
                <w:sz w:val="24"/>
                <w:szCs w:val="24"/>
                <w:highlight w:val="none"/>
              </w:rPr>
              <w:t>/a（</w:t>
            </w:r>
            <w:r>
              <w:rPr>
                <w:rFonts w:hint="eastAsia" w:cs="宋体"/>
                <w:color w:val="auto"/>
                <w:sz w:val="24"/>
                <w:szCs w:val="24"/>
                <w:highlight w:val="none"/>
                <w:lang w:val="en-US" w:eastAsia="zh-CN"/>
              </w:rPr>
              <w:t>38.4</w:t>
            </w:r>
            <w:r>
              <w:rPr>
                <w:rFonts w:ascii="宋体" w:hAnsi="宋体" w:eastAsia="宋体" w:cs="宋体"/>
                <w:color w:val="auto"/>
                <w:sz w:val="24"/>
                <w:szCs w:val="24"/>
                <w:highlight w:val="none"/>
              </w:rPr>
              <w:t>万t/a），由输送皮带送至破碎机进行破碎，在破碎过程中会产生一定量的粉尘。参照《逸散性工业粉尘控制技术》（中国环境科学出版社）中粒料加工逸尘排放因子，同时结合本项目实际，本项目取《逸散性工业粉尘控制技术》中表18-1粒料加工厂逸散尘的排放因子中破碎筛分产尘量按0.25kg/t计，则无任何除尘措施的情况下破碎工序产尘量为</w:t>
            </w:r>
            <w:r>
              <w:rPr>
                <w:rFonts w:hint="eastAsia" w:cs="宋体"/>
                <w:color w:val="auto"/>
                <w:sz w:val="24"/>
                <w:szCs w:val="24"/>
                <w:highlight w:val="none"/>
                <w:lang w:val="en-US" w:eastAsia="zh-CN"/>
              </w:rPr>
              <w:t>96</w:t>
            </w:r>
            <w:r>
              <w:rPr>
                <w:rFonts w:ascii="宋体" w:hAnsi="宋体" w:eastAsia="宋体" w:cs="宋体"/>
                <w:color w:val="auto"/>
                <w:sz w:val="24"/>
                <w:szCs w:val="24"/>
                <w:highlight w:val="none"/>
              </w:rPr>
              <w:t>.0t/a</w:t>
            </w:r>
            <w:r>
              <w:rPr>
                <w:rFonts w:hint="eastAsia" w:hAnsi="宋体" w:cs="宋体"/>
                <w:color w:val="auto"/>
                <w:sz w:val="24"/>
                <w:szCs w:val="24"/>
                <w:highlight w:val="none"/>
                <w:lang w:eastAsia="zh-CN"/>
              </w:rPr>
              <w:t>。</w:t>
            </w:r>
            <w:r>
              <w:rPr>
                <w:rFonts w:hint="default" w:ascii="Times New Roman" w:hAnsi="Times New Roman" w:cs="Times New Roman"/>
                <w:color w:val="auto"/>
                <w:sz w:val="24"/>
                <w:szCs w:val="24"/>
                <w:highlight w:val="none"/>
              </w:rPr>
              <w:t>本项目环评要求</w:t>
            </w:r>
            <w:r>
              <w:rPr>
                <w:rFonts w:hint="eastAsia" w:ascii="Times New Roman" w:hAnsi="Times New Roman" w:cs="Times New Roman"/>
                <w:color w:val="auto"/>
                <w:sz w:val="24"/>
                <w:szCs w:val="24"/>
                <w:highlight w:val="none"/>
                <w:lang w:eastAsia="zh-CN"/>
              </w:rPr>
              <w:t>在破碎机</w:t>
            </w:r>
            <w:r>
              <w:rPr>
                <w:rFonts w:hint="default" w:ascii="Times New Roman" w:hAnsi="Times New Roman" w:eastAsia="宋体" w:cs="Times New Roman"/>
                <w:color w:val="auto"/>
                <w:sz w:val="24"/>
                <w:szCs w:val="24"/>
                <w:highlight w:val="none"/>
                <w:lang w:eastAsia="zh-CN"/>
              </w:rPr>
              <w:t>安装喷淋装置</w:t>
            </w:r>
            <w:r>
              <w:rPr>
                <w:rFonts w:hint="eastAsia" w:ascii="Times New Roman" w:hAnsi="Times New Roman" w:cs="Times New Roman"/>
                <w:color w:val="auto"/>
                <w:sz w:val="24"/>
                <w:szCs w:val="24"/>
                <w:highlight w:val="none"/>
                <w:lang w:eastAsia="zh-CN"/>
              </w:rPr>
              <w:t>，其</w:t>
            </w:r>
            <w:r>
              <w:rPr>
                <w:rFonts w:hint="default" w:ascii="Times New Roman" w:hAnsi="Times New Roman" w:cs="Times New Roman"/>
                <w:color w:val="auto"/>
                <w:sz w:val="24"/>
                <w:szCs w:val="24"/>
                <w:highlight w:val="none"/>
              </w:rPr>
              <w:t>除尘效率为90%</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eastAsia="zh-CN"/>
              </w:rPr>
              <w:t>设置全封闭车间，车间进行喷雾除尘，其效率达</w:t>
            </w:r>
            <w:r>
              <w:rPr>
                <w:rFonts w:hint="eastAsia" w:cs="Times New Roman"/>
                <w:color w:val="auto"/>
                <w:sz w:val="24"/>
                <w:szCs w:val="24"/>
                <w:highlight w:val="none"/>
                <w:lang w:val="en-US" w:eastAsia="zh-CN"/>
              </w:rPr>
              <w:t>50%，</w:t>
            </w:r>
            <w:r>
              <w:rPr>
                <w:rFonts w:hint="default" w:ascii="Times New Roman" w:hAnsi="Times New Roman" w:cs="Times New Roman"/>
                <w:color w:val="auto"/>
                <w:sz w:val="24"/>
                <w:szCs w:val="24"/>
                <w:highlight w:val="none"/>
              </w:rPr>
              <w:t>则粉尘排放量约为</w:t>
            </w:r>
            <w:r>
              <w:rPr>
                <w:rFonts w:hint="eastAsia" w:cs="Times New Roman"/>
                <w:color w:val="auto"/>
                <w:sz w:val="24"/>
                <w:szCs w:val="24"/>
                <w:highlight w:val="none"/>
                <w:lang w:val="en-US" w:eastAsia="zh-CN"/>
              </w:rPr>
              <w:t>4.8</w:t>
            </w:r>
            <w:r>
              <w:rPr>
                <w:rFonts w:hint="eastAsia" w:ascii="Times New Roman" w:hAnsi="Times New Roman" w:cs="Times New Roman"/>
                <w:color w:val="auto"/>
                <w:sz w:val="24"/>
                <w:szCs w:val="24"/>
                <w:highlight w:val="none"/>
                <w:lang w:val="en-US" w:eastAsia="zh-CN"/>
              </w:rPr>
              <w:t>t</w:t>
            </w:r>
            <w:r>
              <w:rPr>
                <w:rFonts w:hint="default" w:ascii="Times New Roman" w:hAnsi="Times New Roman" w:cs="Times New Roman"/>
                <w:color w:val="auto"/>
                <w:sz w:val="24"/>
                <w:szCs w:val="24"/>
                <w:highlight w:val="none"/>
              </w:rPr>
              <w:t>/a。</w:t>
            </w:r>
          </w:p>
          <w:p>
            <w:pPr>
              <w:pStyle w:val="2"/>
              <w:spacing w:line="360" w:lineRule="auto"/>
              <w:ind w:firstLine="480" w:firstLineChars="200"/>
              <w:rPr>
                <w:rFonts w:hint="default" w:ascii="Times New Roman" w:hAnsi="Times New Roman" w:cs="Times New Roman"/>
                <w:color w:val="auto"/>
                <w:sz w:val="24"/>
                <w:szCs w:val="24"/>
                <w:highlight w:val="none"/>
              </w:rPr>
            </w:pPr>
            <w:r>
              <w:rPr>
                <w:rFonts w:ascii="宋体" w:hAnsi="宋体" w:eastAsia="宋体" w:cs="宋体"/>
                <w:color w:val="auto"/>
                <w:sz w:val="24"/>
                <w:szCs w:val="24"/>
                <w:highlight w:val="none"/>
              </w:rPr>
              <w:t>本项目砂石料生产线</w:t>
            </w:r>
            <w:r>
              <w:rPr>
                <w:rFonts w:hint="eastAsia" w:cs="宋体"/>
                <w:color w:val="auto"/>
                <w:sz w:val="24"/>
                <w:szCs w:val="24"/>
                <w:highlight w:val="none"/>
                <w:lang w:eastAsia="zh-CN"/>
              </w:rPr>
              <w:t>制砂主要是将部分粒径</w:t>
            </w:r>
            <w:r>
              <w:rPr>
                <w:rFonts w:hint="eastAsia" w:cs="宋体"/>
                <w:color w:val="auto"/>
                <w:sz w:val="24"/>
                <w:szCs w:val="24"/>
                <w:highlight w:val="none"/>
                <w:lang w:val="en-US" w:eastAsia="zh-CN"/>
              </w:rPr>
              <w:t>2-4cm</w:t>
            </w:r>
            <w:r>
              <w:rPr>
                <w:rFonts w:ascii="宋体" w:hAnsi="宋体" w:eastAsia="宋体" w:cs="宋体"/>
                <w:color w:val="auto"/>
                <w:sz w:val="24"/>
                <w:szCs w:val="24"/>
                <w:highlight w:val="none"/>
              </w:rPr>
              <w:t>的矿石</w:t>
            </w:r>
            <w:r>
              <w:rPr>
                <w:rFonts w:hint="eastAsia" w:cs="宋体"/>
                <w:color w:val="auto"/>
                <w:sz w:val="24"/>
                <w:szCs w:val="24"/>
                <w:highlight w:val="none"/>
                <w:lang w:eastAsia="zh-CN"/>
              </w:rPr>
              <w:t>制成细砂</w:t>
            </w:r>
            <w:r>
              <w:rPr>
                <w:rFonts w:ascii="宋体" w:hAnsi="宋体" w:eastAsia="宋体" w:cs="宋体"/>
                <w:color w:val="auto"/>
                <w:sz w:val="24"/>
                <w:szCs w:val="24"/>
                <w:highlight w:val="none"/>
              </w:rPr>
              <w:t>。通过调查分析，</w:t>
            </w:r>
            <w:r>
              <w:rPr>
                <w:rFonts w:hint="eastAsia" w:cs="宋体"/>
                <w:color w:val="auto"/>
                <w:sz w:val="24"/>
                <w:szCs w:val="24"/>
                <w:highlight w:val="none"/>
                <w:lang w:eastAsia="zh-CN"/>
              </w:rPr>
              <w:t>制砂机</w:t>
            </w:r>
            <w:r>
              <w:rPr>
                <w:rFonts w:ascii="宋体" w:hAnsi="宋体" w:eastAsia="宋体" w:cs="宋体"/>
                <w:color w:val="auto"/>
                <w:sz w:val="24"/>
                <w:szCs w:val="24"/>
                <w:highlight w:val="none"/>
              </w:rPr>
              <w:t>加工量约占砂石料总量的</w:t>
            </w:r>
            <w:r>
              <w:rPr>
                <w:rFonts w:hint="eastAsia" w:cs="宋体"/>
                <w:color w:val="auto"/>
                <w:sz w:val="24"/>
                <w:szCs w:val="24"/>
                <w:highlight w:val="none"/>
                <w:lang w:val="en-US" w:eastAsia="zh-CN"/>
              </w:rPr>
              <w:t>20</w:t>
            </w:r>
            <w:r>
              <w:rPr>
                <w:rFonts w:ascii="宋体" w:hAnsi="宋体" w:eastAsia="宋体" w:cs="宋体"/>
                <w:color w:val="auto"/>
                <w:sz w:val="24"/>
                <w:szCs w:val="24"/>
                <w:highlight w:val="none"/>
              </w:rPr>
              <w:t>%，则加工量为</w:t>
            </w:r>
            <w:r>
              <w:rPr>
                <w:rFonts w:hint="eastAsia" w:cs="宋体"/>
                <w:color w:val="auto"/>
                <w:sz w:val="24"/>
                <w:szCs w:val="24"/>
                <w:highlight w:val="none"/>
                <w:lang w:val="en-US" w:eastAsia="zh-CN"/>
              </w:rPr>
              <w:t>16</w:t>
            </w:r>
            <w:r>
              <w:rPr>
                <w:rFonts w:ascii="宋体" w:hAnsi="宋体" w:eastAsia="宋体" w:cs="宋体"/>
                <w:color w:val="auto"/>
                <w:sz w:val="24"/>
                <w:szCs w:val="24"/>
                <w:highlight w:val="none"/>
              </w:rPr>
              <w:t>万m</w:t>
            </w:r>
            <w:r>
              <w:rPr>
                <w:rFonts w:ascii="宋体" w:hAnsi="宋体" w:eastAsia="宋体" w:cs="宋体"/>
                <w:color w:val="auto"/>
                <w:sz w:val="24"/>
                <w:szCs w:val="24"/>
                <w:highlight w:val="none"/>
                <w:vertAlign w:val="superscript"/>
              </w:rPr>
              <w:t>3</w:t>
            </w:r>
            <w:r>
              <w:rPr>
                <w:rFonts w:ascii="宋体" w:hAnsi="宋体" w:eastAsia="宋体" w:cs="宋体"/>
                <w:color w:val="auto"/>
                <w:sz w:val="24"/>
                <w:szCs w:val="24"/>
                <w:highlight w:val="none"/>
              </w:rPr>
              <w:t>/a（</w:t>
            </w:r>
            <w:r>
              <w:rPr>
                <w:rFonts w:hint="eastAsia" w:cs="宋体"/>
                <w:color w:val="auto"/>
                <w:sz w:val="24"/>
                <w:szCs w:val="24"/>
                <w:highlight w:val="none"/>
                <w:lang w:val="en-US" w:eastAsia="zh-CN"/>
              </w:rPr>
              <w:t>25.6</w:t>
            </w:r>
            <w:r>
              <w:rPr>
                <w:rFonts w:ascii="宋体" w:hAnsi="宋体" w:eastAsia="宋体" w:cs="宋体"/>
                <w:color w:val="auto"/>
                <w:sz w:val="24"/>
                <w:szCs w:val="24"/>
                <w:highlight w:val="none"/>
              </w:rPr>
              <w:t>万t/a），由输送皮带送至</w:t>
            </w:r>
            <w:r>
              <w:rPr>
                <w:rFonts w:hint="eastAsia" w:cs="宋体"/>
                <w:color w:val="auto"/>
                <w:sz w:val="24"/>
                <w:szCs w:val="24"/>
                <w:highlight w:val="none"/>
                <w:lang w:eastAsia="zh-CN"/>
              </w:rPr>
              <w:t>制砂机</w:t>
            </w:r>
            <w:r>
              <w:rPr>
                <w:rFonts w:ascii="宋体" w:hAnsi="宋体" w:eastAsia="宋体" w:cs="宋体"/>
                <w:color w:val="auto"/>
                <w:sz w:val="24"/>
                <w:szCs w:val="24"/>
                <w:highlight w:val="none"/>
              </w:rPr>
              <w:t>进行</w:t>
            </w:r>
            <w:r>
              <w:rPr>
                <w:rFonts w:hint="eastAsia" w:cs="宋体"/>
                <w:color w:val="auto"/>
                <w:sz w:val="24"/>
                <w:szCs w:val="24"/>
                <w:highlight w:val="none"/>
                <w:lang w:eastAsia="zh-CN"/>
              </w:rPr>
              <w:t>加工</w:t>
            </w:r>
            <w:r>
              <w:rPr>
                <w:rFonts w:ascii="宋体" w:hAnsi="宋体" w:eastAsia="宋体" w:cs="宋体"/>
                <w:color w:val="auto"/>
                <w:sz w:val="24"/>
                <w:szCs w:val="24"/>
                <w:highlight w:val="none"/>
              </w:rPr>
              <w:t>，在</w:t>
            </w:r>
            <w:r>
              <w:rPr>
                <w:rFonts w:hint="eastAsia" w:cs="宋体"/>
                <w:color w:val="auto"/>
                <w:sz w:val="24"/>
                <w:szCs w:val="24"/>
                <w:highlight w:val="none"/>
                <w:lang w:eastAsia="zh-CN"/>
              </w:rPr>
              <w:t>此</w:t>
            </w:r>
            <w:r>
              <w:rPr>
                <w:rFonts w:ascii="宋体" w:hAnsi="宋体" w:eastAsia="宋体" w:cs="宋体"/>
                <w:color w:val="auto"/>
                <w:sz w:val="24"/>
                <w:szCs w:val="24"/>
                <w:highlight w:val="none"/>
              </w:rPr>
              <w:t>过程中会产生一定量的粉尘。</w:t>
            </w:r>
            <w:r>
              <w:rPr>
                <w:rFonts w:hint="default" w:ascii="Times New Roman" w:hAnsi="Times New Roman" w:cs="Times New Roman"/>
                <w:b w:val="0"/>
                <w:bCs w:val="0"/>
                <w:color w:val="000000"/>
                <w:sz w:val="24"/>
                <w:szCs w:val="24"/>
                <w:lang w:eastAsia="zh-CN"/>
              </w:rPr>
              <w:t>根据经验数据，原料</w:t>
            </w:r>
            <w:r>
              <w:rPr>
                <w:rFonts w:hint="eastAsia" w:ascii="Times New Roman" w:hAnsi="Times New Roman" w:cs="Times New Roman"/>
                <w:b w:val="0"/>
                <w:bCs w:val="0"/>
                <w:color w:val="000000"/>
                <w:sz w:val="24"/>
                <w:szCs w:val="24"/>
                <w:lang w:val="en-US" w:eastAsia="zh-CN"/>
              </w:rPr>
              <w:t>制砂</w:t>
            </w:r>
            <w:r>
              <w:rPr>
                <w:rFonts w:hint="default" w:ascii="Times New Roman" w:hAnsi="Times New Roman" w:cs="Times New Roman"/>
                <w:b w:val="0"/>
                <w:bCs w:val="0"/>
                <w:color w:val="000000"/>
                <w:sz w:val="24"/>
                <w:szCs w:val="24"/>
                <w:lang w:eastAsia="zh-CN"/>
              </w:rPr>
              <w:t>过程中粉尘的产生量</w:t>
            </w:r>
            <w:r>
              <w:rPr>
                <w:rFonts w:hint="default" w:ascii="Times New Roman" w:hAnsi="Times New Roman" w:cs="Times New Roman"/>
                <w:b w:val="0"/>
                <w:bCs w:val="0"/>
                <w:color w:val="000000"/>
                <w:sz w:val="24"/>
                <w:szCs w:val="24"/>
                <w:lang w:val="en-US" w:eastAsia="zh-CN"/>
              </w:rPr>
              <w:t>0.</w:t>
            </w:r>
            <w:r>
              <w:rPr>
                <w:rFonts w:hint="eastAsia" w:ascii="Times New Roman" w:hAnsi="Times New Roman" w:cs="Times New Roman"/>
                <w:b w:val="0"/>
                <w:bCs w:val="0"/>
                <w:color w:val="000000"/>
                <w:sz w:val="24"/>
                <w:szCs w:val="24"/>
                <w:lang w:val="en-US" w:eastAsia="zh-CN"/>
              </w:rPr>
              <w:t>5</w:t>
            </w:r>
            <w:r>
              <w:rPr>
                <w:rFonts w:hint="default" w:ascii="Times New Roman" w:hAnsi="Times New Roman" w:cs="Times New Roman"/>
                <w:b w:val="0"/>
                <w:bCs w:val="0"/>
                <w:color w:val="000000"/>
                <w:sz w:val="24"/>
                <w:szCs w:val="24"/>
                <w:lang w:val="en-US" w:eastAsia="zh-CN"/>
              </w:rPr>
              <w:t>kg/t，即产尘量占总</w:t>
            </w:r>
            <w:r>
              <w:rPr>
                <w:rFonts w:hint="eastAsia" w:ascii="Times New Roman" w:hAnsi="Times New Roman" w:cs="Times New Roman"/>
                <w:b w:val="0"/>
                <w:bCs w:val="0"/>
                <w:color w:val="000000"/>
                <w:sz w:val="24"/>
                <w:szCs w:val="24"/>
                <w:lang w:val="en-US" w:eastAsia="zh-CN"/>
              </w:rPr>
              <w:t>制砂</w:t>
            </w:r>
            <w:r>
              <w:rPr>
                <w:rFonts w:hint="default" w:ascii="Times New Roman" w:hAnsi="Times New Roman" w:cs="Times New Roman"/>
                <w:b w:val="0"/>
                <w:bCs w:val="0"/>
                <w:color w:val="000000"/>
                <w:sz w:val="24"/>
                <w:szCs w:val="24"/>
                <w:lang w:eastAsia="zh-CN"/>
              </w:rPr>
              <w:t>的</w:t>
            </w:r>
            <w:r>
              <w:rPr>
                <w:rFonts w:hint="default" w:ascii="Times New Roman" w:hAnsi="Times New Roman" w:cs="Times New Roman"/>
                <w:b w:val="0"/>
                <w:bCs w:val="0"/>
                <w:color w:val="000000"/>
                <w:sz w:val="24"/>
                <w:szCs w:val="24"/>
                <w:lang w:val="en-US" w:eastAsia="zh-CN"/>
              </w:rPr>
              <w:t>0.</w:t>
            </w:r>
            <w:r>
              <w:rPr>
                <w:rFonts w:hint="eastAsia" w:ascii="Times New Roman" w:hAnsi="Times New Roman" w:cs="Times New Roman"/>
                <w:b w:val="0"/>
                <w:bCs w:val="0"/>
                <w:color w:val="000000"/>
                <w:sz w:val="24"/>
                <w:szCs w:val="24"/>
                <w:lang w:val="en-US" w:eastAsia="zh-CN"/>
              </w:rPr>
              <w:t>5</w:t>
            </w:r>
            <w:r>
              <w:rPr>
                <w:rFonts w:hint="default" w:ascii="Times New Roman" w:hAnsi="Times New Roman" w:cs="Times New Roman"/>
                <w:b w:val="0"/>
                <w:bCs w:val="0"/>
                <w:color w:val="000000"/>
                <w:sz w:val="24"/>
                <w:szCs w:val="24"/>
                <w:lang w:val="en-US" w:eastAsia="zh-CN"/>
              </w:rPr>
              <w:t>‰，</w:t>
            </w:r>
            <w:r>
              <w:rPr>
                <w:rFonts w:ascii="宋体" w:hAnsi="宋体" w:eastAsia="宋体" w:cs="宋体"/>
                <w:color w:val="auto"/>
                <w:sz w:val="24"/>
                <w:szCs w:val="24"/>
                <w:highlight w:val="none"/>
              </w:rPr>
              <w:t>则无任何除尘措施的情况下</w:t>
            </w:r>
            <w:r>
              <w:rPr>
                <w:rFonts w:hint="eastAsia" w:ascii="Times New Roman" w:hAnsi="Times New Roman" w:cs="Times New Roman"/>
                <w:b w:val="0"/>
                <w:bCs w:val="0"/>
                <w:color w:val="000000"/>
                <w:sz w:val="24"/>
                <w:szCs w:val="24"/>
                <w:lang w:val="en-US" w:eastAsia="zh-CN"/>
              </w:rPr>
              <w:t>制砂</w:t>
            </w:r>
            <w:r>
              <w:rPr>
                <w:rFonts w:hint="default" w:ascii="Times New Roman" w:hAnsi="Times New Roman" w:cs="Times New Roman"/>
                <w:b w:val="0"/>
                <w:bCs w:val="0"/>
                <w:color w:val="000000"/>
                <w:sz w:val="24"/>
                <w:szCs w:val="24"/>
                <w:lang w:val="en-US" w:eastAsia="zh-CN"/>
              </w:rPr>
              <w:t>过程</w:t>
            </w:r>
            <w:r>
              <w:rPr>
                <w:rFonts w:hint="eastAsia" w:ascii="Times New Roman" w:hAnsi="Times New Roman" w:cs="Times New Roman"/>
                <w:b w:val="0"/>
                <w:bCs w:val="0"/>
                <w:color w:val="000000"/>
                <w:sz w:val="24"/>
                <w:szCs w:val="24"/>
                <w:lang w:val="en-US" w:eastAsia="zh-CN"/>
              </w:rPr>
              <w:t>粉尘</w:t>
            </w:r>
            <w:r>
              <w:rPr>
                <w:rFonts w:hint="default" w:ascii="Times New Roman" w:hAnsi="Times New Roman" w:cs="Times New Roman"/>
                <w:b w:val="0"/>
                <w:bCs w:val="0"/>
                <w:color w:val="000000"/>
                <w:sz w:val="24"/>
                <w:szCs w:val="24"/>
                <w:lang w:val="en-US" w:eastAsia="zh-CN"/>
              </w:rPr>
              <w:t>产生</w:t>
            </w:r>
            <w:r>
              <w:rPr>
                <w:rFonts w:hint="default" w:ascii="Times New Roman" w:hAnsi="Times New Roman" w:cs="Times New Roman"/>
                <w:b w:val="0"/>
                <w:bCs w:val="0"/>
                <w:color w:val="000000"/>
                <w:sz w:val="24"/>
                <w:szCs w:val="24"/>
                <w:lang w:eastAsia="zh-CN"/>
              </w:rPr>
              <w:t>量约为</w:t>
            </w:r>
            <w:r>
              <w:rPr>
                <w:rFonts w:hint="eastAsia" w:ascii="Times New Roman" w:hAnsi="Times New Roman" w:cs="Times New Roman"/>
                <w:b w:val="0"/>
                <w:bCs w:val="0"/>
                <w:color w:val="000000"/>
                <w:sz w:val="24"/>
                <w:szCs w:val="24"/>
                <w:lang w:val="en-US" w:eastAsia="zh-CN"/>
              </w:rPr>
              <w:t>128t</w:t>
            </w:r>
            <w:r>
              <w:rPr>
                <w:rFonts w:hint="default" w:ascii="Times New Roman" w:hAnsi="Times New Roman" w:cs="Times New Roman"/>
                <w:b w:val="0"/>
                <w:bCs w:val="0"/>
                <w:color w:val="000000"/>
                <w:sz w:val="24"/>
                <w:szCs w:val="24"/>
                <w:lang w:val="en-US" w:eastAsia="zh-CN"/>
              </w:rPr>
              <w:t>/a</w:t>
            </w:r>
            <w:r>
              <w:rPr>
                <w:rFonts w:hint="eastAsia" w:ascii="Times New Roman" w:hAnsi="Times New Roman" w:cs="Times New Roman"/>
                <w:b w:val="0"/>
                <w:bCs w:val="0"/>
                <w:color w:val="000000"/>
                <w:sz w:val="24"/>
                <w:szCs w:val="24"/>
                <w:lang w:val="en-US" w:eastAsia="zh-CN"/>
              </w:rPr>
              <w:t>。</w:t>
            </w:r>
            <w:r>
              <w:rPr>
                <w:rFonts w:hint="default" w:ascii="Times New Roman" w:hAnsi="Times New Roman" w:cs="Times New Roman"/>
                <w:color w:val="auto"/>
                <w:sz w:val="24"/>
                <w:szCs w:val="24"/>
                <w:highlight w:val="none"/>
              </w:rPr>
              <w:t>本项目环评要求</w:t>
            </w:r>
            <w:r>
              <w:rPr>
                <w:rFonts w:hint="eastAsia" w:ascii="Times New Roman" w:hAnsi="Times New Roman" w:cs="Times New Roman"/>
                <w:color w:val="auto"/>
                <w:sz w:val="24"/>
                <w:szCs w:val="24"/>
                <w:highlight w:val="none"/>
                <w:lang w:eastAsia="zh-CN"/>
              </w:rPr>
              <w:t>在制砂机</w:t>
            </w:r>
            <w:r>
              <w:rPr>
                <w:rFonts w:hint="default" w:ascii="Times New Roman" w:hAnsi="Times New Roman" w:eastAsia="宋体" w:cs="Times New Roman"/>
                <w:color w:val="auto"/>
                <w:sz w:val="24"/>
                <w:szCs w:val="24"/>
                <w:highlight w:val="none"/>
                <w:lang w:eastAsia="zh-CN"/>
              </w:rPr>
              <w:t>安装喷淋装置</w:t>
            </w:r>
            <w:r>
              <w:rPr>
                <w:rFonts w:hint="eastAsia" w:ascii="Times New Roman" w:hAnsi="Times New Roman" w:cs="Times New Roman"/>
                <w:color w:val="auto"/>
                <w:sz w:val="24"/>
                <w:szCs w:val="24"/>
                <w:highlight w:val="none"/>
                <w:lang w:eastAsia="zh-CN"/>
              </w:rPr>
              <w:t>，其</w:t>
            </w:r>
            <w:r>
              <w:rPr>
                <w:rFonts w:hint="default" w:ascii="Times New Roman" w:hAnsi="Times New Roman" w:cs="Times New Roman"/>
                <w:color w:val="auto"/>
                <w:sz w:val="24"/>
                <w:szCs w:val="24"/>
                <w:highlight w:val="none"/>
              </w:rPr>
              <w:t>除尘效率为90%</w:t>
            </w:r>
            <w:r>
              <w:rPr>
                <w:rFonts w:hint="default" w:ascii="Times New Roman" w:hAnsi="Times New Roman" w:eastAsia="宋体" w:cs="Times New Roman"/>
                <w:color w:val="auto"/>
                <w:sz w:val="24"/>
                <w:szCs w:val="24"/>
                <w:highlight w:val="none"/>
              </w:rPr>
              <w:t>，</w:t>
            </w:r>
            <w:r>
              <w:rPr>
                <w:rFonts w:hint="eastAsia" w:cs="Times New Roman"/>
                <w:color w:val="auto"/>
                <w:sz w:val="24"/>
                <w:szCs w:val="24"/>
                <w:highlight w:val="none"/>
                <w:lang w:eastAsia="zh-CN"/>
              </w:rPr>
              <w:t>设置全封闭车间，车间进行喷雾除尘，其效率达</w:t>
            </w:r>
            <w:r>
              <w:rPr>
                <w:rFonts w:hint="eastAsia" w:cs="Times New Roman"/>
                <w:color w:val="auto"/>
                <w:sz w:val="24"/>
                <w:szCs w:val="24"/>
                <w:highlight w:val="none"/>
                <w:lang w:val="en-US" w:eastAsia="zh-CN"/>
              </w:rPr>
              <w:t>50%，</w:t>
            </w:r>
            <w:r>
              <w:rPr>
                <w:rFonts w:hint="default" w:ascii="Times New Roman" w:hAnsi="Times New Roman" w:cs="Times New Roman"/>
                <w:color w:val="auto"/>
                <w:sz w:val="24"/>
                <w:szCs w:val="24"/>
                <w:highlight w:val="none"/>
              </w:rPr>
              <w:t>则粉尘排放量约为</w:t>
            </w:r>
            <w:r>
              <w:rPr>
                <w:rFonts w:hint="eastAsia" w:cs="Times New Roman"/>
                <w:color w:val="auto"/>
                <w:sz w:val="24"/>
                <w:szCs w:val="24"/>
                <w:highlight w:val="none"/>
                <w:lang w:val="en-US" w:eastAsia="zh-CN"/>
              </w:rPr>
              <w:t>6.4</w:t>
            </w:r>
            <w:r>
              <w:rPr>
                <w:rFonts w:hint="eastAsia" w:ascii="Times New Roman" w:hAnsi="Times New Roman" w:cs="Times New Roman"/>
                <w:color w:val="auto"/>
                <w:sz w:val="24"/>
                <w:szCs w:val="24"/>
                <w:highlight w:val="none"/>
                <w:lang w:val="en-US" w:eastAsia="zh-CN"/>
              </w:rPr>
              <w:t>t</w:t>
            </w:r>
            <w:r>
              <w:rPr>
                <w:rFonts w:hint="default" w:ascii="Times New Roman" w:hAnsi="Times New Roman" w:cs="Times New Roman"/>
                <w:color w:val="auto"/>
                <w:sz w:val="24"/>
                <w:szCs w:val="24"/>
                <w:highlight w:val="none"/>
              </w:rPr>
              <w:t>/a。</w:t>
            </w:r>
          </w:p>
          <w:p>
            <w:pPr>
              <w:numPr>
                <w:ilvl w:val="0"/>
                <w:numId w:val="0"/>
              </w:numPr>
              <w:adjustRightInd w:val="0"/>
              <w:snapToGrid w:val="0"/>
              <w:spacing w:line="360" w:lineRule="auto"/>
              <w:ind w:firstLine="482" w:firstLineChars="200"/>
              <w:rPr>
                <w:rFonts w:hint="default"/>
                <w:lang w:val="en-US" w:eastAsia="zh-CN"/>
              </w:rPr>
            </w:pPr>
            <w:r>
              <w:rPr>
                <w:rFonts w:hint="eastAsia"/>
                <w:b/>
                <w:sz w:val="24"/>
                <w:lang w:eastAsia="zh-CN"/>
              </w:rPr>
              <w:t>⑤皮带传送扬尘和运输道路扬尘</w:t>
            </w:r>
            <w:r>
              <w:rPr>
                <w:rFonts w:hint="eastAsia"/>
                <w:b w:val="0"/>
                <w:bCs/>
                <w:sz w:val="24"/>
              </w:rPr>
              <w:t>（G</w:t>
            </w:r>
            <w:r>
              <w:rPr>
                <w:rFonts w:hint="eastAsia"/>
                <w:b w:val="0"/>
                <w:bCs/>
                <w:sz w:val="24"/>
                <w:lang w:val="en-US" w:eastAsia="zh-CN"/>
              </w:rPr>
              <w:t>10、</w:t>
            </w:r>
            <w:r>
              <w:rPr>
                <w:rFonts w:hint="eastAsia"/>
                <w:b w:val="0"/>
                <w:bCs/>
                <w:sz w:val="24"/>
              </w:rPr>
              <w:t>G</w:t>
            </w:r>
            <w:r>
              <w:rPr>
                <w:rFonts w:hint="eastAsia"/>
                <w:b w:val="0"/>
                <w:bCs/>
                <w:sz w:val="24"/>
                <w:lang w:val="en-US" w:eastAsia="zh-CN"/>
              </w:rPr>
              <w:t>11</w:t>
            </w:r>
            <w:r>
              <w:rPr>
                <w:rFonts w:hint="eastAsia"/>
                <w:b w:val="0"/>
                <w:bCs/>
                <w:sz w:val="24"/>
              </w:rPr>
              <w:t>）</w:t>
            </w:r>
          </w:p>
          <w:p>
            <w:pPr>
              <w:pStyle w:val="8"/>
              <w:rPr>
                <w:rFonts w:hint="eastAsia" w:eastAsia="宋体"/>
                <w:lang w:val="en-US" w:eastAsia="zh-CN"/>
              </w:rPr>
            </w:pPr>
            <w:r>
              <w:rPr>
                <w:rFonts w:hint="eastAsia" w:ascii="Times New Roman" w:hAnsi="Times New Roman" w:eastAsia="宋体" w:cs="Times New Roman"/>
                <w:spacing w:val="0"/>
                <w:kern w:val="2"/>
                <w:sz w:val="24"/>
                <w:szCs w:val="24"/>
                <w:lang w:val="en-US" w:eastAsia="zh-CN" w:bidi="ar-SA"/>
              </w:rPr>
              <w:t>本项目加工各工序之间采用皮带传送，皮带传送时会产生一定的扬尘，本项目</w:t>
            </w:r>
            <w:r>
              <w:rPr>
                <w:rFonts w:hint="default" w:ascii="Times New Roman" w:hAnsi="Times New Roman" w:eastAsia="宋体" w:cs="Times New Roman"/>
                <w:spacing w:val="0"/>
                <w:kern w:val="2"/>
                <w:sz w:val="24"/>
                <w:szCs w:val="24"/>
                <w:lang w:val="en-US" w:eastAsia="zh-CN" w:bidi="ar-SA"/>
              </w:rPr>
              <w:t>皮带传送采用密闭传送带</w:t>
            </w:r>
            <w:r>
              <w:rPr>
                <w:rFonts w:hint="eastAsia" w:ascii="Times New Roman" w:hAnsi="Times New Roman" w:eastAsia="宋体" w:cs="Times New Roman"/>
                <w:spacing w:val="0"/>
                <w:kern w:val="2"/>
                <w:sz w:val="24"/>
                <w:szCs w:val="24"/>
                <w:lang w:val="en-US" w:eastAsia="zh-CN" w:bidi="ar-SA"/>
              </w:rPr>
              <w:t>。本项目采矿区到加工区有一定距离，原料运输路过程会产生扬尘，加工区进出道路进出车辆会产生扬尘，本环评要求采</w:t>
            </w:r>
            <w:r>
              <w:rPr>
                <w:rFonts w:hint="eastAsia"/>
                <w:b w:val="0"/>
                <w:bCs/>
                <w:sz w:val="24"/>
                <w:lang w:eastAsia="zh-CN"/>
              </w:rPr>
              <w:t>矿区到加工区原料运输路进行碎石硬化，加工区进出道路进行碎石硬化</w:t>
            </w:r>
            <w:r>
              <w:rPr>
                <w:rFonts w:hint="eastAsia"/>
                <w:b w:val="0"/>
                <w:bCs/>
                <w:sz w:val="24"/>
                <w:lang w:val="en-US" w:eastAsia="zh-CN"/>
              </w:rPr>
              <w:t>,并时时进行洒水，则本项目道路扬尘产生量较小。</w:t>
            </w:r>
          </w:p>
          <w:p>
            <w:pPr>
              <w:adjustRightInd w:val="0"/>
              <w:snapToGrid w:val="0"/>
              <w:spacing w:line="360" w:lineRule="auto"/>
              <w:ind w:firstLine="482" w:firstLineChars="200"/>
              <w:rPr>
                <w:rFonts w:hint="default" w:eastAsia="宋体"/>
                <w:b/>
                <w:sz w:val="24"/>
                <w:lang w:val="en-US" w:eastAsia="zh-CN"/>
              </w:rPr>
            </w:pPr>
            <w:r>
              <w:rPr>
                <w:rFonts w:hint="eastAsia"/>
                <w:b/>
                <w:sz w:val="24"/>
                <w:lang w:val="en-US" w:eastAsia="zh-CN"/>
              </w:rPr>
              <w:t>⑥燃油尾气</w:t>
            </w:r>
            <w:r>
              <w:rPr>
                <w:rFonts w:hint="eastAsia"/>
                <w:b w:val="0"/>
                <w:bCs/>
                <w:sz w:val="24"/>
              </w:rPr>
              <w:t>（G</w:t>
            </w:r>
            <w:r>
              <w:rPr>
                <w:rFonts w:hint="eastAsia"/>
                <w:b w:val="0"/>
                <w:bCs/>
                <w:sz w:val="24"/>
                <w:lang w:val="en-US" w:eastAsia="zh-CN"/>
              </w:rPr>
              <w:t>12</w:t>
            </w:r>
            <w:r>
              <w:rPr>
                <w:rFonts w:hint="eastAsia"/>
                <w:b w:val="0"/>
                <w:bCs/>
                <w:sz w:val="24"/>
              </w:rPr>
              <w:t>）</w:t>
            </w:r>
          </w:p>
          <w:p>
            <w:pPr>
              <w:tabs>
                <w:tab w:val="left" w:pos="900"/>
                <w:tab w:val="right" w:pos="9070"/>
              </w:tabs>
              <w:adjustRightInd w:val="0"/>
              <w:snapToGrid w:val="0"/>
              <w:spacing w:line="360" w:lineRule="auto"/>
              <w:ind w:firstLine="480" w:firstLineChars="200"/>
            </w:pPr>
            <w:r>
              <w:rPr>
                <w:sz w:val="24"/>
              </w:rPr>
              <w:t>项目各类机械设备及运输车辆运行时会排放燃油废气，污染物主要是CO、NO</w:t>
            </w:r>
            <w:r>
              <w:rPr>
                <w:sz w:val="24"/>
                <w:vertAlign w:val="subscript"/>
              </w:rPr>
              <w:t>X</w:t>
            </w:r>
            <w:r>
              <w:rPr>
                <w:sz w:val="24"/>
              </w:rPr>
              <w:t>和未完全燃烧的碳氢化合物THC，按照大型车辆尾气污染物排放量CO：5.25g/辆·km、THC：20.8g/辆·km、NOx：10.44g/辆·km，各设备折合成大型车辆约10辆，运行距离平均每天5km计，则各污染物排放量分别为CO约0.26kg/d、THC约1.04kg/d、NOx约0.52kg/d，产生量较少，</w:t>
            </w:r>
            <w:r>
              <w:rPr>
                <w:bCs/>
                <w:sz w:val="24"/>
              </w:rPr>
              <w:t>经大气扩散后对环境影响较小</w:t>
            </w:r>
            <w:r>
              <w:rPr>
                <w:sz w:val="24"/>
              </w:rPr>
              <w:t>。</w:t>
            </w:r>
          </w:p>
          <w:p>
            <w:pPr>
              <w:pStyle w:val="78"/>
              <w:keepNext w:val="0"/>
              <w:keepLines w:val="0"/>
              <w:suppressLineNumbers w:val="0"/>
              <w:tabs>
                <w:tab w:val="left" w:pos="1311"/>
              </w:tabs>
              <w:autoSpaceDE w:val="0"/>
              <w:autoSpaceDN w:val="0"/>
              <w:spacing w:before="0" w:beforeAutospacing="0" w:after="0" w:afterAutospacing="0" w:line="360" w:lineRule="auto"/>
              <w:ind w:left="420" w:leftChars="200" w:right="0" w:firstLine="0" w:firstLineChars="0"/>
              <w:jc w:val="left"/>
              <w:rPr>
                <w:rFonts w:hint="eastAsia" w:ascii="宋体" w:hAnsi="宋体" w:eastAsia="宋体" w:cs="宋体"/>
                <w:b/>
                <w:bCs/>
                <w:color w:val="auto"/>
                <w:sz w:val="24"/>
                <w:lang w:eastAsia="zh-CN"/>
              </w:rPr>
            </w:pPr>
            <w:r>
              <w:rPr>
                <w:rFonts w:hint="eastAsia" w:cs="宋体"/>
                <w:b/>
                <w:bCs/>
                <w:color w:val="auto"/>
                <w:sz w:val="24"/>
                <w:lang w:eastAsia="zh-CN"/>
              </w:rPr>
              <w:t>⑦</w:t>
            </w:r>
            <w:r>
              <w:rPr>
                <w:rFonts w:hint="eastAsia" w:ascii="宋体" w:hAnsi="宋体" w:eastAsia="宋体" w:cs="宋体"/>
                <w:b/>
                <w:bCs/>
                <w:color w:val="auto"/>
                <w:sz w:val="24"/>
              </w:rPr>
              <w:t>食堂油烟</w:t>
            </w:r>
            <w:r>
              <w:rPr>
                <w:rFonts w:hint="eastAsia" w:cs="宋体"/>
                <w:b/>
                <w:bCs/>
                <w:color w:val="auto"/>
                <w:sz w:val="24"/>
                <w:lang w:eastAsia="zh-CN"/>
              </w:rPr>
              <w:t>（</w:t>
            </w:r>
            <w:r>
              <w:rPr>
                <w:rFonts w:hint="eastAsia"/>
                <w:b w:val="0"/>
                <w:bCs/>
                <w:sz w:val="24"/>
              </w:rPr>
              <w:t>G</w:t>
            </w:r>
            <w:r>
              <w:rPr>
                <w:rFonts w:hint="eastAsia"/>
                <w:b w:val="0"/>
                <w:bCs/>
                <w:sz w:val="24"/>
                <w:lang w:val="en-US" w:eastAsia="zh-CN"/>
              </w:rPr>
              <w:t>13</w:t>
            </w:r>
            <w:r>
              <w:rPr>
                <w:rFonts w:hint="eastAsia" w:cs="宋体"/>
                <w:b/>
                <w:bCs/>
                <w:color w:val="auto"/>
                <w:sz w:val="24"/>
                <w:lang w:eastAsia="zh-CN"/>
              </w:rPr>
              <w:t>）</w:t>
            </w:r>
          </w:p>
          <w:p>
            <w:pPr>
              <w:pStyle w:val="12"/>
              <w:keepNext w:val="0"/>
              <w:keepLines w:val="0"/>
              <w:suppressLineNumbers w:val="0"/>
              <w:autoSpaceDE w:val="0"/>
              <w:autoSpaceDN w:val="0"/>
              <w:adjustRightInd w:val="0"/>
              <w:snapToGrid w:val="0"/>
              <w:spacing w:before="0" w:beforeAutospacing="0" w:after="0" w:afterAutospacing="0" w:line="360" w:lineRule="auto"/>
              <w:ind w:left="0" w:right="0" w:firstLine="480" w:firstLineChars="200"/>
              <w:rPr>
                <w:rFonts w:hint="default" w:ascii="Times New Roman" w:hAnsi="Times New Roman" w:eastAsia="宋体" w:cs="Times New Roman"/>
                <w:b w:val="0"/>
                <w:bCs w:val="0"/>
                <w:color w:val="auto"/>
                <w:sz w:val="24"/>
              </w:rPr>
            </w:pPr>
            <w:r>
              <w:rPr>
                <w:rFonts w:hint="default" w:ascii="Times New Roman" w:hAnsi="Times New Roman" w:eastAsia="宋体" w:cs="Times New Roman"/>
                <w:b w:val="0"/>
                <w:bCs w:val="0"/>
                <w:color w:val="auto"/>
                <w:sz w:val="24"/>
              </w:rPr>
              <w:t>本项目生活区大气污染物主要为食堂饮食油烟，根据业主提供资料，本项目运</w:t>
            </w:r>
            <w:r>
              <w:rPr>
                <w:rFonts w:hint="default" w:ascii="Times New Roman" w:hAnsi="Times New Roman" w:eastAsia="宋体" w:cs="Times New Roman"/>
                <w:b w:val="0"/>
                <w:bCs w:val="0"/>
                <w:color w:val="auto"/>
                <w:spacing w:val="-5"/>
                <w:sz w:val="24"/>
              </w:rPr>
              <w:t>营期间劳动定员为6</w:t>
            </w:r>
            <w:r>
              <w:rPr>
                <w:rFonts w:hint="default" w:ascii="Times New Roman" w:hAnsi="Times New Roman" w:eastAsia="宋体" w:cs="Times New Roman"/>
                <w:b w:val="0"/>
                <w:bCs w:val="0"/>
                <w:color w:val="auto"/>
                <w:spacing w:val="-6"/>
                <w:sz w:val="24"/>
              </w:rPr>
              <w:t>人，每天提</w:t>
            </w:r>
            <w:r>
              <w:rPr>
                <w:rFonts w:hint="default" w:ascii="Times New Roman" w:hAnsi="Times New Roman" w:eastAsia="宋体" w:cs="Times New Roman"/>
                <w:b w:val="0"/>
                <w:bCs w:val="0"/>
                <w:color w:val="auto"/>
                <w:sz w:val="24"/>
              </w:rPr>
              <w:t>供3餐。食</w:t>
            </w:r>
            <w:r>
              <w:rPr>
                <w:rFonts w:hint="default" w:ascii="Times New Roman" w:hAnsi="Times New Roman" w:eastAsia="宋体" w:cs="Times New Roman"/>
                <w:b w:val="0"/>
                <w:bCs w:val="0"/>
                <w:color w:val="auto"/>
                <w:spacing w:val="-1"/>
                <w:sz w:val="24"/>
              </w:rPr>
              <w:t>堂烹饪过程中使用罐装液化气，为清洁</w:t>
            </w:r>
            <w:r>
              <w:rPr>
                <w:rFonts w:hint="default" w:ascii="Times New Roman" w:hAnsi="Times New Roman" w:eastAsia="宋体" w:cs="Times New Roman"/>
                <w:b w:val="0"/>
                <w:bCs w:val="0"/>
                <w:color w:val="auto"/>
                <w:sz w:val="24"/>
              </w:rPr>
              <w:t>能源，故此处不计算罐装液化气产生的废气，本次评价主要考虑职工食堂在烹饪过程中产生的油烟。</w:t>
            </w:r>
          </w:p>
          <w:p>
            <w:pPr>
              <w:tabs>
                <w:tab w:val="left" w:pos="900"/>
              </w:tabs>
              <w:adjustRightInd w:val="0"/>
              <w:snapToGrid w:val="0"/>
              <w:spacing w:line="360" w:lineRule="auto"/>
              <w:ind w:firstLine="480" w:firstLineChars="200"/>
              <w:rPr>
                <w:rFonts w:hint="default" w:ascii="Times New Roman" w:hAnsi="Times New Roman" w:eastAsia="宋体" w:cs="Times New Roman"/>
                <w:b w:val="0"/>
                <w:bCs w:val="0"/>
                <w:sz w:val="24"/>
              </w:rPr>
            </w:pPr>
            <w:r>
              <w:rPr>
                <w:rFonts w:hint="default" w:ascii="Times New Roman" w:hAnsi="Times New Roman" w:eastAsia="宋体" w:cs="Times New Roman"/>
                <w:b w:val="0"/>
                <w:bCs w:val="0"/>
                <w:color w:val="auto"/>
                <w:sz w:val="24"/>
              </w:rPr>
              <w:t>根据《环境保护实用数据手册》资料，一般的员工用餐食用</w:t>
            </w:r>
            <w:r>
              <w:rPr>
                <w:rFonts w:hint="default" w:ascii="Times New Roman" w:hAnsi="Times New Roman" w:eastAsia="宋体" w:cs="Times New Roman"/>
                <w:b w:val="0"/>
                <w:bCs w:val="0"/>
                <w:sz w:val="24"/>
              </w:rPr>
              <w:t>油耗油系数为30g/</w:t>
            </w:r>
            <w:r>
              <w:rPr>
                <w:rFonts w:hint="default" w:ascii="Times New Roman" w:hAnsi="Times New Roman" w:eastAsia="宋体" w:cs="Times New Roman"/>
                <w:b w:val="0"/>
                <w:bCs w:val="0"/>
                <w:spacing w:val="4"/>
                <w:sz w:val="24"/>
              </w:rPr>
              <w:t>人</w:t>
            </w:r>
            <w:r>
              <w:rPr>
                <w:rFonts w:hint="default" w:ascii="Times New Roman" w:hAnsi="Times New Roman" w:eastAsia="宋体" w:cs="Times New Roman"/>
                <w:b w:val="0"/>
                <w:bCs w:val="0"/>
                <w:spacing w:val="-28"/>
                <w:sz w:val="24"/>
              </w:rPr>
              <w:t xml:space="preserve">·d </w:t>
            </w:r>
            <w:r>
              <w:rPr>
                <w:rFonts w:hint="default" w:ascii="Times New Roman" w:hAnsi="Times New Roman" w:eastAsia="宋体" w:cs="Times New Roman"/>
                <w:b w:val="0"/>
                <w:bCs w:val="0"/>
                <w:spacing w:val="-2"/>
                <w:sz w:val="24"/>
              </w:rPr>
              <w:t>，则生活区食用油用量</w:t>
            </w:r>
            <w:r>
              <w:rPr>
                <w:rFonts w:hint="default" w:ascii="Times New Roman" w:hAnsi="Times New Roman" w:eastAsia="宋体" w:cs="Times New Roman"/>
                <w:b w:val="0"/>
                <w:bCs w:val="0"/>
                <w:spacing w:val="-22"/>
                <w:sz w:val="24"/>
              </w:rPr>
              <w:t>为</w:t>
            </w:r>
            <w:r>
              <w:rPr>
                <w:rFonts w:hint="default" w:ascii="Times New Roman" w:hAnsi="Times New Roman" w:eastAsia="宋体" w:cs="Times New Roman"/>
                <w:b w:val="0"/>
                <w:bCs w:val="0"/>
                <w:spacing w:val="-3"/>
                <w:sz w:val="24"/>
              </w:rPr>
              <w:t>0.9kg/d</w:t>
            </w:r>
            <w:r>
              <w:rPr>
                <w:rFonts w:hint="default" w:ascii="Times New Roman" w:hAnsi="Times New Roman" w:eastAsia="宋体" w:cs="Times New Roman"/>
                <w:b w:val="0"/>
                <w:bCs w:val="0"/>
                <w:spacing w:val="-7"/>
                <w:sz w:val="24"/>
              </w:rPr>
              <w:t>，</w:t>
            </w:r>
            <w:r>
              <w:rPr>
                <w:rFonts w:hint="default" w:ascii="Times New Roman" w:hAnsi="Times New Roman" w:eastAsia="宋体" w:cs="Times New Roman"/>
                <w:b w:val="0"/>
                <w:bCs w:val="0"/>
                <w:sz w:val="24"/>
              </w:rPr>
              <w:t>一般油烟和油的挥发量占总耗油量的2%～4%之间，取其均值3%，则油烟的产生量约为0.0162kg/d，本项目安装抽油烟机，其效率为</w:t>
            </w:r>
            <w:r>
              <w:rPr>
                <w:rFonts w:hint="eastAsia" w:cs="Times New Roman"/>
                <w:b w:val="0"/>
                <w:bCs w:val="0"/>
                <w:sz w:val="24"/>
                <w:lang w:val="en-US" w:eastAsia="zh-CN"/>
              </w:rPr>
              <w:t>6</w:t>
            </w:r>
            <w:r>
              <w:rPr>
                <w:rFonts w:hint="default" w:ascii="Times New Roman" w:hAnsi="Times New Roman" w:eastAsia="宋体" w:cs="Times New Roman"/>
                <w:b w:val="0"/>
                <w:bCs w:val="0"/>
                <w:sz w:val="24"/>
              </w:rPr>
              <w:t>0%，则处理后油烟</w:t>
            </w:r>
            <w:r>
              <w:rPr>
                <w:rFonts w:hint="eastAsia" w:cs="Times New Roman"/>
                <w:b w:val="0"/>
                <w:bCs w:val="0"/>
                <w:sz w:val="24"/>
                <w:lang w:val="en-US" w:eastAsia="zh-CN"/>
              </w:rPr>
              <w:t>的排放</w:t>
            </w:r>
            <w:r>
              <w:rPr>
                <w:rFonts w:hint="default" w:ascii="Times New Roman" w:hAnsi="Times New Roman" w:eastAsia="宋体" w:cs="Times New Roman"/>
                <w:b w:val="0"/>
                <w:bCs w:val="0"/>
                <w:sz w:val="24"/>
              </w:rPr>
              <w:t>量约为0.00</w:t>
            </w:r>
            <w:r>
              <w:rPr>
                <w:rFonts w:hint="eastAsia" w:cs="Times New Roman"/>
                <w:b w:val="0"/>
                <w:bCs w:val="0"/>
                <w:sz w:val="24"/>
                <w:lang w:val="en-US" w:eastAsia="zh-CN"/>
              </w:rPr>
              <w:t>648</w:t>
            </w:r>
            <w:r>
              <w:rPr>
                <w:rFonts w:hint="default" w:ascii="Times New Roman" w:hAnsi="Times New Roman" w:eastAsia="宋体" w:cs="Times New Roman"/>
                <w:b w:val="0"/>
                <w:bCs w:val="0"/>
                <w:sz w:val="24"/>
              </w:rPr>
              <w:t>kg/d。</w:t>
            </w:r>
          </w:p>
          <w:p>
            <w:pPr>
              <w:tabs>
                <w:tab w:val="left" w:pos="900"/>
              </w:tabs>
              <w:adjustRightInd w:val="0"/>
              <w:snapToGrid w:val="0"/>
              <w:spacing w:line="360" w:lineRule="auto"/>
              <w:ind w:firstLine="482" w:firstLineChars="200"/>
              <w:rPr>
                <w:rFonts w:hint="eastAsia"/>
                <w:b/>
                <w:bCs/>
                <w:sz w:val="24"/>
              </w:rPr>
            </w:pPr>
            <w:r>
              <w:rPr>
                <w:b/>
                <w:bCs/>
                <w:sz w:val="24"/>
              </w:rPr>
              <w:t>（</w:t>
            </w:r>
            <w:r>
              <w:rPr>
                <w:rFonts w:hint="eastAsia"/>
                <w:b/>
                <w:bCs/>
                <w:sz w:val="24"/>
                <w:lang w:val="en-US" w:eastAsia="zh-CN"/>
              </w:rPr>
              <w:t>3</w:t>
            </w:r>
            <w:r>
              <w:rPr>
                <w:b/>
                <w:bCs/>
                <w:sz w:val="24"/>
              </w:rPr>
              <w:t>）运营期废气污染物产生情况</w:t>
            </w:r>
          </w:p>
          <w:p>
            <w:pPr>
              <w:tabs>
                <w:tab w:val="left" w:pos="900"/>
              </w:tabs>
              <w:adjustRightInd w:val="0"/>
              <w:snapToGrid w:val="0"/>
              <w:spacing w:line="360" w:lineRule="auto"/>
              <w:ind w:firstLine="480" w:firstLineChars="200"/>
              <w:rPr>
                <w:b/>
                <w:sz w:val="24"/>
              </w:rPr>
            </w:pPr>
            <w:r>
              <w:rPr>
                <w:sz w:val="24"/>
              </w:rPr>
              <w:t>项目废气污染物产生情况见表</w:t>
            </w:r>
            <w:r>
              <w:rPr>
                <w:rFonts w:hint="eastAsia"/>
                <w:sz w:val="24"/>
                <w:lang w:val="en-US" w:eastAsia="zh-CN"/>
              </w:rPr>
              <w:t>4-9</w:t>
            </w:r>
            <w:r>
              <w:rPr>
                <w:sz w:val="24"/>
              </w:rPr>
              <w:t>。</w:t>
            </w:r>
          </w:p>
          <w:p>
            <w:pPr>
              <w:tabs>
                <w:tab w:val="left" w:pos="900"/>
              </w:tabs>
              <w:adjustRightInd w:val="0"/>
              <w:snapToGrid w:val="0"/>
              <w:spacing w:line="360" w:lineRule="auto"/>
              <w:jc w:val="center"/>
              <w:rPr>
                <w:b/>
                <w:bCs/>
                <w:sz w:val="24"/>
              </w:rPr>
            </w:pPr>
            <w:r>
              <w:rPr>
                <w:b/>
                <w:sz w:val="24"/>
              </w:rPr>
              <w:t>表</w:t>
            </w:r>
            <w:r>
              <w:rPr>
                <w:rFonts w:hint="eastAsia"/>
                <w:b/>
                <w:sz w:val="24"/>
                <w:lang w:val="en-US" w:eastAsia="zh-CN"/>
              </w:rPr>
              <w:t>4-9</w:t>
            </w:r>
            <w:r>
              <w:rPr>
                <w:b/>
                <w:sz w:val="24"/>
              </w:rPr>
              <w:t xml:space="preserve">  </w:t>
            </w:r>
            <w:r>
              <w:rPr>
                <w:rFonts w:hint="eastAsia"/>
                <w:b/>
                <w:sz w:val="24"/>
              </w:rPr>
              <w:t xml:space="preserve">    </w:t>
            </w:r>
            <w:r>
              <w:rPr>
                <w:b/>
                <w:sz w:val="24"/>
              </w:rPr>
              <w:t xml:space="preserve"> 项目大气污染物产排情况</w:t>
            </w:r>
          </w:p>
          <w:tbl>
            <w:tblPr>
              <w:tblStyle w:val="28"/>
              <w:tblW w:w="491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6" w:type="dxa"/>
                <w:bottom w:w="0" w:type="dxa"/>
                <w:right w:w="6" w:type="dxa"/>
              </w:tblCellMar>
            </w:tblPr>
            <w:tblGrid>
              <w:gridCol w:w="475"/>
              <w:gridCol w:w="1476"/>
              <w:gridCol w:w="1107"/>
              <w:gridCol w:w="849"/>
              <w:gridCol w:w="2135"/>
              <w:gridCol w:w="794"/>
              <w:gridCol w:w="1027"/>
              <w:gridCol w:w="9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108" w:hRule="atLeast"/>
                <w:jc w:val="center"/>
              </w:trPr>
              <w:tc>
                <w:tcPr>
                  <w:tcW w:w="26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序号</w:t>
                  </w:r>
                </w:p>
              </w:tc>
              <w:tc>
                <w:tcPr>
                  <w:tcW w:w="833"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污染源</w:t>
                  </w: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污染物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产生量t/a</w:t>
                  </w:r>
                </w:p>
              </w:tc>
              <w:tc>
                <w:tcPr>
                  <w:tcW w:w="120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治理措施</w:t>
                  </w: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处理效率</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排放速率kg/h</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排放量</w:t>
                  </w:r>
                </w:p>
                <w:p>
                  <w:pPr>
                    <w:widowControl/>
                    <w:adjustRightInd w:val="0"/>
                    <w:snapToGrid w:val="0"/>
                    <w:jc w:val="center"/>
                    <w:rPr>
                      <w:color w:val="000000"/>
                      <w:szCs w:val="21"/>
                    </w:rPr>
                  </w:pPr>
                  <w:r>
                    <w:rPr>
                      <w:color w:val="000000"/>
                      <w:szCs w:val="21"/>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108" w:hRule="atLeast"/>
                <w:jc w:val="center"/>
              </w:trPr>
              <w:tc>
                <w:tcPr>
                  <w:tcW w:w="268"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1</w:t>
                  </w:r>
                </w:p>
              </w:tc>
              <w:tc>
                <w:tcPr>
                  <w:tcW w:w="833"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eastAsia="宋体"/>
                      <w:color w:val="000000"/>
                      <w:sz w:val="21"/>
                      <w:szCs w:val="21"/>
                      <w:lang w:val="en-US" w:eastAsia="zh-CN"/>
                    </w:rPr>
                  </w:pPr>
                  <w:r>
                    <w:rPr>
                      <w:rFonts w:hint="eastAsia"/>
                      <w:color w:val="000000"/>
                      <w:sz w:val="21"/>
                      <w:szCs w:val="21"/>
                      <w:lang w:val="en-US" w:eastAsia="zh-CN"/>
                    </w:rPr>
                    <w:t>清表扬尘</w:t>
                  </w:r>
                  <w:r>
                    <w:rPr>
                      <w:rFonts w:hint="eastAsia"/>
                      <w:b w:val="0"/>
                      <w:bCs/>
                      <w:sz w:val="21"/>
                      <w:szCs w:val="21"/>
                    </w:rPr>
                    <w:t>G</w:t>
                  </w:r>
                  <w:r>
                    <w:rPr>
                      <w:rFonts w:hint="eastAsia"/>
                      <w:b w:val="0"/>
                      <w:bCs/>
                      <w:sz w:val="21"/>
                      <w:szCs w:val="21"/>
                      <w:lang w:val="en-US" w:eastAsia="zh-CN"/>
                    </w:rPr>
                    <w:t>1</w:t>
                  </w: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29.664</w:t>
                  </w:r>
                </w:p>
              </w:tc>
              <w:tc>
                <w:tcPr>
                  <w:tcW w:w="1205" w:type="pct"/>
                  <w:tcBorders>
                    <w:top w:val="single" w:color="auto" w:sz="4" w:space="0"/>
                    <w:left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洒水抑尘</w:t>
                  </w: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rFonts w:hint="eastAsia"/>
                      <w:color w:val="000000"/>
                      <w:szCs w:val="21"/>
                      <w:lang w:val="en-US" w:eastAsia="zh-CN"/>
                    </w:rPr>
                    <w:t>9</w:t>
                  </w:r>
                  <w:r>
                    <w:rPr>
                      <w:color w:val="000000"/>
                      <w:szCs w:val="21"/>
                    </w:rPr>
                    <w:t>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1.23</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2.966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108" w:hRule="atLeast"/>
                <w:jc w:val="center"/>
              </w:trPr>
              <w:tc>
                <w:tcPr>
                  <w:tcW w:w="26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olor w:val="000000"/>
                      <w:sz w:val="21"/>
                      <w:szCs w:val="21"/>
                      <w:lang w:val="en-US" w:eastAsia="zh-CN"/>
                    </w:rPr>
                  </w:pPr>
                  <w:r>
                    <w:rPr>
                      <w:rFonts w:hint="eastAsia"/>
                      <w:color w:val="000000"/>
                      <w:sz w:val="21"/>
                      <w:szCs w:val="21"/>
                      <w:lang w:val="en-US" w:eastAsia="zh-CN"/>
                    </w:rPr>
                    <w:t>穿孔作业扬尘</w:t>
                  </w:r>
                  <w:r>
                    <w:rPr>
                      <w:rFonts w:hint="eastAsia"/>
                      <w:b w:val="0"/>
                      <w:bCs/>
                      <w:sz w:val="21"/>
                      <w:szCs w:val="21"/>
                    </w:rPr>
                    <w:t>G</w:t>
                  </w:r>
                  <w:r>
                    <w:rPr>
                      <w:rFonts w:hint="eastAsia"/>
                      <w:b w:val="0"/>
                      <w:bCs/>
                      <w:sz w:val="21"/>
                      <w:szCs w:val="21"/>
                      <w:lang w:val="en-US" w:eastAsia="zh-CN"/>
                    </w:rPr>
                    <w:t>2</w:t>
                  </w: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color w:val="000000"/>
                      <w:szCs w:val="21"/>
                      <w:lang w:val="en-US" w:eastAsia="zh-CN"/>
                    </w:rPr>
                  </w:pPr>
                  <w:r>
                    <w:rPr>
                      <w:rFonts w:hint="eastAsia"/>
                      <w:color w:val="000000"/>
                      <w:szCs w:val="21"/>
                      <w:lang w:val="en-US" w:eastAsia="zh-CN"/>
                    </w:rPr>
                    <w:t>0.03</w:t>
                  </w:r>
                </w:p>
              </w:tc>
              <w:tc>
                <w:tcPr>
                  <w:tcW w:w="1205" w:type="pc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避免大风天气进行装卸作业，并洒水抑尘</w:t>
                  </w: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olor w:val="000000"/>
                      <w:szCs w:val="21"/>
                      <w:lang w:val="en-US" w:eastAsia="zh-CN"/>
                    </w:rPr>
                  </w:pPr>
                  <w:r>
                    <w:rPr>
                      <w:rFonts w:hint="eastAsia"/>
                      <w:color w:val="000000"/>
                      <w:szCs w:val="21"/>
                      <w:lang w:val="en-US" w:eastAsia="zh-CN"/>
                    </w:rPr>
                    <w:t>9</w:t>
                  </w:r>
                  <w:r>
                    <w:rPr>
                      <w:color w:val="000000"/>
                      <w:szCs w:val="21"/>
                    </w:rPr>
                    <w:t>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0.01</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color w:val="000000"/>
                      <w:szCs w:val="21"/>
                      <w:lang w:val="en-US" w:eastAsia="zh-CN"/>
                    </w:rPr>
                  </w:pPr>
                  <w:r>
                    <w:rPr>
                      <w:rFonts w:hint="eastAsia"/>
                      <w:color w:val="000000"/>
                      <w:szCs w:val="21"/>
                      <w:lang w:val="en-US" w:eastAsia="zh-CN"/>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594" w:hRule="atLeast"/>
                <w:jc w:val="center"/>
              </w:trPr>
              <w:tc>
                <w:tcPr>
                  <w:tcW w:w="26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eastAsia="宋体"/>
                      <w:color w:val="000000"/>
                      <w:sz w:val="21"/>
                      <w:szCs w:val="21"/>
                      <w:lang w:val="en-US" w:eastAsia="zh-CN"/>
                    </w:rPr>
                  </w:pPr>
                  <w:r>
                    <w:rPr>
                      <w:rFonts w:hint="eastAsia"/>
                      <w:color w:val="000000"/>
                      <w:sz w:val="21"/>
                      <w:szCs w:val="21"/>
                      <w:lang w:val="en-US" w:eastAsia="zh-CN"/>
                    </w:rPr>
                    <w:t>爆破作业扬尘</w:t>
                  </w:r>
                  <w:r>
                    <w:rPr>
                      <w:rFonts w:hint="eastAsia"/>
                      <w:b w:val="0"/>
                      <w:bCs/>
                      <w:sz w:val="21"/>
                      <w:szCs w:val="21"/>
                    </w:rPr>
                    <w:t>G</w:t>
                  </w:r>
                  <w:r>
                    <w:rPr>
                      <w:rFonts w:hint="eastAsia"/>
                      <w:b w:val="0"/>
                      <w:bCs/>
                      <w:sz w:val="21"/>
                      <w:szCs w:val="21"/>
                      <w:lang w:val="en-US" w:eastAsia="zh-CN"/>
                    </w:rPr>
                    <w:t>3</w:t>
                  </w: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color w:val="000000"/>
                      <w:szCs w:val="21"/>
                      <w:lang w:val="en-US" w:eastAsia="zh-CN"/>
                    </w:rPr>
                  </w:pPr>
                  <w:r>
                    <w:rPr>
                      <w:rFonts w:hint="eastAsia"/>
                      <w:color w:val="000000"/>
                      <w:szCs w:val="21"/>
                      <w:lang w:val="en-US" w:eastAsia="zh-CN"/>
                    </w:rPr>
                    <w:t>14.08</w:t>
                  </w:r>
                </w:p>
              </w:tc>
              <w:tc>
                <w:tcPr>
                  <w:tcW w:w="1205" w:type="pct"/>
                  <w:tcBorders>
                    <w:top w:val="single" w:color="auto" w:sz="4" w:space="0"/>
                    <w:left w:val="single" w:color="auto" w:sz="4" w:space="0"/>
                    <w:right w:val="single" w:color="auto" w:sz="4" w:space="0"/>
                  </w:tcBorders>
                  <w:noWrap w:val="0"/>
                  <w:vAlign w:val="center"/>
                </w:tcPr>
                <w:p>
                  <w:pPr>
                    <w:widowControl/>
                    <w:adjustRightInd w:val="0"/>
                    <w:snapToGrid w:val="0"/>
                    <w:jc w:val="center"/>
                    <w:rPr>
                      <w:rFonts w:hint="default"/>
                      <w:color w:val="000000"/>
                      <w:szCs w:val="21"/>
                      <w:lang w:val="en-US" w:eastAsia="zh-CN"/>
                    </w:rPr>
                  </w:pPr>
                  <w:r>
                    <w:rPr>
                      <w:rFonts w:hint="eastAsia"/>
                      <w:color w:val="000000"/>
                      <w:szCs w:val="21"/>
                      <w:lang w:val="en-US" w:eastAsia="zh-CN"/>
                    </w:rPr>
                    <w:t>压实、洒水等方式</w:t>
                  </w: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color w:val="000000"/>
                      <w:szCs w:val="21"/>
                      <w:lang w:val="en-US" w:eastAsia="zh-CN"/>
                    </w:rPr>
                  </w:pPr>
                  <w:r>
                    <w:rPr>
                      <w:rFonts w:hint="eastAsia"/>
                      <w:color w:val="000000"/>
                      <w:szCs w:val="21"/>
                      <w:lang w:val="en-US" w:eastAsia="zh-CN"/>
                    </w:rPr>
                    <w:t>90%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4.69</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color w:val="000000"/>
                      <w:szCs w:val="21"/>
                      <w:lang w:val="en-US" w:eastAsia="zh-CN"/>
                    </w:rPr>
                  </w:pPr>
                  <w:r>
                    <w:rPr>
                      <w:rFonts w:hint="eastAsia"/>
                      <w:color w:val="000000"/>
                      <w:szCs w:val="21"/>
                      <w:lang w:val="en-US" w:eastAsia="zh-CN"/>
                    </w:rPr>
                    <w:t>1.408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108" w:hRule="atLeast"/>
                <w:jc w:val="center"/>
              </w:trPr>
              <w:tc>
                <w:tcPr>
                  <w:tcW w:w="26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eastAsia="宋体"/>
                      <w:color w:val="000000"/>
                      <w:sz w:val="21"/>
                      <w:szCs w:val="21"/>
                      <w:lang w:val="en-US" w:eastAsia="zh-CN"/>
                    </w:rPr>
                  </w:pPr>
                  <w:r>
                    <w:rPr>
                      <w:rFonts w:hint="eastAsia"/>
                      <w:color w:val="000000"/>
                      <w:sz w:val="21"/>
                      <w:szCs w:val="21"/>
                      <w:lang w:val="en-US" w:eastAsia="zh-CN"/>
                    </w:rPr>
                    <w:t>铲装扬尘</w:t>
                  </w:r>
                  <w:r>
                    <w:rPr>
                      <w:rFonts w:hint="eastAsia"/>
                      <w:b w:val="0"/>
                      <w:bCs/>
                      <w:sz w:val="21"/>
                      <w:szCs w:val="21"/>
                    </w:rPr>
                    <w:t>G</w:t>
                  </w:r>
                  <w:r>
                    <w:rPr>
                      <w:rFonts w:hint="eastAsia"/>
                      <w:b w:val="0"/>
                      <w:bCs/>
                      <w:sz w:val="21"/>
                      <w:szCs w:val="21"/>
                      <w:lang w:val="en-US" w:eastAsia="zh-CN"/>
                    </w:rPr>
                    <w:t>4</w:t>
                  </w: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szCs w:val="21"/>
                    </w:rPr>
                  </w:pPr>
                  <w:r>
                    <w:rPr>
                      <w:color w:val="auto"/>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lang w:val="en-US" w:eastAsia="zh-CN"/>
                    </w:rPr>
                  </w:pPr>
                  <w:r>
                    <w:rPr>
                      <w:rFonts w:hint="eastAsia"/>
                      <w:color w:val="auto"/>
                      <w:szCs w:val="21"/>
                      <w:lang w:val="en-US" w:eastAsia="zh-CN"/>
                    </w:rPr>
                    <w:t>7.286</w:t>
                  </w:r>
                </w:p>
              </w:tc>
              <w:tc>
                <w:tcPr>
                  <w:tcW w:w="1205" w:type="pct"/>
                  <w:tcBorders>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lang w:val="en-US" w:eastAsia="zh-CN"/>
                    </w:rPr>
                  </w:pPr>
                  <w:r>
                    <w:rPr>
                      <w:rFonts w:hint="eastAsia"/>
                      <w:color w:val="auto"/>
                      <w:szCs w:val="21"/>
                      <w:lang w:val="en-US" w:eastAsia="zh-CN"/>
                    </w:rPr>
                    <w:t>洒水抑尘</w:t>
                  </w: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szCs w:val="21"/>
                    </w:rPr>
                  </w:pPr>
                  <w:r>
                    <w:rPr>
                      <w:rFonts w:hint="eastAsia"/>
                      <w:color w:val="auto"/>
                      <w:szCs w:val="21"/>
                      <w:lang w:val="en-US" w:eastAsia="zh-CN"/>
                    </w:rPr>
                    <w:t>9</w:t>
                  </w:r>
                  <w:r>
                    <w:rPr>
                      <w:color w:val="auto"/>
                      <w:szCs w:val="21"/>
                    </w:rPr>
                    <w:t>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lang w:val="en-US" w:eastAsia="zh-CN"/>
                    </w:rPr>
                  </w:pPr>
                  <w:r>
                    <w:rPr>
                      <w:rFonts w:hint="eastAsia"/>
                      <w:color w:val="auto"/>
                      <w:szCs w:val="21"/>
                      <w:lang w:val="en-US" w:eastAsia="zh-CN"/>
                    </w:rPr>
                    <w:t>0.205</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0.729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108" w:hRule="atLeast"/>
                <w:jc w:val="center"/>
              </w:trPr>
              <w:tc>
                <w:tcPr>
                  <w:tcW w:w="268"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2</w:t>
                  </w:r>
                </w:p>
                <w:p>
                  <w:pPr>
                    <w:widowControl/>
                    <w:adjustRightInd w:val="0"/>
                    <w:snapToGrid w:val="0"/>
                    <w:jc w:val="center"/>
                    <w:rPr>
                      <w:color w:val="000000"/>
                      <w:szCs w:val="21"/>
                    </w:rPr>
                  </w:pPr>
                </w:p>
              </w:tc>
              <w:tc>
                <w:tcPr>
                  <w:tcW w:w="833"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eastAsia="宋体"/>
                      <w:color w:val="000000"/>
                      <w:szCs w:val="21"/>
                      <w:lang w:val="en-US" w:eastAsia="zh-CN"/>
                    </w:rPr>
                  </w:pPr>
                  <w:r>
                    <w:rPr>
                      <w:rFonts w:hint="eastAsia"/>
                      <w:color w:val="000000"/>
                      <w:szCs w:val="21"/>
                      <w:lang w:val="en-US" w:eastAsia="zh-CN"/>
                    </w:rPr>
                    <w:t>原料堆场扬尘</w:t>
                  </w:r>
                  <w:r>
                    <w:rPr>
                      <w:rFonts w:hint="eastAsia"/>
                      <w:b w:val="0"/>
                      <w:bCs/>
                      <w:sz w:val="21"/>
                      <w:szCs w:val="21"/>
                    </w:rPr>
                    <w:t>G</w:t>
                  </w:r>
                  <w:r>
                    <w:rPr>
                      <w:rFonts w:hint="eastAsia"/>
                      <w:b w:val="0"/>
                      <w:bCs/>
                      <w:sz w:val="21"/>
                      <w:szCs w:val="21"/>
                      <w:lang w:val="en-US" w:eastAsia="zh-CN"/>
                    </w:rPr>
                    <w:t>5</w:t>
                  </w: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szCs w:val="21"/>
                    </w:rPr>
                  </w:pPr>
                  <w:r>
                    <w:rPr>
                      <w:color w:val="auto"/>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szCs w:val="21"/>
                    </w:rPr>
                  </w:pPr>
                  <w:r>
                    <w:rPr>
                      <w:rFonts w:hint="eastAsia"/>
                      <w:color w:val="auto"/>
                      <w:szCs w:val="21"/>
                      <w:lang w:val="en-US" w:eastAsia="zh-CN"/>
                    </w:rPr>
                    <w:t>0.37</w:t>
                  </w:r>
                </w:p>
              </w:tc>
              <w:tc>
                <w:tcPr>
                  <w:tcW w:w="120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szCs w:val="21"/>
                    </w:rPr>
                  </w:pPr>
                  <w:r>
                    <w:rPr>
                      <w:rFonts w:hint="eastAsia"/>
                      <w:color w:val="auto"/>
                      <w:szCs w:val="21"/>
                      <w:lang w:val="en-US" w:eastAsia="zh-CN"/>
                    </w:rPr>
                    <w:t>半封闭式堆棚，并用篷布遮盖，定期洒水</w:t>
                  </w: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szCs w:val="21"/>
                    </w:rPr>
                  </w:pPr>
                  <w:r>
                    <w:rPr>
                      <w:rFonts w:hint="eastAsia"/>
                      <w:color w:val="auto"/>
                      <w:szCs w:val="21"/>
                      <w:lang w:val="en-US" w:eastAsia="zh-CN"/>
                    </w:rPr>
                    <w:t>90%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lang w:val="en-US" w:eastAsia="zh-CN"/>
                    </w:rPr>
                  </w:pPr>
                  <w:r>
                    <w:rPr>
                      <w:rFonts w:hint="eastAsia"/>
                      <w:color w:val="auto"/>
                      <w:szCs w:val="21"/>
                      <w:lang w:val="en-US" w:eastAsia="zh-CN"/>
                    </w:rPr>
                    <w:t>0.0154</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0.037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509" w:hRule="atLeast"/>
                <w:jc w:val="center"/>
              </w:trPr>
              <w:tc>
                <w:tcPr>
                  <w:tcW w:w="26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eastAsia="宋体"/>
                      <w:color w:val="000000"/>
                      <w:szCs w:val="21"/>
                      <w:lang w:val="en-US" w:eastAsia="zh-CN"/>
                    </w:rPr>
                  </w:pPr>
                  <w:r>
                    <w:rPr>
                      <w:rFonts w:hint="eastAsia"/>
                      <w:color w:val="000000"/>
                      <w:szCs w:val="21"/>
                      <w:lang w:val="en-US" w:eastAsia="zh-CN"/>
                    </w:rPr>
                    <w:t>成品堆场扬尘</w:t>
                  </w:r>
                  <w:r>
                    <w:rPr>
                      <w:rFonts w:hint="eastAsia"/>
                      <w:b w:val="0"/>
                      <w:bCs/>
                      <w:sz w:val="21"/>
                      <w:szCs w:val="21"/>
                    </w:rPr>
                    <w:t>G</w:t>
                  </w:r>
                  <w:r>
                    <w:rPr>
                      <w:rFonts w:hint="eastAsia"/>
                      <w:b w:val="0"/>
                      <w:bCs/>
                      <w:sz w:val="21"/>
                      <w:szCs w:val="21"/>
                      <w:lang w:val="en-US" w:eastAsia="zh-CN"/>
                    </w:rPr>
                    <w:t>6</w:t>
                  </w: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szCs w:val="21"/>
                    </w:rPr>
                  </w:pPr>
                  <w:r>
                    <w:rPr>
                      <w:color w:val="auto"/>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lang w:val="en-US" w:eastAsia="zh-CN"/>
                    </w:rPr>
                  </w:pPr>
                  <w:r>
                    <w:rPr>
                      <w:rFonts w:hint="eastAsia"/>
                      <w:color w:val="auto"/>
                      <w:szCs w:val="21"/>
                      <w:lang w:val="en-US" w:eastAsia="zh-CN"/>
                    </w:rPr>
                    <w:t>0.83</w:t>
                  </w:r>
                </w:p>
              </w:tc>
              <w:tc>
                <w:tcPr>
                  <w:tcW w:w="120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lang w:val="en-US" w:eastAsia="zh-CN"/>
                    </w:rPr>
                  </w:pPr>
                  <w:r>
                    <w:rPr>
                      <w:rFonts w:hint="eastAsia"/>
                      <w:color w:val="auto"/>
                      <w:szCs w:val="21"/>
                      <w:lang w:val="en-US" w:eastAsia="zh-CN"/>
                    </w:rPr>
                    <w:t>半封闭式堆棚，并用篷布遮盖，定期洒水</w:t>
                  </w:r>
                </w:p>
              </w:tc>
              <w:tc>
                <w:tcPr>
                  <w:tcW w:w="44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auto"/>
                      <w:szCs w:val="21"/>
                    </w:rPr>
                  </w:pPr>
                  <w:r>
                    <w:rPr>
                      <w:rFonts w:hint="eastAsia"/>
                      <w:color w:val="auto"/>
                      <w:szCs w:val="21"/>
                      <w:lang w:val="en-US" w:eastAsia="zh-CN"/>
                    </w:rPr>
                    <w:t>90%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lang w:val="en-US" w:eastAsia="zh-CN"/>
                    </w:rPr>
                  </w:pPr>
                  <w:r>
                    <w:rPr>
                      <w:rFonts w:hint="eastAsia"/>
                      <w:color w:val="auto"/>
                      <w:szCs w:val="21"/>
                      <w:lang w:val="en-US" w:eastAsia="zh-CN"/>
                    </w:rPr>
                    <w:t>0.0346</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0.083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524" w:hRule="atLeast"/>
                <w:jc w:val="center"/>
              </w:trPr>
              <w:tc>
                <w:tcPr>
                  <w:tcW w:w="26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tcBorders>
                    <w:top w:val="single" w:color="auto" w:sz="4" w:space="0"/>
                    <w:left w:val="single" w:color="auto" w:sz="4" w:space="0"/>
                    <w:right w:val="single" w:color="auto" w:sz="4" w:space="0"/>
                  </w:tcBorders>
                  <w:noWrap w:val="0"/>
                  <w:vAlign w:val="center"/>
                </w:tcPr>
                <w:p>
                  <w:pPr>
                    <w:adjustRightInd w:val="0"/>
                    <w:snapToGrid w:val="0"/>
                    <w:jc w:val="center"/>
                    <w:rPr>
                      <w:rFonts w:hint="eastAsia" w:eastAsia="宋体"/>
                      <w:color w:val="000000"/>
                      <w:szCs w:val="21"/>
                      <w:lang w:val="en-US" w:eastAsia="zh-CN"/>
                    </w:rPr>
                  </w:pPr>
                  <w:r>
                    <w:rPr>
                      <w:rFonts w:hint="eastAsia"/>
                      <w:color w:val="000000"/>
                      <w:szCs w:val="21"/>
                      <w:lang w:val="en-US" w:eastAsia="zh-CN"/>
                    </w:rPr>
                    <w:t>筛分扬尘</w:t>
                  </w:r>
                  <w:r>
                    <w:rPr>
                      <w:rFonts w:hint="eastAsia"/>
                      <w:b w:val="0"/>
                      <w:bCs/>
                      <w:sz w:val="21"/>
                      <w:szCs w:val="21"/>
                    </w:rPr>
                    <w:t>G</w:t>
                  </w:r>
                  <w:r>
                    <w:rPr>
                      <w:rFonts w:hint="eastAsia"/>
                      <w:b w:val="0"/>
                      <w:bCs/>
                      <w:sz w:val="21"/>
                      <w:szCs w:val="21"/>
                      <w:lang w:val="en-US" w:eastAsia="zh-CN"/>
                    </w:rPr>
                    <w:t>7</w:t>
                  </w:r>
                </w:p>
              </w:tc>
              <w:tc>
                <w:tcPr>
                  <w:tcW w:w="62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Cs w:val="21"/>
                      <w:highlight w:val="none"/>
                    </w:rPr>
                  </w:pPr>
                  <w:r>
                    <w:rPr>
                      <w:color w:val="auto"/>
                      <w:szCs w:val="21"/>
                      <w:highlight w:val="none"/>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6.4</w:t>
                  </w:r>
                </w:p>
              </w:tc>
              <w:tc>
                <w:tcPr>
                  <w:tcW w:w="1205"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color w:val="auto"/>
                      <w:szCs w:val="21"/>
                      <w:highlight w:val="none"/>
                    </w:rPr>
                  </w:pPr>
                  <w:r>
                    <w:rPr>
                      <w:rFonts w:hint="eastAsia"/>
                      <w:color w:val="auto"/>
                      <w:highlight w:val="none"/>
                      <w:lang w:val="zh-CN"/>
                    </w:rPr>
                    <w:t>设置全封闭厂房，车间进行喷淋降尘</w:t>
                  </w:r>
                  <w:r>
                    <w:rPr>
                      <w:rFonts w:hint="eastAsia"/>
                      <w:color w:val="auto"/>
                      <w:highlight w:val="none"/>
                    </w:rPr>
                    <w:t>处理</w:t>
                  </w:r>
                  <w:r>
                    <w:rPr>
                      <w:rFonts w:hint="eastAsia"/>
                      <w:color w:val="auto"/>
                      <w:highlight w:val="none"/>
                      <w:lang w:val="zh-CN"/>
                    </w:rPr>
                    <w:t>，破碎机、筛分机、制砂机</w:t>
                  </w:r>
                  <w:r>
                    <w:rPr>
                      <w:rFonts w:hint="eastAsia"/>
                      <w:color w:val="auto"/>
                      <w:highlight w:val="none"/>
                      <w:lang w:eastAsia="zh-CN" w:bidi="ar"/>
                    </w:rPr>
                    <w:t>设置冲水管道</w:t>
                  </w:r>
                  <w:r>
                    <w:rPr>
                      <w:rFonts w:hint="eastAsia"/>
                      <w:color w:val="auto"/>
                      <w:highlight w:val="none"/>
                      <w:lang w:bidi="ar"/>
                    </w:rPr>
                    <w:t>，项目皮带传送采用密闭传送带。</w:t>
                  </w:r>
                </w:p>
              </w:tc>
              <w:tc>
                <w:tcPr>
                  <w:tcW w:w="448" w:type="pct"/>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hint="default" w:eastAsia="宋体"/>
                      <w:color w:val="auto"/>
                      <w:szCs w:val="21"/>
                      <w:highlight w:val="none"/>
                      <w:lang w:val="en-US" w:eastAsia="zh-CN"/>
                    </w:rPr>
                  </w:pPr>
                  <w:r>
                    <w:rPr>
                      <w:color w:val="auto"/>
                      <w:szCs w:val="21"/>
                      <w:highlight w:val="none"/>
                    </w:rPr>
                    <w:t>9</w:t>
                  </w:r>
                  <w:r>
                    <w:rPr>
                      <w:rFonts w:hint="eastAsia"/>
                      <w:color w:val="auto"/>
                      <w:szCs w:val="21"/>
                      <w:highlight w:val="none"/>
                      <w:lang w:val="en-US" w:eastAsia="zh-CN"/>
                    </w:rPr>
                    <w:t>0</w:t>
                  </w:r>
                  <w:r>
                    <w:rPr>
                      <w:color w:val="auto"/>
                      <w:szCs w:val="21"/>
                      <w:highlight w:val="none"/>
                    </w:rPr>
                    <w:t>%</w:t>
                  </w:r>
                  <w:r>
                    <w:rPr>
                      <w:rFonts w:hint="eastAsia"/>
                      <w:color w:val="auto"/>
                      <w:szCs w:val="21"/>
                      <w:highlight w:val="none"/>
                      <w:lang w:val="en-US" w:eastAsia="zh-CN"/>
                    </w:rPr>
                    <w:t>/50%</w:t>
                  </w:r>
                </w:p>
              </w:tc>
              <w:tc>
                <w:tcPr>
                  <w:tcW w:w="580"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highlight w:val="none"/>
                      <w:lang w:val="en-US" w:eastAsia="zh-CN"/>
                    </w:rPr>
                  </w:pPr>
                  <w:r>
                    <w:rPr>
                      <w:rFonts w:hint="eastAsia"/>
                      <w:color w:val="auto"/>
                      <w:szCs w:val="21"/>
                      <w:highlight w:val="none"/>
                      <w:lang w:val="en-US" w:eastAsia="zh-CN"/>
                    </w:rPr>
                    <w:t>0.133</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524" w:hRule="atLeast"/>
                <w:jc w:val="center"/>
              </w:trPr>
              <w:tc>
                <w:tcPr>
                  <w:tcW w:w="26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tcBorders>
                    <w:top w:val="single" w:color="auto" w:sz="4" w:space="0"/>
                    <w:left w:val="single" w:color="auto" w:sz="4" w:space="0"/>
                    <w:right w:val="single" w:color="auto" w:sz="4" w:space="0"/>
                  </w:tcBorders>
                  <w:noWrap w:val="0"/>
                  <w:vAlign w:val="center"/>
                </w:tcPr>
                <w:p>
                  <w:pPr>
                    <w:adjustRightInd w:val="0"/>
                    <w:snapToGrid w:val="0"/>
                    <w:jc w:val="center"/>
                    <w:rPr>
                      <w:rFonts w:hint="eastAsia" w:eastAsia="宋体"/>
                      <w:color w:val="000000"/>
                      <w:szCs w:val="21"/>
                      <w:lang w:val="en-US" w:eastAsia="zh-CN"/>
                    </w:rPr>
                  </w:pPr>
                  <w:r>
                    <w:rPr>
                      <w:rFonts w:hint="eastAsia"/>
                      <w:color w:val="000000"/>
                      <w:szCs w:val="21"/>
                      <w:lang w:val="en-US" w:eastAsia="zh-CN"/>
                    </w:rPr>
                    <w:t>破碎扬尘</w:t>
                  </w:r>
                  <w:r>
                    <w:rPr>
                      <w:rFonts w:hint="eastAsia"/>
                      <w:b w:val="0"/>
                      <w:bCs/>
                      <w:sz w:val="21"/>
                      <w:szCs w:val="21"/>
                    </w:rPr>
                    <w:t>G</w:t>
                  </w:r>
                  <w:r>
                    <w:rPr>
                      <w:rFonts w:hint="eastAsia"/>
                      <w:b w:val="0"/>
                      <w:bCs/>
                      <w:sz w:val="21"/>
                      <w:szCs w:val="21"/>
                      <w:lang w:val="en-US" w:eastAsia="zh-CN"/>
                    </w:rPr>
                    <w:t>8</w:t>
                  </w:r>
                </w:p>
              </w:tc>
              <w:tc>
                <w:tcPr>
                  <w:tcW w:w="62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Cs w:val="21"/>
                    </w:rPr>
                  </w:pPr>
                  <w:r>
                    <w:rPr>
                      <w:color w:val="auto"/>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auto"/>
                      <w:szCs w:val="21"/>
                      <w:lang w:val="en-US" w:eastAsia="zh-CN"/>
                    </w:rPr>
                  </w:pPr>
                  <w:r>
                    <w:rPr>
                      <w:rFonts w:hint="eastAsia"/>
                      <w:color w:val="auto"/>
                      <w:szCs w:val="21"/>
                      <w:lang w:val="en-US" w:eastAsia="zh-CN"/>
                    </w:rPr>
                    <w:t>96</w:t>
                  </w:r>
                </w:p>
              </w:tc>
              <w:tc>
                <w:tcPr>
                  <w:tcW w:w="1205" w:type="pct"/>
                  <w:vMerge w:val="continue"/>
                  <w:tcBorders>
                    <w:left w:val="single" w:color="auto" w:sz="4" w:space="0"/>
                    <w:right w:val="single" w:color="auto" w:sz="4" w:space="0"/>
                  </w:tcBorders>
                  <w:noWrap w:val="0"/>
                  <w:vAlign w:val="center"/>
                </w:tcPr>
                <w:p>
                  <w:pPr>
                    <w:widowControl/>
                    <w:adjustRightInd w:val="0"/>
                    <w:snapToGrid w:val="0"/>
                    <w:jc w:val="center"/>
                    <w:rPr>
                      <w:color w:val="auto"/>
                      <w:szCs w:val="21"/>
                    </w:rPr>
                  </w:pPr>
                </w:p>
              </w:tc>
              <w:tc>
                <w:tcPr>
                  <w:tcW w:w="448" w:type="pct"/>
                  <w:vMerge w:val="continue"/>
                  <w:tcBorders>
                    <w:left w:val="single" w:color="auto" w:sz="4" w:space="0"/>
                    <w:right w:val="single" w:color="auto" w:sz="4" w:space="0"/>
                  </w:tcBorders>
                  <w:noWrap w:val="0"/>
                  <w:vAlign w:val="center"/>
                </w:tcPr>
                <w:p>
                  <w:pPr>
                    <w:adjustRightInd w:val="0"/>
                    <w:snapToGrid w:val="0"/>
                    <w:jc w:val="center"/>
                    <w:rPr>
                      <w:color w:val="auto"/>
                      <w:szCs w:val="21"/>
                    </w:rPr>
                  </w:pPr>
                </w:p>
              </w:tc>
              <w:tc>
                <w:tcPr>
                  <w:tcW w:w="5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auto"/>
                      <w:lang w:val="en-US" w:eastAsia="zh-CN"/>
                    </w:rPr>
                  </w:pPr>
                  <w:r>
                    <w:rPr>
                      <w:rFonts w:hint="eastAsia"/>
                      <w:color w:val="auto"/>
                      <w:lang w:val="en-US" w:eastAsia="zh-CN"/>
                    </w:rPr>
                    <w:t>2.0</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524" w:hRule="atLeast"/>
                <w:jc w:val="center"/>
              </w:trPr>
              <w:tc>
                <w:tcPr>
                  <w:tcW w:w="26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tcBorders>
                    <w:top w:val="single" w:color="auto" w:sz="4" w:space="0"/>
                    <w:left w:val="single" w:color="auto" w:sz="4" w:space="0"/>
                    <w:right w:val="single" w:color="auto" w:sz="4" w:space="0"/>
                  </w:tcBorders>
                  <w:noWrap w:val="0"/>
                  <w:vAlign w:val="center"/>
                </w:tcPr>
                <w:p>
                  <w:pPr>
                    <w:adjustRightInd w:val="0"/>
                    <w:snapToGrid w:val="0"/>
                    <w:jc w:val="center"/>
                    <w:rPr>
                      <w:rFonts w:hint="eastAsia"/>
                      <w:color w:val="000000"/>
                      <w:szCs w:val="21"/>
                      <w:lang w:val="en-US" w:eastAsia="zh-CN"/>
                    </w:rPr>
                  </w:pPr>
                  <w:r>
                    <w:rPr>
                      <w:rFonts w:hint="eastAsia" w:ascii="Times New Roman" w:hAnsi="Times New Roman" w:cs="Times New Roman"/>
                      <w:color w:val="000000"/>
                      <w:szCs w:val="21"/>
                      <w:lang w:val="en-US" w:eastAsia="zh-CN"/>
                    </w:rPr>
                    <w:t>制砂粉尘G9</w:t>
                  </w:r>
                </w:p>
              </w:tc>
              <w:tc>
                <w:tcPr>
                  <w:tcW w:w="62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Cs w:val="21"/>
                    </w:rPr>
                  </w:pPr>
                  <w:r>
                    <w:rPr>
                      <w:color w:val="auto"/>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color w:val="auto"/>
                      <w:szCs w:val="21"/>
                      <w:lang w:val="en-US" w:eastAsia="zh-CN"/>
                    </w:rPr>
                  </w:pPr>
                  <w:r>
                    <w:rPr>
                      <w:rFonts w:hint="eastAsia"/>
                      <w:color w:val="auto"/>
                      <w:szCs w:val="21"/>
                      <w:lang w:val="en-US" w:eastAsia="zh-CN"/>
                    </w:rPr>
                    <w:t>128</w:t>
                  </w:r>
                </w:p>
              </w:tc>
              <w:tc>
                <w:tcPr>
                  <w:tcW w:w="1205" w:type="pct"/>
                  <w:vMerge w:val="continue"/>
                  <w:tcBorders>
                    <w:left w:val="single" w:color="auto" w:sz="4" w:space="0"/>
                    <w:right w:val="single" w:color="auto" w:sz="4" w:space="0"/>
                  </w:tcBorders>
                  <w:noWrap w:val="0"/>
                  <w:vAlign w:val="center"/>
                </w:tcPr>
                <w:p>
                  <w:pPr>
                    <w:widowControl/>
                    <w:adjustRightInd w:val="0"/>
                    <w:snapToGrid w:val="0"/>
                    <w:jc w:val="center"/>
                    <w:rPr>
                      <w:color w:val="auto"/>
                      <w:szCs w:val="21"/>
                    </w:rPr>
                  </w:pPr>
                </w:p>
              </w:tc>
              <w:tc>
                <w:tcPr>
                  <w:tcW w:w="448" w:type="pct"/>
                  <w:vMerge w:val="continue"/>
                  <w:tcBorders>
                    <w:left w:val="single" w:color="auto" w:sz="4" w:space="0"/>
                    <w:right w:val="single" w:color="auto" w:sz="4" w:space="0"/>
                  </w:tcBorders>
                  <w:noWrap w:val="0"/>
                  <w:vAlign w:val="center"/>
                </w:tcPr>
                <w:p>
                  <w:pPr>
                    <w:adjustRightInd w:val="0"/>
                    <w:snapToGrid w:val="0"/>
                    <w:jc w:val="center"/>
                    <w:rPr>
                      <w:color w:val="auto"/>
                      <w:szCs w:val="21"/>
                    </w:rPr>
                  </w:pPr>
                </w:p>
              </w:tc>
              <w:tc>
                <w:tcPr>
                  <w:tcW w:w="5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lang w:val="en-US" w:eastAsia="zh-CN"/>
                    </w:rPr>
                  </w:pPr>
                  <w:r>
                    <w:rPr>
                      <w:rFonts w:hint="eastAsia"/>
                      <w:color w:val="auto"/>
                      <w:lang w:val="en-US" w:eastAsia="zh-CN"/>
                    </w:rPr>
                    <w:t>2.67</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color w:val="000000"/>
                      <w:szCs w:val="21"/>
                      <w:lang w:val="en-US" w:eastAsia="zh-CN"/>
                    </w:rPr>
                  </w:pPr>
                  <w:r>
                    <w:rPr>
                      <w:rFonts w:hint="eastAsia"/>
                      <w:color w:val="000000"/>
                      <w:szCs w:val="21"/>
                      <w:lang w:val="en-US" w:eastAsia="zh-CN"/>
                    </w:rPr>
                    <w:t>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524" w:hRule="atLeast"/>
                <w:jc w:val="center"/>
              </w:trPr>
              <w:tc>
                <w:tcPr>
                  <w:tcW w:w="26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tcBorders>
                    <w:top w:val="single" w:color="auto" w:sz="4" w:space="0"/>
                    <w:left w:val="single" w:color="auto" w:sz="4" w:space="0"/>
                    <w:right w:val="single" w:color="auto" w:sz="4" w:space="0"/>
                  </w:tcBorders>
                  <w:noWrap w:val="0"/>
                  <w:vAlign w:val="center"/>
                </w:tcPr>
                <w:p>
                  <w:pPr>
                    <w:adjustRightInd w:val="0"/>
                    <w:snapToGrid w:val="0"/>
                    <w:jc w:val="center"/>
                    <w:rPr>
                      <w:rFonts w:hint="default" w:eastAsia="宋体"/>
                      <w:color w:val="000000"/>
                      <w:szCs w:val="21"/>
                      <w:lang w:val="en-US" w:eastAsia="zh-CN"/>
                    </w:rPr>
                  </w:pPr>
                  <w:r>
                    <w:rPr>
                      <w:rFonts w:hint="eastAsia"/>
                      <w:color w:val="000000"/>
                      <w:szCs w:val="21"/>
                      <w:lang w:val="en-US" w:eastAsia="zh-CN"/>
                    </w:rPr>
                    <w:t>皮带传输扬尘</w:t>
                  </w:r>
                  <w:r>
                    <w:rPr>
                      <w:rFonts w:hint="eastAsia"/>
                      <w:b w:val="0"/>
                      <w:bCs/>
                      <w:sz w:val="21"/>
                      <w:szCs w:val="21"/>
                    </w:rPr>
                    <w:t>G</w:t>
                  </w:r>
                  <w:r>
                    <w:rPr>
                      <w:rFonts w:hint="eastAsia"/>
                      <w:b w:val="0"/>
                      <w:bCs/>
                      <w:sz w:val="21"/>
                      <w:szCs w:val="21"/>
                      <w:lang w:val="en-US" w:eastAsia="zh-CN"/>
                    </w:rPr>
                    <w:t>10</w:t>
                  </w:r>
                </w:p>
              </w:tc>
              <w:tc>
                <w:tcPr>
                  <w:tcW w:w="62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auto"/>
                      <w:szCs w:val="21"/>
                    </w:rPr>
                  </w:pPr>
                  <w:r>
                    <w:rPr>
                      <w:color w:val="auto"/>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olor w:val="auto"/>
                      <w:szCs w:val="21"/>
                      <w:lang w:val="en-US" w:eastAsia="zh-CN"/>
                    </w:rPr>
                  </w:pPr>
                  <w:r>
                    <w:rPr>
                      <w:rFonts w:hint="eastAsia"/>
                      <w:color w:val="auto"/>
                      <w:szCs w:val="21"/>
                      <w:lang w:val="en-US" w:eastAsia="zh-CN"/>
                    </w:rPr>
                    <w:t>少量</w:t>
                  </w:r>
                </w:p>
              </w:tc>
              <w:tc>
                <w:tcPr>
                  <w:tcW w:w="1205" w:type="pct"/>
                  <w:tcBorders>
                    <w:top w:val="single" w:color="auto" w:sz="4" w:space="0"/>
                    <w:left w:val="single" w:color="auto" w:sz="4" w:space="0"/>
                    <w:right w:val="single" w:color="auto" w:sz="4" w:space="0"/>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color w:val="auto"/>
                      <w:szCs w:val="21"/>
                    </w:rPr>
                  </w:pPr>
                  <w:r>
                    <w:rPr>
                      <w:rFonts w:hint="default" w:ascii="Times New Roman" w:hAnsi="Times New Roman" w:eastAsia="宋体" w:cs="Times New Roman"/>
                      <w:color w:val="auto"/>
                      <w:sz w:val="21"/>
                      <w:szCs w:val="21"/>
                      <w:lang w:eastAsia="zh-CN"/>
                    </w:rPr>
                    <w:t>皮带传送采用密闭传送带</w:t>
                  </w:r>
                </w:p>
              </w:tc>
              <w:tc>
                <w:tcPr>
                  <w:tcW w:w="448" w:type="pct"/>
                  <w:tcBorders>
                    <w:top w:val="single" w:color="auto" w:sz="4" w:space="0"/>
                    <w:left w:val="single" w:color="auto" w:sz="4" w:space="0"/>
                    <w:right w:val="single" w:color="auto" w:sz="4" w:space="0"/>
                  </w:tcBorders>
                  <w:noWrap w:val="0"/>
                  <w:vAlign w:val="center"/>
                </w:tcPr>
                <w:p>
                  <w:pPr>
                    <w:adjustRightInd w:val="0"/>
                    <w:snapToGrid w:val="0"/>
                    <w:jc w:val="center"/>
                    <w:rPr>
                      <w:color w:val="auto"/>
                      <w:szCs w:val="21"/>
                    </w:rPr>
                  </w:pPr>
                  <w:r>
                    <w:rPr>
                      <w:color w:val="auto"/>
                      <w:szCs w:val="21"/>
                    </w:rPr>
                    <w:t>/</w:t>
                  </w:r>
                </w:p>
              </w:tc>
              <w:tc>
                <w:tcPr>
                  <w:tcW w:w="5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lang w:val="en-US" w:eastAsia="zh-CN"/>
                    </w:rPr>
                  </w:pPr>
                  <w:r>
                    <w:rPr>
                      <w:rFonts w:hint="eastAsia"/>
                      <w:color w:val="auto"/>
                      <w:szCs w:val="21"/>
                      <w:lang w:val="en-US" w:eastAsia="zh-CN"/>
                    </w:rPr>
                    <w:t>少量</w:t>
                  </w:r>
                </w:p>
              </w:tc>
              <w:tc>
                <w:tcPr>
                  <w:tcW w:w="55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Cs w:val="21"/>
                      <w:lang w:val="en-US" w:eastAsia="zh-CN"/>
                    </w:rPr>
                  </w:pPr>
                  <w:r>
                    <w:rPr>
                      <w:rFonts w:hint="eastAsia"/>
                      <w:color w:val="000000"/>
                      <w:szCs w:val="21"/>
                      <w:lang w:val="en-US" w:eastAsia="zh-CN"/>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524" w:hRule="atLeast"/>
                <w:jc w:val="center"/>
              </w:trPr>
              <w:tc>
                <w:tcPr>
                  <w:tcW w:w="26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tcBorders>
                    <w:top w:val="single" w:color="auto" w:sz="4" w:space="0"/>
                    <w:left w:val="single" w:color="auto" w:sz="4" w:space="0"/>
                    <w:right w:val="single" w:color="auto" w:sz="4" w:space="0"/>
                  </w:tcBorders>
                  <w:noWrap w:val="0"/>
                  <w:vAlign w:val="center"/>
                </w:tcPr>
                <w:p>
                  <w:pPr>
                    <w:adjustRightInd w:val="0"/>
                    <w:snapToGrid w:val="0"/>
                    <w:jc w:val="center"/>
                    <w:rPr>
                      <w:rFonts w:hint="default" w:eastAsia="宋体"/>
                      <w:color w:val="000000"/>
                      <w:szCs w:val="21"/>
                      <w:lang w:val="en-US" w:eastAsia="zh-CN"/>
                    </w:rPr>
                  </w:pPr>
                  <w:r>
                    <w:rPr>
                      <w:rFonts w:hint="eastAsia"/>
                      <w:color w:val="000000"/>
                      <w:szCs w:val="21"/>
                      <w:lang w:val="en-US" w:eastAsia="zh-CN"/>
                    </w:rPr>
                    <w:t>道路运输扬尘</w:t>
                  </w:r>
                  <w:r>
                    <w:rPr>
                      <w:rFonts w:hint="eastAsia"/>
                      <w:b w:val="0"/>
                      <w:bCs/>
                      <w:sz w:val="21"/>
                      <w:szCs w:val="21"/>
                    </w:rPr>
                    <w:t>G</w:t>
                  </w:r>
                  <w:r>
                    <w:rPr>
                      <w:rFonts w:hint="eastAsia"/>
                      <w:b w:val="0"/>
                      <w:bCs/>
                      <w:sz w:val="21"/>
                      <w:szCs w:val="21"/>
                      <w:lang w:val="en-US" w:eastAsia="zh-CN"/>
                    </w:rPr>
                    <w:t>11</w:t>
                  </w:r>
                </w:p>
              </w:tc>
              <w:tc>
                <w:tcPr>
                  <w:tcW w:w="625"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color w:val="000000"/>
                      <w:szCs w:val="21"/>
                    </w:rPr>
                  </w:pPr>
                  <w:r>
                    <w:rPr>
                      <w:color w:val="000000"/>
                      <w:szCs w:val="21"/>
                    </w:rPr>
                    <w:t>颗粒物</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color w:val="000000"/>
                      <w:szCs w:val="21"/>
                      <w:lang w:val="en-US" w:eastAsia="zh-CN"/>
                    </w:rPr>
                  </w:pPr>
                  <w:r>
                    <w:rPr>
                      <w:rFonts w:hint="eastAsia"/>
                      <w:color w:val="000000"/>
                      <w:szCs w:val="21"/>
                      <w:lang w:val="en-US" w:eastAsia="zh-CN"/>
                    </w:rPr>
                    <w:t>少量</w:t>
                  </w:r>
                </w:p>
              </w:tc>
              <w:tc>
                <w:tcPr>
                  <w:tcW w:w="1205" w:type="pct"/>
                  <w:tcBorders>
                    <w:top w:val="single" w:color="auto" w:sz="4" w:space="0"/>
                    <w:left w:val="single" w:color="auto" w:sz="4" w:space="0"/>
                    <w:right w:val="single" w:color="auto" w:sz="4" w:space="0"/>
                  </w:tcBorders>
                  <w:noWrap w:val="0"/>
                  <w:vAlign w:val="center"/>
                </w:tcPr>
                <w:p>
                  <w:pPr>
                    <w:pStyle w:val="62"/>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0" w:firstLineChars="0"/>
                    <w:jc w:val="center"/>
                    <w:textAlignment w:val="auto"/>
                    <w:rPr>
                      <w:color w:val="000000"/>
                      <w:szCs w:val="21"/>
                    </w:rPr>
                  </w:pPr>
                  <w:r>
                    <w:rPr>
                      <w:rFonts w:hint="eastAsia" w:ascii="Times New Roman" w:hAnsi="Times New Roman" w:eastAsia="宋体" w:cs="Times New Roman"/>
                      <w:color w:val="000000"/>
                      <w:sz w:val="21"/>
                      <w:szCs w:val="21"/>
                      <w:lang w:eastAsia="zh-CN"/>
                    </w:rPr>
                    <w:t>运输路进行碎石硬化，加工区进出道路进行碎石硬化</w:t>
                  </w:r>
                  <w:r>
                    <w:rPr>
                      <w:rFonts w:hint="eastAsia" w:ascii="Times New Roman" w:hAnsi="Times New Roman" w:eastAsia="宋体" w:cs="Times New Roman"/>
                      <w:color w:val="000000"/>
                      <w:sz w:val="21"/>
                      <w:szCs w:val="21"/>
                      <w:lang w:val="en-US" w:eastAsia="zh-CN"/>
                    </w:rPr>
                    <w:t>,并时时进行洒水</w:t>
                  </w:r>
                </w:p>
              </w:tc>
              <w:tc>
                <w:tcPr>
                  <w:tcW w:w="448" w:type="pct"/>
                  <w:tcBorders>
                    <w:top w:val="single" w:color="auto" w:sz="4" w:space="0"/>
                    <w:left w:val="single" w:color="auto" w:sz="4" w:space="0"/>
                    <w:right w:val="single" w:color="auto" w:sz="4" w:space="0"/>
                  </w:tcBorders>
                  <w:noWrap w:val="0"/>
                  <w:vAlign w:val="center"/>
                </w:tcPr>
                <w:p>
                  <w:pPr>
                    <w:adjustRightInd w:val="0"/>
                    <w:snapToGrid w:val="0"/>
                    <w:jc w:val="center"/>
                    <w:rPr>
                      <w:color w:val="000000"/>
                      <w:szCs w:val="21"/>
                    </w:rPr>
                  </w:pPr>
                  <w:r>
                    <w:rPr>
                      <w:color w:val="000000"/>
                      <w:szCs w:val="21"/>
                    </w:rPr>
                    <w:t>/</w:t>
                  </w:r>
                </w:p>
              </w:tc>
              <w:tc>
                <w:tcPr>
                  <w:tcW w:w="580"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lang w:val="en-US" w:eastAsia="zh-CN"/>
                    </w:rPr>
                  </w:pPr>
                  <w:r>
                    <w:rPr>
                      <w:rFonts w:hint="eastAsia"/>
                      <w:color w:val="000000"/>
                      <w:szCs w:val="21"/>
                      <w:lang w:val="en-US" w:eastAsia="zh-CN"/>
                    </w:rPr>
                    <w:t>少量</w:t>
                  </w:r>
                </w:p>
              </w:tc>
              <w:tc>
                <w:tcPr>
                  <w:tcW w:w="55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Cs w:val="21"/>
                      <w:lang w:val="en-US" w:eastAsia="zh-CN"/>
                    </w:rPr>
                  </w:pPr>
                  <w:r>
                    <w:rPr>
                      <w:rFonts w:hint="eastAsia"/>
                      <w:color w:val="000000"/>
                      <w:szCs w:val="21"/>
                      <w:lang w:val="en-US" w:eastAsia="zh-CN"/>
                    </w:rPr>
                    <w:t>少量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108" w:hRule="atLeast"/>
                <w:jc w:val="center"/>
              </w:trPr>
              <w:tc>
                <w:tcPr>
                  <w:tcW w:w="26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eastAsia="宋体"/>
                      <w:color w:val="000000"/>
                      <w:szCs w:val="21"/>
                      <w:lang w:val="en-US" w:eastAsia="zh-CN"/>
                    </w:rPr>
                  </w:pPr>
                  <w:r>
                    <w:rPr>
                      <w:rFonts w:hint="eastAsia"/>
                      <w:color w:val="000000"/>
                      <w:szCs w:val="21"/>
                      <w:lang w:val="en-US" w:eastAsia="zh-CN"/>
                    </w:rPr>
                    <w:t>3</w:t>
                  </w:r>
                </w:p>
              </w:tc>
              <w:tc>
                <w:tcPr>
                  <w:tcW w:w="833"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燃油尾气</w:t>
                  </w:r>
                  <w:r>
                    <w:rPr>
                      <w:rFonts w:hint="eastAsia"/>
                      <w:b w:val="0"/>
                      <w:bCs/>
                      <w:sz w:val="21"/>
                      <w:szCs w:val="21"/>
                    </w:rPr>
                    <w:t>G</w:t>
                  </w:r>
                  <w:r>
                    <w:rPr>
                      <w:rFonts w:hint="eastAsia"/>
                      <w:b w:val="0"/>
                      <w:bCs/>
                      <w:sz w:val="21"/>
                      <w:szCs w:val="21"/>
                      <w:lang w:val="en-US" w:eastAsia="zh-CN"/>
                    </w:rPr>
                    <w:t>11</w:t>
                  </w: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CO</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0.26</w:t>
                  </w:r>
                </w:p>
              </w:tc>
              <w:tc>
                <w:tcPr>
                  <w:tcW w:w="1205"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加强设备维护检修，确保设备正常运行</w:t>
                  </w:r>
                </w:p>
              </w:tc>
              <w:tc>
                <w:tcPr>
                  <w:tcW w:w="448"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w:t>
                  </w:r>
                </w:p>
              </w:tc>
              <w:tc>
                <w:tcPr>
                  <w:tcW w:w="580" w:type="pct"/>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0.26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108" w:hRule="atLeast"/>
                <w:jc w:val="center"/>
              </w:trPr>
              <w:tc>
                <w:tcPr>
                  <w:tcW w:w="26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THC</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1.04</w:t>
                  </w:r>
                </w:p>
              </w:tc>
              <w:tc>
                <w:tcPr>
                  <w:tcW w:w="1205"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44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580"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1.04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108" w:hRule="atLeast"/>
                <w:jc w:val="center"/>
              </w:trPr>
              <w:tc>
                <w:tcPr>
                  <w:tcW w:w="26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p>
              </w:tc>
              <w:tc>
                <w:tcPr>
                  <w:tcW w:w="83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NOx</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0.52</w:t>
                  </w:r>
                </w:p>
              </w:tc>
              <w:tc>
                <w:tcPr>
                  <w:tcW w:w="1205"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448"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580" w:type="pct"/>
                  <w:vMerge w:val="continue"/>
                  <w:tcBorders>
                    <w:left w:val="single" w:color="auto" w:sz="4" w:space="0"/>
                    <w:right w:val="single" w:color="auto" w:sz="4" w:space="0"/>
                  </w:tcBorders>
                  <w:noWrap w:val="0"/>
                  <w:vAlign w:val="center"/>
                </w:tcPr>
                <w:p>
                  <w:pPr>
                    <w:widowControl/>
                    <w:adjustRightInd w:val="0"/>
                    <w:snapToGrid w:val="0"/>
                    <w:jc w:val="center"/>
                    <w:rPr>
                      <w:color w:val="000000"/>
                      <w:szCs w:val="21"/>
                    </w:rPr>
                  </w:pP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color w:val="000000"/>
                      <w:szCs w:val="21"/>
                    </w:rPr>
                  </w:pPr>
                  <w:r>
                    <w:rPr>
                      <w:color w:val="000000"/>
                      <w:szCs w:val="21"/>
                    </w:rPr>
                    <w:t>0.52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6" w:type="dxa"/>
                  <w:bottom w:w="0" w:type="dxa"/>
                  <w:right w:w="6" w:type="dxa"/>
                </w:tblCellMar>
              </w:tblPrEx>
              <w:trPr>
                <w:trHeight w:val="108" w:hRule="atLeast"/>
                <w:jc w:val="center"/>
              </w:trPr>
              <w:tc>
                <w:tcPr>
                  <w:tcW w:w="26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eastAsia="宋体"/>
                      <w:color w:val="000000"/>
                      <w:szCs w:val="21"/>
                      <w:lang w:val="en-US" w:eastAsia="zh-CN"/>
                    </w:rPr>
                  </w:pPr>
                  <w:r>
                    <w:rPr>
                      <w:rFonts w:hint="eastAsia"/>
                      <w:color w:val="000000"/>
                      <w:szCs w:val="21"/>
                      <w:lang w:val="en-US" w:eastAsia="zh-CN"/>
                    </w:rPr>
                    <w:t>4</w:t>
                  </w:r>
                </w:p>
              </w:tc>
              <w:tc>
                <w:tcPr>
                  <w:tcW w:w="83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suppressLineNumbers w:val="0"/>
                    <w:tabs>
                      <w:tab w:val="left" w:pos="1311"/>
                    </w:tabs>
                    <w:autoSpaceDE w:val="0"/>
                    <w:autoSpaceDN w:val="0"/>
                    <w:spacing w:before="0" w:beforeAutospacing="0" w:after="0" w:afterAutospacing="0" w:line="360" w:lineRule="auto"/>
                    <w:ind w:left="0" w:leftChars="0" w:right="0" w:firstLine="0" w:firstLineChars="0"/>
                    <w:jc w:val="center"/>
                    <w:rPr>
                      <w:color w:val="000000"/>
                      <w:szCs w:val="21"/>
                    </w:rPr>
                  </w:pPr>
                  <w:r>
                    <w:rPr>
                      <w:rFonts w:hint="eastAsia" w:ascii="Times New Roman" w:hAnsi="Times New Roman" w:eastAsia="宋体" w:cs="Times New Roman"/>
                      <w:color w:val="000000"/>
                      <w:kern w:val="2"/>
                      <w:sz w:val="21"/>
                      <w:szCs w:val="21"/>
                      <w:lang w:val="en-US" w:eastAsia="zh-CN" w:bidi="ar-SA"/>
                    </w:rPr>
                    <w:t>食堂油烟</w:t>
                  </w:r>
                </w:p>
              </w:tc>
              <w:tc>
                <w:tcPr>
                  <w:tcW w:w="625"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油烟</w:t>
                  </w:r>
                </w:p>
              </w:tc>
              <w:tc>
                <w:tcPr>
                  <w:tcW w:w="479"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lang w:val="en-US" w:eastAsia="zh-CN"/>
                    </w:rPr>
                  </w:pPr>
                  <w:r>
                    <w:rPr>
                      <w:rFonts w:hint="eastAsia"/>
                      <w:lang w:val="en-US" w:eastAsia="zh-CN"/>
                    </w:rPr>
                    <w:t>0.00486</w:t>
                  </w:r>
                </w:p>
              </w:tc>
              <w:tc>
                <w:tcPr>
                  <w:tcW w:w="1205" w:type="pct"/>
                  <w:tcBorders>
                    <w:left w:val="single" w:color="auto" w:sz="4" w:space="0"/>
                    <w:right w:val="single" w:color="auto" w:sz="4" w:space="0"/>
                  </w:tcBorders>
                  <w:noWrap w:val="0"/>
                  <w:vAlign w:val="center"/>
                </w:tcPr>
                <w:p>
                  <w:pPr>
                    <w:widowControl/>
                    <w:adjustRightInd w:val="0"/>
                    <w:snapToGrid w:val="0"/>
                    <w:jc w:val="center"/>
                    <w:rPr>
                      <w:color w:val="000000"/>
                      <w:szCs w:val="21"/>
                    </w:rPr>
                  </w:pPr>
                  <w:r>
                    <w:rPr>
                      <w:rFonts w:hint="default" w:ascii="Times New Roman" w:hAnsi="Times New Roman" w:eastAsia="宋体" w:cs="Times New Roman"/>
                      <w:color w:val="000000"/>
                      <w:szCs w:val="21"/>
                    </w:rPr>
                    <w:t>安装抽油烟机</w:t>
                  </w:r>
                </w:p>
              </w:tc>
              <w:tc>
                <w:tcPr>
                  <w:tcW w:w="448" w:type="pct"/>
                  <w:tcBorders>
                    <w:left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60%</w:t>
                  </w:r>
                </w:p>
              </w:tc>
              <w:tc>
                <w:tcPr>
                  <w:tcW w:w="580" w:type="pct"/>
                  <w:tcBorders>
                    <w:left w:val="single" w:color="auto" w:sz="4" w:space="0"/>
                    <w:right w:val="single" w:color="auto" w:sz="4" w:space="0"/>
                  </w:tcBorders>
                  <w:noWrap w:val="0"/>
                  <w:vAlign w:val="center"/>
                </w:tcPr>
                <w:p>
                  <w:pPr>
                    <w:widowControl/>
                    <w:adjustRightInd w:val="0"/>
                    <w:snapToGrid w:val="0"/>
                    <w:jc w:val="center"/>
                    <w:rPr>
                      <w:rFonts w:hint="default" w:eastAsia="宋体"/>
                      <w:color w:val="000000"/>
                      <w:szCs w:val="21"/>
                      <w:lang w:val="en-US" w:eastAsia="zh-CN"/>
                    </w:rPr>
                  </w:pPr>
                  <w:r>
                    <w:rPr>
                      <w:color w:val="000000"/>
                      <w:szCs w:val="21"/>
                    </w:rPr>
                    <w:t>/</w:t>
                  </w:r>
                </w:p>
              </w:tc>
              <w:tc>
                <w:tcPr>
                  <w:tcW w:w="558" w:type="pc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lang w:val="en-US"/>
                    </w:rPr>
                  </w:pPr>
                  <w:r>
                    <w:rPr>
                      <w:rFonts w:hint="eastAsia" w:ascii="Times New Roman" w:hAnsi="Times New Roman" w:eastAsia="宋体" w:cs="Times New Roman"/>
                      <w:color w:val="000000"/>
                      <w:szCs w:val="21"/>
                      <w:lang w:val="en-US" w:eastAsia="zh-CN"/>
                    </w:rPr>
                    <w:t>0.00648</w:t>
                  </w:r>
                </w:p>
              </w:tc>
            </w:tr>
          </w:tbl>
          <w:p>
            <w:pPr>
              <w:pStyle w:val="35"/>
              <w:rPr>
                <w:rFonts w:hint="default" w:ascii="Times New Roman" w:hAnsi="Times New Roman" w:eastAsia="宋体" w:cs="Times New Roman"/>
                <w:b w:val="0"/>
                <w:bCs w:val="0"/>
                <w:sz w:val="24"/>
              </w:rPr>
            </w:pPr>
          </w:p>
          <w:p>
            <w:pPr>
              <w:pStyle w:val="35"/>
              <w:rPr>
                <w:rFonts w:hint="default" w:ascii="Times New Roman" w:hAnsi="Times New Roman" w:eastAsia="宋体" w:cs="Times New Roman"/>
                <w:b w:val="0"/>
                <w:bCs w:val="0"/>
                <w:sz w:val="24"/>
              </w:rPr>
            </w:pPr>
          </w:p>
          <w:p>
            <w:pPr>
              <w:pStyle w:val="35"/>
              <w:rPr>
                <w:rFonts w:hint="default" w:ascii="Times New Roman" w:hAnsi="Times New Roman" w:eastAsia="宋体" w:cs="Times New Roman"/>
                <w:b w:val="0"/>
                <w:bCs w:val="0"/>
                <w:sz w:val="24"/>
              </w:rPr>
            </w:pPr>
          </w:p>
          <w:p>
            <w:pPr>
              <w:pStyle w:val="35"/>
              <w:rPr>
                <w:rFonts w:hint="default" w:ascii="Times New Roman" w:hAnsi="Times New Roman" w:eastAsia="宋体" w:cs="Times New Roman"/>
                <w:b w:val="0"/>
                <w:bCs w:val="0"/>
                <w:sz w:val="24"/>
              </w:rPr>
            </w:pPr>
          </w:p>
          <w:p>
            <w:pPr>
              <w:pStyle w:val="35"/>
              <w:rPr>
                <w:rFonts w:hint="default" w:ascii="Times New Roman" w:hAnsi="Times New Roman" w:eastAsia="宋体" w:cs="Times New Roman"/>
                <w:b w:val="0"/>
                <w:bCs w:val="0"/>
                <w:sz w:val="24"/>
              </w:rPr>
            </w:pPr>
          </w:p>
          <w:p>
            <w:pPr>
              <w:pStyle w:val="35"/>
              <w:rPr>
                <w:rFonts w:hint="default" w:ascii="Times New Roman" w:hAnsi="Times New Roman" w:eastAsia="宋体" w:cs="Times New Roman"/>
                <w:b w:val="0"/>
                <w:bCs w:val="0"/>
                <w:sz w:val="24"/>
              </w:rPr>
            </w:pPr>
          </w:p>
          <w:p>
            <w:pPr>
              <w:pStyle w:val="35"/>
              <w:rPr>
                <w:rFonts w:hint="default" w:ascii="Times New Roman" w:hAnsi="Times New Roman" w:eastAsia="宋体" w:cs="Times New Roman"/>
                <w:b w:val="0"/>
                <w:bCs w:val="0"/>
                <w:sz w:val="24"/>
              </w:rPr>
            </w:pPr>
          </w:p>
          <w:p>
            <w:pPr>
              <w:pStyle w:val="35"/>
              <w:rPr>
                <w:rFonts w:hint="default" w:ascii="Times New Roman" w:hAnsi="Times New Roman" w:eastAsia="宋体" w:cs="Times New Roman"/>
                <w:b w:val="0"/>
                <w:bCs w:val="0"/>
                <w:sz w:val="24"/>
              </w:rPr>
            </w:pPr>
          </w:p>
          <w:p>
            <w:pPr>
              <w:pStyle w:val="35"/>
              <w:rPr>
                <w:rFonts w:hint="default" w:ascii="Times New Roman" w:hAnsi="Times New Roman" w:eastAsia="宋体" w:cs="Times New Roman"/>
                <w:b w:val="0"/>
                <w:bCs w:val="0"/>
                <w:sz w:val="24"/>
              </w:rPr>
            </w:pPr>
          </w:p>
          <w:p>
            <w:pPr>
              <w:pStyle w:val="8"/>
              <w:adjustRightInd w:val="0"/>
              <w:snapToGrid w:val="0"/>
              <w:ind w:left="0" w:leftChars="0" w:firstLine="0" w:firstLineChars="0"/>
              <w:rPr>
                <w:rFonts w:hint="eastAsia" w:ascii="Times New Roman"/>
                <w:bCs/>
                <w:sz w:val="24"/>
                <w:szCs w:val="24"/>
                <w:lang w:eastAsia="zh-CN"/>
              </w:rPr>
            </w:pPr>
          </w:p>
        </w:tc>
      </w:tr>
    </w:tbl>
    <w:p>
      <w:pPr>
        <w:pStyle w:val="25"/>
        <w:adjustRightInd w:val="0"/>
        <w:snapToGrid w:val="0"/>
        <w:spacing w:before="0" w:beforeAutospacing="0" w:after="0" w:afterAutospacing="0" w:line="360" w:lineRule="auto"/>
        <w:jc w:val="both"/>
        <w:outlineLvl w:val="0"/>
        <w:rPr>
          <w:rFonts w:hint="eastAsia" w:ascii="Times New Roman" w:hAnsi="Times New Roman" w:eastAsia="黑体" w:cs="Times New Roman"/>
          <w:snapToGrid w:val="0"/>
          <w:sz w:val="30"/>
          <w:szCs w:val="30"/>
          <w:lang w:val="en-US" w:eastAsia="zh-CN"/>
        </w:rPr>
        <w:sectPr>
          <w:pgSz w:w="11907" w:h="16840"/>
          <w:pgMar w:top="1701" w:right="1588" w:bottom="1701" w:left="1588" w:header="1134" w:footer="1134" w:gutter="0"/>
          <w:pgBorders>
            <w:top w:val="none" w:sz="0" w:space="0"/>
            <w:left w:val="none" w:sz="0" w:space="0"/>
            <w:bottom w:val="none" w:sz="0" w:space="0"/>
            <w:right w:val="none" w:sz="0" w:space="0"/>
          </w:pgBorders>
          <w:pgNumType w:fmt="numberInDash"/>
          <w:cols w:space="720" w:num="1"/>
          <w:docGrid w:linePitch="312" w:charSpace="0"/>
        </w:sectPr>
      </w:pPr>
      <w:bookmarkStart w:id="31" w:name="_Toc28967"/>
    </w:p>
    <w:tbl>
      <w:tblPr>
        <w:tblStyle w:val="28"/>
        <w:tblW w:w="965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4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49" w:hRule="atLeast"/>
          <w:jc w:val="center"/>
        </w:trPr>
        <w:tc>
          <w:tcPr>
            <w:tcW w:w="443" w:type="dxa"/>
            <w:noWrap w:val="0"/>
            <w:tcMar>
              <w:left w:w="28" w:type="dxa"/>
              <w:right w:w="28" w:type="dxa"/>
            </w:tcMar>
            <w:vAlign w:val="center"/>
          </w:tcPr>
          <w:p>
            <w:pPr>
              <w:pStyle w:val="25"/>
              <w:adjustRightInd w:val="0"/>
              <w:snapToGrid w:val="0"/>
              <w:spacing w:before="0" w:beforeAutospacing="0" w:after="0" w:afterAutospacing="0"/>
              <w:jc w:val="center"/>
              <w:rPr>
                <w:rFonts w:ascii="Times New Roman" w:hAnsi="Times New Roman"/>
                <w:bCs/>
                <w:kern w:val="2"/>
                <w:sz w:val="21"/>
                <w:szCs w:val="21"/>
                <w:highlight w:val="yellow"/>
                <w:lang w:val="en-US" w:eastAsia="zh-CN"/>
              </w:rPr>
            </w:pPr>
            <w:r>
              <w:rPr>
                <w:rFonts w:ascii="Times New Roman" w:hAnsi="Times New Roman"/>
                <w:bCs/>
                <w:spacing w:val="10"/>
                <w:kern w:val="2"/>
                <w:sz w:val="24"/>
                <w:szCs w:val="24"/>
                <w:lang w:val="en-US" w:eastAsia="zh-CN"/>
              </w:rPr>
              <w:t>运营期生态环境影响分析</w:t>
            </w:r>
          </w:p>
        </w:tc>
        <w:tc>
          <w:tcPr>
            <w:tcW w:w="9216" w:type="dxa"/>
            <w:noWrap w:val="0"/>
            <w:vAlign w:val="top"/>
          </w:tcPr>
          <w:p>
            <w:pPr>
              <w:adjustRightInd w:val="0"/>
              <w:snapToGrid w:val="0"/>
              <w:spacing w:line="360" w:lineRule="auto"/>
              <w:rPr>
                <w:b/>
                <w:bCs/>
                <w:color w:val="auto"/>
                <w:sz w:val="24"/>
                <w:highlight w:val="none"/>
              </w:rPr>
            </w:pPr>
            <w:r>
              <w:rPr>
                <w:rFonts w:hint="eastAsia"/>
                <w:b/>
                <w:bCs/>
                <w:color w:val="auto"/>
                <w:sz w:val="24"/>
                <w:highlight w:val="none"/>
                <w:lang w:val="en-US" w:eastAsia="zh-CN"/>
              </w:rPr>
              <w:t>4、</w:t>
            </w:r>
            <w:r>
              <w:rPr>
                <w:b/>
                <w:bCs/>
                <w:color w:val="auto"/>
                <w:sz w:val="24"/>
                <w:highlight w:val="none"/>
              </w:rPr>
              <w:t>运营期</w:t>
            </w:r>
            <w:r>
              <w:rPr>
                <w:rFonts w:hint="eastAsia"/>
                <w:b/>
                <w:bCs/>
                <w:color w:val="auto"/>
                <w:sz w:val="24"/>
                <w:highlight w:val="none"/>
              </w:rPr>
              <w:t>废</w:t>
            </w:r>
            <w:r>
              <w:rPr>
                <w:rFonts w:hint="eastAsia"/>
                <w:b/>
                <w:bCs/>
                <w:color w:val="auto"/>
                <w:sz w:val="24"/>
                <w:highlight w:val="none"/>
                <w:lang w:eastAsia="zh-CN"/>
              </w:rPr>
              <w:t>水</w:t>
            </w:r>
            <w:r>
              <w:rPr>
                <w:rFonts w:hint="eastAsia"/>
                <w:b/>
                <w:bCs/>
                <w:color w:val="auto"/>
                <w:sz w:val="24"/>
                <w:highlight w:val="none"/>
              </w:rPr>
              <w:t>影响分析</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Cs w:val="24"/>
                <w:highlight w:val="none"/>
                <w:lang w:val="en-US" w:eastAsia="zh-CN"/>
              </w:rPr>
            </w:pPr>
            <w:r>
              <w:rPr>
                <w:rFonts w:ascii="Times New Roman" w:hAnsi="宋体"/>
                <w:color w:val="auto"/>
                <w:szCs w:val="24"/>
                <w:highlight w:val="none"/>
                <w:lang w:val="en-US" w:eastAsia="zh-CN"/>
              </w:rPr>
              <w:t>本项目营运期用水环节主要为降尘用水、筛分用水、车辆冲洗用水、生活用水。</w:t>
            </w:r>
          </w:p>
          <w:p>
            <w:pPr>
              <w:pStyle w:val="6"/>
              <w:keepNext w:val="0"/>
              <w:keepLines w:val="0"/>
              <w:pageBreakBefore w:val="0"/>
              <w:widowControl w:val="0"/>
              <w:kinsoku/>
              <w:wordWrap/>
              <w:overflowPunct/>
              <w:topLinePunct w:val="0"/>
              <w:bidi w:val="0"/>
              <w:adjustRightInd w:val="0"/>
              <w:snapToGrid w:val="0"/>
              <w:spacing w:beforeLines="0" w:beforeAutospacing="0" w:afterLines="0" w:afterAutospacing="0" w:line="360" w:lineRule="auto"/>
              <w:ind w:left="0" w:right="0" w:rightChars="0" w:firstLine="480" w:firstLineChars="200"/>
              <w:rPr>
                <w:rFonts w:ascii="Times New Roman" w:hAnsi="Times New Roman" w:eastAsia="宋体"/>
                <w:color w:val="auto"/>
                <w:sz w:val="24"/>
                <w:szCs w:val="24"/>
                <w:highlight w:val="none"/>
              </w:rPr>
            </w:pPr>
            <w:r>
              <w:rPr>
                <w:rFonts w:hint="eastAsia" w:ascii="Times New Roman" w:hAnsi="宋体" w:eastAsia="宋体" w:cs="Times New Roman"/>
                <w:color w:val="auto"/>
                <w:sz w:val="24"/>
                <w:szCs w:val="24"/>
                <w:highlight w:val="none"/>
                <w:lang w:eastAsia="zh-CN"/>
              </w:rPr>
              <w:t>①</w:t>
            </w:r>
            <w:r>
              <w:rPr>
                <w:rFonts w:ascii="Times New Roman" w:hAnsi="宋体" w:eastAsia="宋体"/>
                <w:color w:val="auto"/>
                <w:sz w:val="24"/>
                <w:szCs w:val="24"/>
                <w:highlight w:val="none"/>
              </w:rPr>
              <w:t>降尘用水</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Cs w:val="24"/>
                <w:highlight w:val="none"/>
                <w:lang w:val="en-US" w:eastAsia="zh-CN"/>
              </w:rPr>
            </w:pPr>
            <w:r>
              <w:rPr>
                <w:rFonts w:ascii="Times New Roman" w:hAnsi="宋体"/>
                <w:color w:val="auto"/>
                <w:szCs w:val="24"/>
                <w:highlight w:val="none"/>
                <w:lang w:val="en-US" w:eastAsia="zh-CN"/>
              </w:rPr>
              <w:t>（</w:t>
            </w:r>
            <w:r>
              <w:rPr>
                <w:rFonts w:ascii="Times New Roman" w:hAnsi="Times New Roman"/>
                <w:color w:val="auto"/>
                <w:szCs w:val="24"/>
                <w:highlight w:val="none"/>
                <w:lang w:val="en-US" w:eastAsia="zh-CN"/>
              </w:rPr>
              <w:t>1</w:t>
            </w:r>
            <w:r>
              <w:rPr>
                <w:rFonts w:ascii="Times New Roman" w:hAnsi="宋体"/>
                <w:color w:val="auto"/>
                <w:szCs w:val="24"/>
                <w:highlight w:val="none"/>
                <w:lang w:val="en-US" w:eastAsia="zh-CN"/>
              </w:rPr>
              <w:t>）</w:t>
            </w:r>
            <w:r>
              <w:rPr>
                <w:rFonts w:hint="eastAsia" w:hAnsi="宋体"/>
                <w:color w:val="auto"/>
                <w:szCs w:val="24"/>
                <w:highlight w:val="none"/>
                <w:lang w:val="en-US" w:eastAsia="zh-CN"/>
              </w:rPr>
              <w:t>项目</w:t>
            </w:r>
            <w:r>
              <w:rPr>
                <w:rFonts w:ascii="Times New Roman" w:hAnsi="宋体"/>
                <w:color w:val="auto"/>
                <w:szCs w:val="24"/>
                <w:highlight w:val="none"/>
                <w:lang w:val="en-US" w:eastAsia="zh-CN"/>
              </w:rPr>
              <w:t>裸露地表洒水</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宋体"/>
                <w:color w:val="auto"/>
                <w:szCs w:val="24"/>
                <w:highlight w:val="yellow"/>
                <w:lang w:val="en-US" w:eastAsia="zh-CN"/>
              </w:rPr>
            </w:pPr>
            <w:r>
              <w:rPr>
                <w:rFonts w:ascii="Times New Roman" w:hAnsi="宋体"/>
                <w:color w:val="auto"/>
                <w:szCs w:val="24"/>
                <w:highlight w:val="none"/>
                <w:lang w:val="en-US" w:eastAsia="zh-CN"/>
              </w:rPr>
              <w:t>本项目配有移动远程射雾器，对砂场</w:t>
            </w:r>
            <w:r>
              <w:rPr>
                <w:rFonts w:hint="eastAsia" w:hAnsi="宋体"/>
                <w:color w:val="auto"/>
                <w:szCs w:val="24"/>
                <w:highlight w:val="none"/>
                <w:lang w:val="en-US" w:eastAsia="zh-CN"/>
              </w:rPr>
              <w:t>采矿区</w:t>
            </w:r>
            <w:r>
              <w:rPr>
                <w:rFonts w:ascii="Times New Roman" w:hAnsi="宋体"/>
                <w:color w:val="auto"/>
                <w:szCs w:val="24"/>
                <w:highlight w:val="none"/>
                <w:lang w:val="en-US" w:eastAsia="zh-CN"/>
              </w:rPr>
              <w:t>裸露地表进行定时洒水抑尘，用水量按</w:t>
            </w:r>
            <w:r>
              <w:rPr>
                <w:rFonts w:ascii="Times New Roman" w:hAnsi="Times New Roman"/>
                <w:color w:val="auto"/>
                <w:szCs w:val="24"/>
                <w:highlight w:val="none"/>
                <w:lang w:val="en-US" w:eastAsia="zh-CN"/>
              </w:rPr>
              <w:t>2L/m</w:t>
            </w:r>
            <w:r>
              <w:rPr>
                <w:rFonts w:ascii="Times New Roman" w:hAnsi="Times New Roman"/>
                <w:color w:val="auto"/>
                <w:szCs w:val="24"/>
                <w:highlight w:val="none"/>
                <w:vertAlign w:val="superscript"/>
                <w:lang w:val="en-US" w:eastAsia="zh-CN"/>
              </w:rPr>
              <w:t>2</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w:t>
            </w:r>
            <w:r>
              <w:rPr>
                <w:rFonts w:hint="default" w:ascii="Times New Roman" w:hAnsi="Times New Roman" w:cs="Times New Roman"/>
                <w:sz w:val="24"/>
              </w:rPr>
              <w:t>采矿权面积0.0877km</w:t>
            </w:r>
            <w:r>
              <w:rPr>
                <w:rFonts w:hint="default" w:ascii="Times New Roman" w:hAnsi="Times New Roman" w:cs="Times New Roman"/>
                <w:sz w:val="24"/>
                <w:vertAlign w:val="superscript"/>
              </w:rPr>
              <w:t>2</w:t>
            </w:r>
            <w:r>
              <w:rPr>
                <w:rFonts w:ascii="Times New Roman" w:hAnsi="宋体"/>
                <w:color w:val="auto"/>
                <w:szCs w:val="24"/>
                <w:highlight w:val="none"/>
                <w:lang w:val="en-US" w:eastAsia="zh-CN"/>
              </w:rPr>
              <w:t>计算，则本项目裸露地表平均洒水用量约为</w:t>
            </w:r>
            <w:r>
              <w:rPr>
                <w:rFonts w:hint="eastAsia" w:ascii="Times New Roman" w:hAnsi="Times New Roman"/>
                <w:color w:val="auto"/>
                <w:szCs w:val="24"/>
                <w:highlight w:val="none"/>
                <w:lang w:val="en-US" w:eastAsia="zh-CN"/>
              </w:rPr>
              <w:t>1.75</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Cs w:val="24"/>
                <w:highlight w:val="none"/>
                <w:lang w:val="en-US" w:eastAsia="zh-CN"/>
              </w:rPr>
            </w:pPr>
            <w:r>
              <w:rPr>
                <w:rFonts w:ascii="Times New Roman" w:hAnsi="宋体"/>
                <w:color w:val="auto"/>
                <w:szCs w:val="24"/>
                <w:highlight w:val="none"/>
                <w:lang w:val="en-US" w:eastAsia="zh-CN"/>
              </w:rPr>
              <w:t>（</w:t>
            </w:r>
            <w:r>
              <w:rPr>
                <w:rFonts w:hint="eastAsia" w:ascii="Times New Roman" w:hAnsi="Times New Roman"/>
                <w:color w:val="auto"/>
                <w:szCs w:val="24"/>
                <w:highlight w:val="none"/>
                <w:lang w:val="en-US" w:eastAsia="zh-CN"/>
              </w:rPr>
              <w:t>2</w:t>
            </w:r>
            <w:r>
              <w:rPr>
                <w:rFonts w:ascii="Times New Roman" w:hAnsi="宋体"/>
                <w:color w:val="auto"/>
                <w:szCs w:val="24"/>
                <w:highlight w:val="none"/>
                <w:lang w:val="en-US" w:eastAsia="zh-CN"/>
              </w:rPr>
              <w:t>）砂石加工洒水</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Cs w:val="24"/>
                <w:highlight w:val="none"/>
                <w:lang w:val="en-US" w:eastAsia="zh-CN"/>
              </w:rPr>
            </w:pPr>
            <w:r>
              <w:rPr>
                <w:rFonts w:ascii="Times New Roman" w:hAnsi="宋体"/>
                <w:color w:val="auto"/>
                <w:szCs w:val="24"/>
                <w:highlight w:val="none"/>
                <w:lang w:val="en-US" w:eastAsia="zh-CN"/>
              </w:rPr>
              <w:t>本项目</w:t>
            </w:r>
            <w:r>
              <w:rPr>
                <w:rFonts w:hint="eastAsia" w:ascii="Times New Roman" w:hAnsi="宋体"/>
                <w:color w:val="auto"/>
                <w:szCs w:val="24"/>
                <w:highlight w:val="none"/>
                <w:lang w:val="en-US" w:eastAsia="zh-CN"/>
              </w:rPr>
              <w:t>钻孔、爆破进行湿式作业，</w:t>
            </w:r>
            <w:r>
              <w:rPr>
                <w:rFonts w:ascii="Times New Roman" w:hAnsi="宋体"/>
                <w:color w:val="auto"/>
                <w:szCs w:val="24"/>
                <w:highlight w:val="none"/>
                <w:lang w:val="en-US" w:eastAsia="zh-CN"/>
              </w:rPr>
              <w:t>每个喷头流量为</w:t>
            </w:r>
            <w:r>
              <w:rPr>
                <w:rFonts w:ascii="Times New Roman" w:hAnsi="Times New Roman"/>
                <w:color w:val="auto"/>
                <w:szCs w:val="24"/>
                <w:highlight w:val="none"/>
                <w:lang w:val="en-US" w:eastAsia="zh-CN"/>
              </w:rPr>
              <w:t>0.0</w:t>
            </w:r>
            <w:r>
              <w:rPr>
                <w:rFonts w:hint="eastAsia" w:ascii="Times New Roman" w:hAnsi="Times New Roman"/>
                <w:color w:val="auto"/>
                <w:szCs w:val="24"/>
                <w:highlight w:val="none"/>
                <w:lang w:val="en-US" w:eastAsia="zh-CN"/>
              </w:rPr>
              <w:t>2</w:t>
            </w:r>
            <w:r>
              <w:rPr>
                <w:rFonts w:ascii="Times New Roman" w:hAnsi="Times New Roman"/>
                <w:color w:val="auto"/>
                <w:szCs w:val="24"/>
                <w:highlight w:val="none"/>
                <w:lang w:val="en-US" w:eastAsia="zh-CN"/>
              </w:rPr>
              <w:t>L/s</w:t>
            </w:r>
            <w:r>
              <w:rPr>
                <w:rFonts w:hint="eastAsia" w:ascii="Times New Roman" w:hAnsi="Times New Roman"/>
                <w:color w:val="auto"/>
                <w:szCs w:val="24"/>
                <w:highlight w:val="none"/>
                <w:lang w:val="en-US" w:eastAsia="zh-CN"/>
              </w:rPr>
              <w:t>，</w:t>
            </w:r>
            <w:r>
              <w:rPr>
                <w:rFonts w:ascii="Times New Roman" w:hAnsi="宋体"/>
                <w:color w:val="auto"/>
                <w:szCs w:val="24"/>
                <w:highlight w:val="none"/>
                <w:lang w:val="en-US" w:eastAsia="zh-CN"/>
              </w:rPr>
              <w:t>每天</w:t>
            </w:r>
            <w:r>
              <w:rPr>
                <w:rFonts w:hint="eastAsia" w:ascii="Times New Roman" w:hAnsi="宋体"/>
                <w:color w:val="auto"/>
                <w:szCs w:val="24"/>
                <w:highlight w:val="none"/>
                <w:lang w:val="en-US" w:eastAsia="zh-CN"/>
              </w:rPr>
              <w:t>平均</w:t>
            </w:r>
            <w:r>
              <w:rPr>
                <w:rFonts w:ascii="Times New Roman" w:hAnsi="宋体"/>
                <w:color w:val="auto"/>
                <w:szCs w:val="24"/>
                <w:highlight w:val="none"/>
                <w:lang w:val="en-US" w:eastAsia="zh-CN"/>
              </w:rPr>
              <w:t>工作时间为</w:t>
            </w:r>
            <w:r>
              <w:rPr>
                <w:rFonts w:hint="eastAsia" w:ascii="Times New Roman" w:hAnsi="宋体"/>
                <w:color w:val="auto"/>
                <w:szCs w:val="24"/>
                <w:highlight w:val="none"/>
                <w:lang w:val="en-US" w:eastAsia="zh-CN"/>
              </w:rPr>
              <w:t>2</w:t>
            </w:r>
            <w:r>
              <w:rPr>
                <w:rFonts w:ascii="Times New Roman" w:hAnsi="Times New Roman"/>
                <w:color w:val="auto"/>
                <w:szCs w:val="24"/>
                <w:highlight w:val="none"/>
                <w:lang w:val="en-US" w:eastAsia="zh-CN"/>
              </w:rPr>
              <w:t>h</w:t>
            </w:r>
            <w:r>
              <w:rPr>
                <w:rFonts w:hint="eastAsia" w:ascii="Times New Roman" w:hAnsi="Times New Roman"/>
                <w:color w:val="auto"/>
                <w:szCs w:val="24"/>
                <w:highlight w:val="none"/>
                <w:lang w:val="en-US" w:eastAsia="zh-CN"/>
              </w:rPr>
              <w:t>，</w:t>
            </w:r>
            <w:r>
              <w:rPr>
                <w:rFonts w:ascii="Times New Roman" w:hAnsi="宋体"/>
                <w:color w:val="auto"/>
                <w:szCs w:val="24"/>
                <w:highlight w:val="none"/>
                <w:lang w:val="en-US" w:eastAsia="zh-CN"/>
              </w:rPr>
              <w:t>则雾化喷头用水量约为</w:t>
            </w:r>
            <w:r>
              <w:rPr>
                <w:rFonts w:hint="eastAsia" w:ascii="Times New Roman" w:hAnsi="Times New Roman"/>
                <w:color w:val="auto"/>
                <w:szCs w:val="24"/>
                <w:highlight w:val="none"/>
                <w:lang w:val="en-US" w:eastAsia="zh-CN"/>
              </w:rPr>
              <w:t>0.0024</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hint="eastAsia" w:ascii="Times New Roman" w:hAnsi="Times New Roman"/>
                <w:color w:val="auto"/>
                <w:szCs w:val="24"/>
                <w:highlight w:val="none"/>
                <w:lang w:val="en-US" w:eastAsia="zh-CN"/>
              </w:rPr>
              <w:t>；</w:t>
            </w:r>
            <w:r>
              <w:rPr>
                <w:rFonts w:ascii="Times New Roman" w:hAnsi="宋体"/>
                <w:color w:val="auto"/>
                <w:szCs w:val="24"/>
                <w:highlight w:val="none"/>
                <w:lang w:val="en-US" w:eastAsia="zh-CN"/>
              </w:rPr>
              <w:t>筛分</w:t>
            </w:r>
            <w:r>
              <w:rPr>
                <w:rFonts w:hint="eastAsia" w:ascii="Times New Roman" w:hAnsi="宋体"/>
                <w:color w:val="auto"/>
                <w:szCs w:val="24"/>
                <w:highlight w:val="none"/>
                <w:lang w:val="en-US" w:eastAsia="zh-CN"/>
              </w:rPr>
              <w:t>、破碎</w:t>
            </w:r>
            <w:r>
              <w:rPr>
                <w:rFonts w:hint="eastAsia" w:hAnsi="宋体"/>
                <w:color w:val="auto"/>
                <w:szCs w:val="24"/>
                <w:highlight w:val="none"/>
                <w:lang w:val="en-US" w:eastAsia="zh-CN"/>
              </w:rPr>
              <w:t>、制砂</w:t>
            </w:r>
            <w:r>
              <w:rPr>
                <w:rFonts w:ascii="Times New Roman" w:hAnsi="宋体"/>
                <w:color w:val="auto"/>
                <w:szCs w:val="24"/>
                <w:highlight w:val="none"/>
                <w:lang w:val="en-US" w:eastAsia="zh-CN"/>
              </w:rPr>
              <w:t>工序</w:t>
            </w:r>
            <w:r>
              <w:rPr>
                <w:rFonts w:hint="eastAsia" w:ascii="Times New Roman" w:hAnsi="宋体"/>
                <w:color w:val="auto"/>
                <w:szCs w:val="24"/>
                <w:highlight w:val="none"/>
                <w:lang w:val="en-US" w:eastAsia="zh-CN"/>
              </w:rPr>
              <w:t>进料口</w:t>
            </w:r>
            <w:r>
              <w:rPr>
                <w:rFonts w:ascii="Times New Roman" w:hAnsi="宋体"/>
                <w:color w:val="auto"/>
                <w:szCs w:val="24"/>
                <w:highlight w:val="none"/>
                <w:lang w:val="en-US" w:eastAsia="zh-CN"/>
              </w:rPr>
              <w:t>设有</w:t>
            </w:r>
            <w:r>
              <w:rPr>
                <w:rFonts w:hint="eastAsia" w:hAnsi="宋体" w:cs="Times New Roman"/>
                <w:color w:val="auto"/>
                <w:szCs w:val="24"/>
                <w:highlight w:val="none"/>
                <w:lang w:val="en-US" w:eastAsia="zh-CN"/>
              </w:rPr>
              <w:t>冲水</w:t>
            </w:r>
            <w:r>
              <w:rPr>
                <w:rFonts w:hint="default" w:ascii="Times New Roman" w:hAnsi="宋体" w:eastAsia="宋体" w:cs="Times New Roman"/>
                <w:color w:val="auto"/>
                <w:szCs w:val="24"/>
                <w:highlight w:val="none"/>
                <w:lang w:val="en-US" w:eastAsia="zh-CN"/>
              </w:rPr>
              <w:t>设施</w:t>
            </w:r>
            <w:r>
              <w:rPr>
                <w:rFonts w:ascii="Times New Roman" w:hAnsi="宋体" w:eastAsia="宋体" w:cs="Times New Roman"/>
                <w:color w:val="auto"/>
                <w:szCs w:val="24"/>
                <w:highlight w:val="none"/>
                <w:lang w:val="en-US" w:eastAsia="zh-CN"/>
              </w:rPr>
              <w:t>，</w:t>
            </w:r>
            <w:r>
              <w:rPr>
                <w:rFonts w:ascii="Times New Roman" w:hAnsi="宋体"/>
                <w:color w:val="auto"/>
                <w:szCs w:val="24"/>
                <w:highlight w:val="none"/>
                <w:lang w:val="en-US" w:eastAsia="zh-CN"/>
              </w:rPr>
              <w:t>对需筛分</w:t>
            </w:r>
            <w:r>
              <w:rPr>
                <w:rFonts w:hint="eastAsia" w:ascii="Times New Roman" w:hAnsi="宋体"/>
                <w:color w:val="auto"/>
                <w:szCs w:val="24"/>
                <w:highlight w:val="none"/>
                <w:lang w:val="en-US" w:eastAsia="zh-CN"/>
              </w:rPr>
              <w:t>、破碎</w:t>
            </w:r>
            <w:r>
              <w:rPr>
                <w:rFonts w:hint="eastAsia" w:hAnsi="宋体"/>
                <w:color w:val="auto"/>
                <w:szCs w:val="24"/>
                <w:highlight w:val="none"/>
                <w:lang w:val="en-US" w:eastAsia="zh-CN"/>
              </w:rPr>
              <w:t>、制砂</w:t>
            </w:r>
            <w:r>
              <w:rPr>
                <w:rFonts w:ascii="Times New Roman" w:hAnsi="宋体"/>
                <w:color w:val="auto"/>
                <w:szCs w:val="24"/>
                <w:highlight w:val="none"/>
                <w:lang w:val="en-US" w:eastAsia="zh-CN"/>
              </w:rPr>
              <w:t>物料进行洒水，减少粉尘产生，本项目筛分</w:t>
            </w:r>
            <w:r>
              <w:rPr>
                <w:rFonts w:hint="eastAsia" w:ascii="Times New Roman" w:hAnsi="宋体"/>
                <w:color w:val="auto"/>
                <w:szCs w:val="24"/>
                <w:highlight w:val="none"/>
                <w:lang w:val="en-US" w:eastAsia="zh-CN"/>
              </w:rPr>
              <w:t>机、破碎机</w:t>
            </w:r>
            <w:r>
              <w:rPr>
                <w:rFonts w:hint="eastAsia" w:hAnsi="宋体"/>
                <w:color w:val="auto"/>
                <w:szCs w:val="24"/>
                <w:highlight w:val="none"/>
                <w:lang w:val="en-US" w:eastAsia="zh-CN"/>
              </w:rPr>
              <w:t>、制砂机</w:t>
            </w:r>
            <w:r>
              <w:rPr>
                <w:rFonts w:ascii="Times New Roman" w:hAnsi="宋体"/>
                <w:color w:val="auto"/>
                <w:szCs w:val="24"/>
                <w:highlight w:val="none"/>
                <w:lang w:val="en-US" w:eastAsia="zh-CN"/>
              </w:rPr>
              <w:t>进料口设置喷头</w:t>
            </w:r>
            <w:r>
              <w:rPr>
                <w:rFonts w:hint="eastAsia"/>
                <w:color w:val="auto"/>
                <w:szCs w:val="24"/>
                <w:highlight w:val="none"/>
                <w:lang w:val="en-US" w:eastAsia="zh-CN"/>
              </w:rPr>
              <w:t>3</w:t>
            </w:r>
            <w:r>
              <w:rPr>
                <w:rFonts w:ascii="Times New Roman" w:hAnsi="宋体"/>
                <w:color w:val="auto"/>
                <w:szCs w:val="24"/>
                <w:highlight w:val="none"/>
                <w:lang w:val="en-US" w:eastAsia="zh-CN"/>
              </w:rPr>
              <w:t>个，每个喷头流量为</w:t>
            </w:r>
            <w:r>
              <w:rPr>
                <w:rFonts w:ascii="Times New Roman" w:hAnsi="Times New Roman"/>
                <w:color w:val="auto"/>
                <w:szCs w:val="24"/>
                <w:highlight w:val="none"/>
                <w:lang w:val="en-US" w:eastAsia="zh-CN"/>
              </w:rPr>
              <w:t>0.0</w:t>
            </w:r>
            <w:r>
              <w:rPr>
                <w:rFonts w:hint="eastAsia"/>
                <w:color w:val="auto"/>
                <w:szCs w:val="24"/>
                <w:highlight w:val="none"/>
                <w:lang w:val="en-US" w:eastAsia="zh-CN"/>
              </w:rPr>
              <w:t>2</w:t>
            </w:r>
            <w:r>
              <w:rPr>
                <w:rFonts w:ascii="Times New Roman" w:hAnsi="Times New Roman"/>
                <w:color w:val="auto"/>
                <w:szCs w:val="24"/>
                <w:highlight w:val="none"/>
                <w:lang w:val="en-US" w:eastAsia="zh-CN"/>
              </w:rPr>
              <w:t>L/s</w:t>
            </w:r>
            <w:r>
              <w:rPr>
                <w:rFonts w:ascii="Times New Roman" w:hAnsi="宋体"/>
                <w:color w:val="auto"/>
                <w:szCs w:val="24"/>
                <w:highlight w:val="none"/>
                <w:lang w:val="en-US" w:eastAsia="zh-CN"/>
              </w:rPr>
              <w:t>，筛分工序每天工作时间为</w:t>
            </w:r>
            <w:r>
              <w:rPr>
                <w:rFonts w:ascii="Times New Roman" w:hAnsi="Times New Roman"/>
                <w:color w:val="auto"/>
                <w:szCs w:val="24"/>
                <w:highlight w:val="none"/>
                <w:lang w:val="en-US" w:eastAsia="zh-CN"/>
              </w:rPr>
              <w:t>8h</w:t>
            </w:r>
            <w:r>
              <w:rPr>
                <w:rFonts w:ascii="Times New Roman" w:hAnsi="宋体"/>
                <w:color w:val="auto"/>
                <w:szCs w:val="24"/>
                <w:highlight w:val="none"/>
                <w:lang w:val="en-US" w:eastAsia="zh-CN"/>
              </w:rPr>
              <w:t>，则雾化喷头用水量约为</w:t>
            </w:r>
            <w:r>
              <w:rPr>
                <w:rFonts w:hint="eastAsia" w:hAnsi="宋体"/>
                <w:color w:val="auto"/>
                <w:szCs w:val="24"/>
                <w:highlight w:val="none"/>
                <w:lang w:val="en-US" w:eastAsia="zh-CN"/>
              </w:rPr>
              <w:t>1.728</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Cs w:val="24"/>
                <w:highlight w:val="none"/>
                <w:lang w:val="en-US" w:eastAsia="zh-CN"/>
              </w:rPr>
            </w:pPr>
            <w:r>
              <w:rPr>
                <w:rFonts w:ascii="Times New Roman" w:hAnsi="宋体"/>
                <w:color w:val="auto"/>
                <w:szCs w:val="24"/>
                <w:highlight w:val="none"/>
                <w:lang w:val="en-US" w:eastAsia="zh-CN"/>
              </w:rPr>
              <w:t>（</w:t>
            </w:r>
            <w:r>
              <w:rPr>
                <w:rFonts w:hint="eastAsia" w:ascii="Times New Roman" w:hAnsi="Times New Roman"/>
                <w:color w:val="auto"/>
                <w:szCs w:val="24"/>
                <w:highlight w:val="none"/>
                <w:lang w:val="en-US" w:eastAsia="zh-CN"/>
              </w:rPr>
              <w:t>3</w:t>
            </w:r>
            <w:r>
              <w:rPr>
                <w:rFonts w:ascii="Times New Roman" w:hAnsi="宋体"/>
                <w:color w:val="auto"/>
                <w:szCs w:val="24"/>
                <w:highlight w:val="none"/>
                <w:lang w:val="en-US" w:eastAsia="zh-CN"/>
              </w:rPr>
              <w:t>）道路洒水</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Cs w:val="24"/>
                <w:highlight w:val="none"/>
                <w:lang w:val="en-US" w:eastAsia="zh-CN"/>
              </w:rPr>
            </w:pPr>
            <w:r>
              <w:rPr>
                <w:rFonts w:ascii="Times New Roman" w:hAnsi="宋体"/>
                <w:color w:val="auto"/>
                <w:szCs w:val="24"/>
                <w:highlight w:val="none"/>
                <w:lang w:val="en-US" w:eastAsia="zh-CN"/>
              </w:rPr>
              <w:t>本项目砂场运输道路平均长度约</w:t>
            </w:r>
            <w:r>
              <w:rPr>
                <w:rFonts w:ascii="Times New Roman" w:hAnsi="Times New Roman"/>
                <w:color w:val="auto"/>
                <w:szCs w:val="24"/>
                <w:highlight w:val="none"/>
                <w:lang w:val="en-US" w:eastAsia="zh-CN"/>
              </w:rPr>
              <w:t>0.</w:t>
            </w:r>
            <w:r>
              <w:rPr>
                <w:rFonts w:hint="eastAsia" w:ascii="Times New Roman" w:hAnsi="Times New Roman"/>
                <w:color w:val="auto"/>
                <w:szCs w:val="24"/>
                <w:highlight w:val="none"/>
                <w:lang w:val="en-US" w:eastAsia="zh-CN"/>
              </w:rPr>
              <w:t>5</w:t>
            </w:r>
            <w:r>
              <w:rPr>
                <w:rFonts w:ascii="Times New Roman" w:hAnsi="Times New Roman"/>
                <w:color w:val="auto"/>
                <w:szCs w:val="24"/>
                <w:highlight w:val="none"/>
                <w:lang w:val="en-US" w:eastAsia="zh-CN"/>
              </w:rPr>
              <w:t>km</w:t>
            </w:r>
            <w:r>
              <w:rPr>
                <w:rFonts w:ascii="Times New Roman" w:hAnsi="宋体"/>
                <w:color w:val="auto"/>
                <w:szCs w:val="24"/>
                <w:highlight w:val="none"/>
                <w:lang w:val="en-US" w:eastAsia="zh-CN"/>
              </w:rPr>
              <w:t>，道路宽约</w:t>
            </w:r>
            <w:r>
              <w:rPr>
                <w:rFonts w:ascii="Times New Roman" w:hAnsi="Times New Roman"/>
                <w:color w:val="auto"/>
                <w:szCs w:val="24"/>
                <w:highlight w:val="none"/>
                <w:lang w:val="en-US" w:eastAsia="zh-CN"/>
              </w:rPr>
              <w:t>3m</w:t>
            </w:r>
            <w:r>
              <w:rPr>
                <w:rFonts w:ascii="Times New Roman" w:hAnsi="宋体"/>
                <w:color w:val="auto"/>
                <w:szCs w:val="24"/>
                <w:highlight w:val="none"/>
                <w:lang w:val="en-US" w:eastAsia="zh-CN"/>
              </w:rPr>
              <w:t>，为砂石路面，洒水量按</w:t>
            </w:r>
            <w:r>
              <w:rPr>
                <w:rFonts w:ascii="Times New Roman" w:hAnsi="Times New Roman"/>
                <w:color w:val="auto"/>
                <w:szCs w:val="24"/>
                <w:highlight w:val="none"/>
                <w:lang w:val="en-US" w:eastAsia="zh-CN"/>
              </w:rPr>
              <w:t>2L/m</w:t>
            </w:r>
            <w:r>
              <w:rPr>
                <w:rFonts w:ascii="Times New Roman" w:hAnsi="Times New Roman"/>
                <w:color w:val="auto"/>
                <w:szCs w:val="24"/>
                <w:highlight w:val="none"/>
                <w:vertAlign w:val="superscript"/>
                <w:lang w:val="en-US" w:eastAsia="zh-CN"/>
              </w:rPr>
              <w:t>2</w:t>
            </w:r>
            <w:r>
              <w:rPr>
                <w:rFonts w:ascii="Times New Roman" w:hAnsi="Times New Roman"/>
                <w:color w:val="auto"/>
                <w:szCs w:val="24"/>
                <w:highlight w:val="none"/>
                <w:lang w:val="en-US" w:eastAsia="zh-CN"/>
              </w:rPr>
              <w:t>·</w:t>
            </w:r>
            <w:r>
              <w:rPr>
                <w:rFonts w:ascii="Times New Roman" w:hAnsi="宋体"/>
                <w:color w:val="auto"/>
                <w:szCs w:val="24"/>
                <w:highlight w:val="none"/>
                <w:lang w:val="en-US" w:eastAsia="zh-CN"/>
              </w:rPr>
              <w:t>次计算，平均每天约洒水</w:t>
            </w:r>
            <w:r>
              <w:rPr>
                <w:rFonts w:ascii="Times New Roman" w:hAnsi="Times New Roman"/>
                <w:color w:val="auto"/>
                <w:szCs w:val="24"/>
                <w:highlight w:val="none"/>
                <w:lang w:val="en-US" w:eastAsia="zh-CN"/>
              </w:rPr>
              <w:t>4</w:t>
            </w:r>
            <w:r>
              <w:rPr>
                <w:rFonts w:ascii="Times New Roman" w:hAnsi="宋体"/>
                <w:color w:val="auto"/>
                <w:szCs w:val="24"/>
                <w:highlight w:val="none"/>
                <w:lang w:val="en-US" w:eastAsia="zh-CN"/>
              </w:rPr>
              <w:t>次，则共需洒水</w:t>
            </w:r>
            <w:r>
              <w:rPr>
                <w:rFonts w:hint="eastAsia" w:ascii="Times New Roman" w:hAnsi="Times New Roman"/>
                <w:color w:val="auto"/>
                <w:szCs w:val="24"/>
                <w:highlight w:val="none"/>
                <w:lang w:val="en-US" w:eastAsia="zh-CN"/>
              </w:rPr>
              <w:t>12</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w:t>
            </w:r>
          </w:p>
          <w:p>
            <w:pPr>
              <w:pStyle w:val="6"/>
              <w:keepNext w:val="0"/>
              <w:keepLines w:val="0"/>
              <w:pageBreakBefore w:val="0"/>
              <w:widowControl w:val="0"/>
              <w:kinsoku/>
              <w:wordWrap/>
              <w:overflowPunct/>
              <w:topLinePunct w:val="0"/>
              <w:bidi w:val="0"/>
              <w:adjustRightInd w:val="0"/>
              <w:snapToGrid w:val="0"/>
              <w:spacing w:beforeLines="0" w:beforeAutospacing="0" w:afterLines="0" w:afterAutospacing="0" w:line="360" w:lineRule="auto"/>
              <w:ind w:left="0" w:right="0" w:rightChars="0" w:firstLine="480" w:firstLineChars="200"/>
              <w:rPr>
                <w:rFonts w:ascii="Times New Roman" w:hAnsi="宋体" w:eastAsia="宋体" w:cs="Times New Roman"/>
                <w:color w:val="auto"/>
                <w:sz w:val="24"/>
                <w:szCs w:val="24"/>
                <w:highlight w:val="none"/>
              </w:rPr>
            </w:pPr>
            <w:r>
              <w:rPr>
                <w:rFonts w:ascii="Times New Roman" w:hAnsi="宋体" w:eastAsia="宋体"/>
                <w:color w:val="auto"/>
                <w:sz w:val="24"/>
                <w:szCs w:val="24"/>
                <w:highlight w:val="none"/>
              </w:rPr>
              <w:t>②</w:t>
            </w:r>
            <w:r>
              <w:rPr>
                <w:rFonts w:ascii="Times New Roman" w:hAnsi="宋体" w:eastAsia="宋体" w:cs="Times New Roman"/>
                <w:color w:val="auto"/>
                <w:sz w:val="24"/>
                <w:szCs w:val="24"/>
                <w:highlight w:val="none"/>
              </w:rPr>
              <w:t>筛分用水</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Cs w:val="24"/>
                <w:highlight w:val="none"/>
                <w:lang w:val="en-US" w:eastAsia="zh-CN"/>
              </w:rPr>
            </w:pPr>
            <w:r>
              <w:rPr>
                <w:rFonts w:ascii="Times New Roman" w:hAnsi="宋体"/>
                <w:color w:val="auto"/>
                <w:szCs w:val="24"/>
                <w:highlight w:val="none"/>
                <w:lang w:val="en-US" w:eastAsia="zh-CN"/>
              </w:rPr>
              <w:t>项目每天加工物料</w:t>
            </w:r>
            <w:r>
              <w:rPr>
                <w:rFonts w:hint="eastAsia" w:ascii="Times New Roman" w:hAnsi="Times New Roman"/>
                <w:color w:val="auto"/>
                <w:szCs w:val="24"/>
                <w:highlight w:val="none"/>
                <w:lang w:val="en-US" w:eastAsia="zh-CN"/>
              </w:rPr>
              <w:t>128</w:t>
            </w:r>
            <w:r>
              <w:rPr>
                <w:rFonts w:ascii="Times New Roman" w:hAnsi="Times New Roman"/>
                <w:color w:val="auto"/>
                <w:szCs w:val="24"/>
                <w:highlight w:val="none"/>
                <w:lang w:val="en-US" w:eastAsia="zh-CN"/>
              </w:rPr>
              <w:t>t</w:t>
            </w:r>
            <w:r>
              <w:rPr>
                <w:rFonts w:ascii="Times New Roman" w:hAnsi="宋体"/>
                <w:color w:val="auto"/>
                <w:szCs w:val="24"/>
                <w:highlight w:val="none"/>
                <w:lang w:val="en-US" w:eastAsia="zh-CN"/>
              </w:rPr>
              <w:t>，类比同类项目运行数据，筛分用水量约为</w:t>
            </w:r>
            <w:r>
              <w:rPr>
                <w:rFonts w:ascii="Times New Roman" w:hAnsi="Times New Roman"/>
                <w:color w:val="auto"/>
                <w:szCs w:val="24"/>
                <w:highlight w:val="none"/>
                <w:lang w:val="en-US" w:eastAsia="zh-CN"/>
              </w:rPr>
              <w:t>1.2m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/t</w:t>
            </w:r>
            <w:r>
              <w:rPr>
                <w:rFonts w:ascii="Times New Roman" w:hAnsi="宋体"/>
                <w:color w:val="auto"/>
                <w:szCs w:val="24"/>
                <w:highlight w:val="none"/>
                <w:lang w:val="en-US" w:eastAsia="zh-CN"/>
              </w:rPr>
              <w:t>原料，则筛分用水量为</w:t>
            </w:r>
            <w:r>
              <w:rPr>
                <w:rFonts w:hint="eastAsia" w:ascii="Times New Roman" w:hAnsi="Times New Roman"/>
                <w:color w:val="auto"/>
                <w:szCs w:val="24"/>
                <w:highlight w:val="none"/>
                <w:lang w:val="en-US" w:eastAsia="zh-CN"/>
              </w:rPr>
              <w:t>153.6</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，筛分环节水损耗量约为</w:t>
            </w:r>
            <w:r>
              <w:rPr>
                <w:rFonts w:hint="eastAsia" w:ascii="Times New Roman" w:hAnsi="Times New Roman"/>
                <w:color w:val="auto"/>
                <w:szCs w:val="24"/>
                <w:highlight w:val="none"/>
                <w:lang w:val="en-US" w:eastAsia="zh-CN"/>
              </w:rPr>
              <w:t>7.68</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w:t>
            </w:r>
            <w:r>
              <w:rPr>
                <w:rFonts w:ascii="Times New Roman" w:hAnsi="Times New Roman"/>
                <w:color w:val="auto"/>
                <w:szCs w:val="24"/>
                <w:highlight w:val="none"/>
                <w:lang w:val="en-US" w:eastAsia="zh-CN"/>
              </w:rPr>
              <w:t>5%</w:t>
            </w:r>
            <w:r>
              <w:rPr>
                <w:rFonts w:ascii="Times New Roman" w:hAnsi="宋体"/>
                <w:color w:val="auto"/>
                <w:szCs w:val="24"/>
                <w:highlight w:val="none"/>
                <w:lang w:val="en-US" w:eastAsia="zh-CN"/>
              </w:rPr>
              <w:t>），其余</w:t>
            </w:r>
            <w:r>
              <w:rPr>
                <w:rFonts w:hint="eastAsia" w:ascii="Times New Roman" w:hAnsi="Times New Roman"/>
                <w:color w:val="auto"/>
                <w:szCs w:val="24"/>
                <w:highlight w:val="none"/>
                <w:lang w:val="en-US" w:eastAsia="zh-CN"/>
              </w:rPr>
              <w:t>145.92</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水随砂料入洗砂机。</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Cs w:val="24"/>
                <w:highlight w:val="none"/>
                <w:lang w:val="en-US" w:eastAsia="zh-CN"/>
              </w:rPr>
            </w:pPr>
            <w:r>
              <w:rPr>
                <w:rFonts w:ascii="Times New Roman" w:hAnsi="宋体"/>
                <w:color w:val="auto"/>
                <w:szCs w:val="24"/>
                <w:highlight w:val="none"/>
                <w:lang w:val="en-US" w:eastAsia="zh-CN"/>
              </w:rPr>
              <w:t>洗砂机无需添加新鲜水，进入洗砂机的水量为</w:t>
            </w:r>
            <w:r>
              <w:rPr>
                <w:rFonts w:hint="eastAsia" w:ascii="Times New Roman" w:hAnsi="Times New Roman"/>
                <w:color w:val="auto"/>
                <w:szCs w:val="24"/>
                <w:highlight w:val="none"/>
                <w:lang w:val="en-US" w:eastAsia="zh-CN"/>
              </w:rPr>
              <w:t>145.92</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，成品细砂（含水量</w:t>
            </w:r>
            <w:r>
              <w:rPr>
                <w:rFonts w:ascii="Times New Roman" w:hAnsi="Times New Roman"/>
                <w:color w:val="auto"/>
                <w:szCs w:val="24"/>
                <w:highlight w:val="none"/>
                <w:lang w:val="en-US" w:eastAsia="zh-CN"/>
              </w:rPr>
              <w:t>15%</w:t>
            </w:r>
            <w:r>
              <w:rPr>
                <w:rFonts w:ascii="Times New Roman" w:hAnsi="宋体"/>
                <w:color w:val="auto"/>
                <w:szCs w:val="24"/>
                <w:highlight w:val="none"/>
                <w:lang w:val="en-US" w:eastAsia="zh-CN"/>
              </w:rPr>
              <w:t>，）带走约</w:t>
            </w:r>
            <w:r>
              <w:rPr>
                <w:rFonts w:hint="eastAsia" w:ascii="Times New Roman" w:hAnsi="Times New Roman"/>
                <w:color w:val="auto"/>
                <w:szCs w:val="24"/>
                <w:highlight w:val="none"/>
                <w:lang w:val="en-US" w:eastAsia="zh-CN"/>
              </w:rPr>
              <w:t>21.888</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，成品石料（含水量</w:t>
            </w:r>
            <w:r>
              <w:rPr>
                <w:rFonts w:ascii="Times New Roman" w:hAnsi="Times New Roman"/>
                <w:color w:val="auto"/>
                <w:szCs w:val="24"/>
                <w:highlight w:val="none"/>
                <w:lang w:val="en-US" w:eastAsia="zh-CN"/>
              </w:rPr>
              <w:t>10%</w:t>
            </w:r>
            <w:r>
              <w:rPr>
                <w:rFonts w:ascii="Times New Roman" w:hAnsi="宋体"/>
                <w:color w:val="auto"/>
                <w:szCs w:val="24"/>
                <w:highlight w:val="none"/>
                <w:lang w:val="en-US" w:eastAsia="zh-CN"/>
              </w:rPr>
              <w:t>）带走约</w:t>
            </w:r>
            <w:r>
              <w:rPr>
                <w:rFonts w:hint="eastAsia" w:ascii="Times New Roman" w:hAnsi="Times New Roman"/>
                <w:color w:val="auto"/>
                <w:szCs w:val="24"/>
                <w:highlight w:val="none"/>
                <w:lang w:val="en-US" w:eastAsia="zh-CN"/>
              </w:rPr>
              <w:t>14.592</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，洗砂机产生废水量约为</w:t>
            </w:r>
            <w:r>
              <w:rPr>
                <w:rFonts w:hint="eastAsia" w:ascii="Times New Roman" w:hAnsi="Times New Roman"/>
                <w:color w:val="auto"/>
                <w:szCs w:val="24"/>
                <w:highlight w:val="none"/>
                <w:lang w:val="en-US" w:eastAsia="zh-CN"/>
              </w:rPr>
              <w:t>109.44</w:t>
            </w:r>
            <w:r>
              <w:rPr>
                <w:rFonts w:ascii="Times New Roman" w:hAnsi="Times New Roman"/>
                <w:color w:val="auto"/>
                <w:szCs w:val="24"/>
                <w:highlight w:val="none"/>
                <w:lang w:val="en-US" w:eastAsia="zh-CN"/>
              </w:rPr>
              <w:t>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，产生的洗砂废水的主要污染物是悬浮颗粒物，全部经过管道进入沉淀池处理，采用沉淀工艺，废水经过处理后回用，不外排。</w:t>
            </w:r>
          </w:p>
          <w:p>
            <w:pPr>
              <w:pStyle w:val="6"/>
              <w:keepNext w:val="0"/>
              <w:keepLines w:val="0"/>
              <w:pageBreakBefore w:val="0"/>
              <w:widowControl w:val="0"/>
              <w:kinsoku/>
              <w:wordWrap/>
              <w:overflowPunct/>
              <w:topLinePunct w:val="0"/>
              <w:bidi w:val="0"/>
              <w:adjustRightInd w:val="0"/>
              <w:snapToGrid w:val="0"/>
              <w:spacing w:beforeLines="0" w:beforeAutospacing="0" w:afterLines="0" w:afterAutospacing="0" w:line="360" w:lineRule="auto"/>
              <w:ind w:left="0" w:right="0" w:rightChars="0" w:firstLine="480" w:firstLineChars="200"/>
              <w:rPr>
                <w:rFonts w:ascii="Times New Roman" w:hAnsi="Times New Roman" w:eastAsia="宋体"/>
                <w:color w:val="auto"/>
                <w:sz w:val="24"/>
                <w:szCs w:val="24"/>
                <w:highlight w:val="none"/>
              </w:rPr>
            </w:pPr>
            <w:r>
              <w:rPr>
                <w:rFonts w:ascii="Times New Roman" w:hAnsi="宋体" w:eastAsia="宋体"/>
                <w:color w:val="auto"/>
                <w:sz w:val="24"/>
                <w:szCs w:val="24"/>
                <w:highlight w:val="none"/>
              </w:rPr>
              <w:t>③车辆冲洗用水</w:t>
            </w:r>
          </w:p>
          <w:p>
            <w:pPr>
              <w:pStyle w:val="105"/>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Cs w:val="24"/>
                <w:highlight w:val="none"/>
                <w:lang w:val="en-US" w:eastAsia="zh-CN"/>
              </w:rPr>
            </w:pPr>
            <w:r>
              <w:rPr>
                <w:rFonts w:ascii="Times New Roman" w:hAnsi="宋体"/>
                <w:color w:val="auto"/>
                <w:szCs w:val="24"/>
                <w:highlight w:val="none"/>
                <w:lang w:val="en-US" w:eastAsia="zh-CN"/>
              </w:rPr>
              <w:t>采区设置运输车辆冲洗装置，对进出运输车辆进行车斗及周身冲洗，本项目全年运输量为</w:t>
            </w:r>
            <w:r>
              <w:rPr>
                <w:rFonts w:hint="eastAsia" w:ascii="Times New Roman" w:hAnsi="宋体"/>
                <w:color w:val="auto"/>
                <w:szCs w:val="24"/>
                <w:highlight w:val="none"/>
                <w:lang w:val="en-US" w:eastAsia="zh-CN"/>
              </w:rPr>
              <w:t>128</w:t>
            </w:r>
            <w:r>
              <w:rPr>
                <w:rFonts w:ascii="Times New Roman" w:hAnsi="宋体"/>
                <w:color w:val="auto"/>
                <w:szCs w:val="24"/>
                <w:highlight w:val="none"/>
                <w:lang w:val="en-US" w:eastAsia="zh-CN"/>
              </w:rPr>
              <w:t>万吨，采用</w:t>
            </w:r>
            <w:r>
              <w:rPr>
                <w:rFonts w:hint="eastAsia" w:ascii="Times New Roman" w:hAnsi="Times New Roman"/>
                <w:color w:val="auto"/>
                <w:szCs w:val="24"/>
                <w:highlight w:val="none"/>
                <w:lang w:val="en-US" w:eastAsia="zh-CN"/>
              </w:rPr>
              <w:t>3</w:t>
            </w:r>
            <w:r>
              <w:rPr>
                <w:rFonts w:ascii="Times New Roman" w:hAnsi="Times New Roman"/>
                <w:color w:val="auto"/>
                <w:szCs w:val="24"/>
                <w:highlight w:val="none"/>
                <w:lang w:val="en-US" w:eastAsia="zh-CN"/>
              </w:rPr>
              <w:t>0t</w:t>
            </w:r>
            <w:r>
              <w:rPr>
                <w:rFonts w:ascii="Times New Roman" w:hAnsi="宋体"/>
                <w:color w:val="auto"/>
                <w:szCs w:val="24"/>
                <w:highlight w:val="none"/>
                <w:lang w:val="en-US" w:eastAsia="zh-CN"/>
              </w:rPr>
              <w:t>载重汽车进行运输，则项目平均每天出入厂区车次约为</w:t>
            </w:r>
            <w:r>
              <w:rPr>
                <w:rFonts w:ascii="Times New Roman" w:hAnsi="Times New Roman"/>
                <w:color w:val="auto"/>
                <w:szCs w:val="24"/>
                <w:highlight w:val="none"/>
                <w:lang w:val="en-US" w:eastAsia="zh-CN"/>
              </w:rPr>
              <w:t>8</w:t>
            </w:r>
            <w:r>
              <w:rPr>
                <w:rFonts w:ascii="Times New Roman" w:hAnsi="宋体"/>
                <w:color w:val="auto"/>
                <w:szCs w:val="24"/>
                <w:highlight w:val="none"/>
                <w:lang w:val="en-US" w:eastAsia="zh-CN"/>
              </w:rPr>
              <w:t>次。根据《建筑给水排水标准》（</w:t>
            </w:r>
            <w:r>
              <w:rPr>
                <w:rFonts w:ascii="Times New Roman" w:hAnsi="Times New Roman"/>
                <w:color w:val="auto"/>
                <w:szCs w:val="24"/>
                <w:highlight w:val="none"/>
                <w:lang w:val="en-US" w:eastAsia="zh-CN"/>
              </w:rPr>
              <w:t>GB50015-2009</w:t>
            </w:r>
            <w:r>
              <w:rPr>
                <w:rFonts w:ascii="Times New Roman" w:hAnsi="宋体"/>
                <w:color w:val="auto"/>
                <w:szCs w:val="24"/>
                <w:highlight w:val="none"/>
                <w:lang w:val="en-US" w:eastAsia="zh-CN"/>
              </w:rPr>
              <w:t>）中汽车冲洗用水定额，载重汽车高压水枪冲洗用水量为</w:t>
            </w:r>
            <w:r>
              <w:rPr>
                <w:rFonts w:ascii="Times New Roman" w:hAnsi="Times New Roman"/>
                <w:color w:val="auto"/>
                <w:szCs w:val="24"/>
                <w:highlight w:val="none"/>
                <w:lang w:val="en-US" w:eastAsia="zh-CN"/>
              </w:rPr>
              <w:t>80~120L/</w:t>
            </w:r>
            <w:r>
              <w:rPr>
                <w:rFonts w:ascii="Times New Roman" w:hAnsi="宋体"/>
                <w:color w:val="auto"/>
                <w:szCs w:val="24"/>
                <w:highlight w:val="none"/>
                <w:lang w:val="en-US" w:eastAsia="zh-CN"/>
              </w:rPr>
              <w:t>辆</w:t>
            </w:r>
            <w:r>
              <w:rPr>
                <w:rFonts w:ascii="Times New Roman" w:hAnsi="Times New Roman"/>
                <w:color w:val="auto"/>
                <w:szCs w:val="24"/>
                <w:highlight w:val="none"/>
                <w:lang w:val="en-US" w:eastAsia="zh-CN"/>
              </w:rPr>
              <w:t>·</w:t>
            </w:r>
            <w:r>
              <w:rPr>
                <w:rFonts w:ascii="Times New Roman" w:hAnsi="宋体"/>
                <w:color w:val="auto"/>
                <w:szCs w:val="24"/>
                <w:highlight w:val="none"/>
                <w:lang w:val="en-US" w:eastAsia="zh-CN"/>
              </w:rPr>
              <w:t>次，本次评价取平均值</w:t>
            </w:r>
            <w:r>
              <w:rPr>
                <w:rFonts w:ascii="Times New Roman" w:hAnsi="Times New Roman"/>
                <w:color w:val="auto"/>
                <w:szCs w:val="24"/>
                <w:highlight w:val="none"/>
                <w:lang w:val="en-US" w:eastAsia="zh-CN"/>
              </w:rPr>
              <w:t>100L/</w:t>
            </w:r>
            <w:r>
              <w:rPr>
                <w:rFonts w:ascii="Times New Roman" w:hAnsi="宋体"/>
                <w:color w:val="auto"/>
                <w:szCs w:val="24"/>
                <w:highlight w:val="none"/>
                <w:lang w:val="en-US" w:eastAsia="zh-CN"/>
              </w:rPr>
              <w:t>辆</w:t>
            </w:r>
            <w:r>
              <w:rPr>
                <w:rFonts w:ascii="Times New Roman" w:hAnsi="Times New Roman"/>
                <w:color w:val="auto"/>
                <w:szCs w:val="24"/>
                <w:highlight w:val="none"/>
                <w:lang w:val="en-US" w:eastAsia="zh-CN"/>
              </w:rPr>
              <w:t>·</w:t>
            </w:r>
            <w:r>
              <w:rPr>
                <w:rFonts w:ascii="Times New Roman" w:hAnsi="宋体"/>
                <w:color w:val="auto"/>
                <w:szCs w:val="24"/>
                <w:highlight w:val="none"/>
                <w:lang w:val="en-US" w:eastAsia="zh-CN"/>
              </w:rPr>
              <w:t>次，经计算车辆冲洗用水量为</w:t>
            </w:r>
            <w:r>
              <w:rPr>
                <w:rFonts w:ascii="Times New Roman" w:hAnsi="Times New Roman"/>
                <w:color w:val="auto"/>
                <w:szCs w:val="24"/>
                <w:highlight w:val="none"/>
                <w:lang w:val="en-US" w:eastAsia="zh-CN"/>
              </w:rPr>
              <w:t>0.8m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/d</w:t>
            </w:r>
            <w:r>
              <w:rPr>
                <w:rFonts w:ascii="Times New Roman" w:hAnsi="宋体"/>
                <w:color w:val="auto"/>
                <w:szCs w:val="24"/>
                <w:highlight w:val="none"/>
                <w:lang w:val="en-US" w:eastAsia="zh-CN"/>
              </w:rPr>
              <w:t>（</w:t>
            </w:r>
            <w:r>
              <w:rPr>
                <w:rFonts w:ascii="Times New Roman" w:hAnsi="Times New Roman"/>
                <w:color w:val="auto"/>
                <w:szCs w:val="24"/>
                <w:highlight w:val="none"/>
                <w:lang w:val="en-US" w:eastAsia="zh-CN"/>
              </w:rPr>
              <w:t>120m</w:t>
            </w:r>
            <w:r>
              <w:rPr>
                <w:rFonts w:ascii="Times New Roman" w:hAnsi="Times New Roman"/>
                <w:color w:val="auto"/>
                <w:szCs w:val="24"/>
                <w:highlight w:val="none"/>
                <w:vertAlign w:val="superscript"/>
                <w:lang w:val="en-US" w:eastAsia="zh-CN"/>
              </w:rPr>
              <w:t>3</w:t>
            </w:r>
            <w:r>
              <w:rPr>
                <w:rFonts w:ascii="Times New Roman" w:hAnsi="Times New Roman"/>
                <w:color w:val="auto"/>
                <w:szCs w:val="24"/>
                <w:highlight w:val="none"/>
                <w:lang w:val="en-US" w:eastAsia="zh-CN"/>
              </w:rPr>
              <w:t>/a</w:t>
            </w:r>
            <w:r>
              <w:rPr>
                <w:rFonts w:ascii="Times New Roman" w:hAnsi="宋体"/>
                <w:color w:val="auto"/>
                <w:szCs w:val="24"/>
                <w:highlight w:val="none"/>
                <w:lang w:val="en-US" w:eastAsia="zh-CN"/>
              </w:rPr>
              <w:t>），砂石料加工厂设置一个</w:t>
            </w:r>
            <w:r>
              <w:rPr>
                <w:rFonts w:hint="eastAsia" w:hAnsi="宋体"/>
                <w:color w:val="auto"/>
                <w:szCs w:val="24"/>
                <w:highlight w:val="none"/>
                <w:lang w:val="en-US" w:eastAsia="zh-CN"/>
              </w:rPr>
              <w:t>2</w:t>
            </w:r>
            <w:r>
              <w:rPr>
                <w:rFonts w:ascii="Times New Roman" w:hAnsi="Times New Roman"/>
                <w:color w:val="auto"/>
                <w:szCs w:val="24"/>
                <w:highlight w:val="none"/>
                <w:lang w:val="en-US" w:eastAsia="zh-CN"/>
              </w:rPr>
              <w:t>00m</w:t>
            </w:r>
            <w:r>
              <w:rPr>
                <w:rFonts w:ascii="Times New Roman" w:hAnsi="Times New Roman"/>
                <w:color w:val="auto"/>
                <w:szCs w:val="24"/>
                <w:highlight w:val="none"/>
                <w:vertAlign w:val="superscript"/>
                <w:lang w:val="en-US" w:eastAsia="zh-CN"/>
              </w:rPr>
              <w:t>3</w:t>
            </w:r>
            <w:r>
              <w:rPr>
                <w:rFonts w:ascii="Times New Roman" w:hAnsi="宋体"/>
                <w:color w:val="auto"/>
                <w:szCs w:val="24"/>
                <w:highlight w:val="none"/>
                <w:lang w:val="en-US" w:eastAsia="zh-CN"/>
              </w:rPr>
              <w:t>三级沉淀池，冲洗废水进入沉淀池沉淀后回用于生产工序，不外排。</w:t>
            </w:r>
          </w:p>
          <w:p>
            <w:pPr>
              <w:pStyle w:val="6"/>
              <w:keepNext w:val="0"/>
              <w:keepLines w:val="0"/>
              <w:pageBreakBefore w:val="0"/>
              <w:widowControl w:val="0"/>
              <w:kinsoku/>
              <w:wordWrap/>
              <w:overflowPunct/>
              <w:topLinePunct w:val="0"/>
              <w:bidi w:val="0"/>
              <w:adjustRightInd w:val="0"/>
              <w:snapToGrid w:val="0"/>
              <w:spacing w:beforeLines="0" w:beforeAutospacing="0" w:afterLines="0" w:afterAutospacing="0" w:line="360" w:lineRule="auto"/>
              <w:ind w:left="0" w:right="0" w:rightChars="0" w:firstLine="480" w:firstLineChars="200"/>
              <w:rPr>
                <w:rFonts w:ascii="Times New Roman" w:hAnsi="Times New Roman" w:eastAsia="宋体"/>
                <w:color w:val="auto"/>
                <w:sz w:val="24"/>
                <w:szCs w:val="24"/>
                <w:highlight w:val="none"/>
              </w:rPr>
            </w:pPr>
            <w:r>
              <w:rPr>
                <w:rFonts w:ascii="Times New Roman" w:hAnsi="宋体" w:eastAsia="宋体"/>
                <w:color w:val="auto"/>
                <w:sz w:val="24"/>
                <w:szCs w:val="24"/>
                <w:highlight w:val="none"/>
              </w:rPr>
              <w:t>④生活用水</w:t>
            </w:r>
          </w:p>
          <w:p>
            <w:pPr>
              <w:pStyle w:val="105"/>
              <w:keepNext w:val="0"/>
              <w:keepLines w:val="0"/>
              <w:pageBreakBefore w:val="0"/>
              <w:widowControl w:val="0"/>
              <w:kinsoku/>
              <w:wordWrap/>
              <w:overflowPunct/>
              <w:topLinePunct w:val="0"/>
              <w:bidi w:val="0"/>
              <w:spacing w:line="360" w:lineRule="auto"/>
              <w:ind w:firstLine="480"/>
              <w:rPr>
                <w:color w:val="auto"/>
                <w:highlight w:val="none"/>
              </w:rPr>
            </w:pPr>
            <w:r>
              <w:rPr>
                <w:color w:val="auto"/>
                <w:highlight w:val="none"/>
              </w:rPr>
              <w:t>本项目劳动定员</w:t>
            </w:r>
            <w:r>
              <w:rPr>
                <w:rFonts w:hint="eastAsia"/>
                <w:color w:val="auto"/>
                <w:highlight w:val="none"/>
                <w:lang w:val="en-US" w:eastAsia="zh-CN"/>
              </w:rPr>
              <w:t>15</w:t>
            </w:r>
            <w:r>
              <w:rPr>
                <w:color w:val="auto"/>
                <w:highlight w:val="none"/>
              </w:rPr>
              <w:t>人</w:t>
            </w:r>
            <w:r>
              <w:rPr>
                <w:rFonts w:hint="eastAsia"/>
                <w:color w:val="auto"/>
                <w:highlight w:val="none"/>
                <w:lang w:eastAsia="zh-CN"/>
              </w:rPr>
              <w:t>，</w:t>
            </w:r>
            <w:r>
              <w:rPr>
                <w:color w:val="auto"/>
                <w:highlight w:val="none"/>
              </w:rPr>
              <w:t>根据</w:t>
            </w:r>
            <w:r>
              <w:rPr>
                <w:rFonts w:hint="eastAsia"/>
                <w:color w:val="auto"/>
                <w:highlight w:val="none"/>
              </w:rPr>
              <w:t>《甘肃省行业用水定额（</w:t>
            </w:r>
            <w:r>
              <w:rPr>
                <w:color w:val="auto"/>
                <w:highlight w:val="none"/>
              </w:rPr>
              <w:t>2017版</w:t>
            </w:r>
            <w:r>
              <w:rPr>
                <w:rFonts w:hint="eastAsia"/>
                <w:color w:val="auto"/>
                <w:highlight w:val="none"/>
              </w:rPr>
              <w:t>）》及项目区实际情况</w:t>
            </w:r>
            <w:r>
              <w:rPr>
                <w:color w:val="auto"/>
                <w:highlight w:val="none"/>
              </w:rPr>
              <w:t>，办公人员生活用水量取</w:t>
            </w:r>
            <w:r>
              <w:rPr>
                <w:rFonts w:hint="eastAsia"/>
                <w:color w:val="auto"/>
                <w:highlight w:val="none"/>
                <w:lang w:val="en-US" w:eastAsia="zh-CN"/>
              </w:rPr>
              <w:t>6</w:t>
            </w:r>
            <w:r>
              <w:rPr>
                <w:color w:val="auto"/>
                <w:highlight w:val="none"/>
              </w:rPr>
              <w:t>0L/(人•d)。</w:t>
            </w:r>
            <w:r>
              <w:rPr>
                <w:rFonts w:hint="default" w:ascii="Times New Roman" w:hAnsi="Times New Roman" w:eastAsia="宋体" w:cs="Times New Roman"/>
                <w:b w:val="0"/>
                <w:bCs w:val="0"/>
                <w:color w:val="auto"/>
                <w:sz w:val="24"/>
                <w:szCs w:val="24"/>
                <w:highlight w:val="none"/>
              </w:rPr>
              <w:t>则生活用水量为</w:t>
            </w:r>
            <w:r>
              <w:rPr>
                <w:rFonts w:hint="default" w:ascii="Times New Roman" w:hAnsi="Times New Roman" w:eastAsia="宋体" w:cs="Times New Roman"/>
                <w:b w:val="0"/>
                <w:bCs w:val="0"/>
                <w:color w:val="auto"/>
                <w:sz w:val="24"/>
                <w:szCs w:val="24"/>
                <w:highlight w:val="none"/>
                <w:lang w:val="en-US" w:eastAsia="zh-CN"/>
              </w:rPr>
              <w:t>0.</w:t>
            </w:r>
            <w:r>
              <w:rPr>
                <w:rFonts w:hint="eastAsia" w:cs="Times New Roman"/>
                <w:b w:val="0"/>
                <w:bCs w:val="0"/>
                <w:color w:val="auto"/>
                <w:sz w:val="24"/>
                <w:szCs w:val="24"/>
                <w:highlight w:val="none"/>
                <w:lang w:val="en-US" w:eastAsia="zh-CN"/>
              </w:rPr>
              <w:t>9</w:t>
            </w:r>
            <w:r>
              <w:rPr>
                <w:rFonts w:hint="default" w:ascii="Times New Roman" w:hAnsi="Times New Roman" w:eastAsia="宋体" w:cs="Times New Roman"/>
                <w:b w:val="0"/>
                <w:bCs w:val="0"/>
                <w:color w:val="auto"/>
                <w:sz w:val="24"/>
                <w:szCs w:val="24"/>
                <w:highlight w:val="none"/>
              </w:rPr>
              <w:t>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/d（</w:t>
            </w:r>
            <w:r>
              <w:rPr>
                <w:rFonts w:hint="eastAsia" w:cs="Times New Roman"/>
                <w:b w:val="0"/>
                <w:bCs w:val="0"/>
                <w:color w:val="auto"/>
                <w:sz w:val="24"/>
                <w:szCs w:val="24"/>
                <w:highlight w:val="none"/>
                <w:lang w:val="en-US" w:eastAsia="zh-CN"/>
              </w:rPr>
              <w:t>270</w:t>
            </w:r>
            <w:r>
              <w:rPr>
                <w:rFonts w:hint="default" w:ascii="Times New Roman" w:hAnsi="Times New Roman" w:eastAsia="宋体" w:cs="Times New Roman"/>
                <w:b w:val="0"/>
                <w:bCs w:val="0"/>
                <w:color w:val="auto"/>
                <w:sz w:val="24"/>
                <w:szCs w:val="24"/>
                <w:highlight w:val="none"/>
              </w:rPr>
              <w:t>m</w:t>
            </w:r>
            <w:r>
              <w:rPr>
                <w:rFonts w:hint="default" w:ascii="Times New Roman" w:hAnsi="Times New Roman" w:eastAsia="宋体" w:cs="Times New Roman"/>
                <w:b w:val="0"/>
                <w:bCs w:val="0"/>
                <w:color w:val="auto"/>
                <w:sz w:val="24"/>
                <w:szCs w:val="24"/>
                <w:highlight w:val="none"/>
                <w:vertAlign w:val="superscript"/>
                <w:lang w:val="en-US" w:eastAsia="zh-CN"/>
              </w:rPr>
              <w:t>3</w:t>
            </w:r>
            <w:r>
              <w:rPr>
                <w:rFonts w:hint="default" w:ascii="Times New Roman" w:hAnsi="Times New Roman" w:eastAsia="宋体" w:cs="Times New Roman"/>
                <w:b w:val="0"/>
                <w:bCs w:val="0"/>
                <w:color w:val="auto"/>
                <w:sz w:val="24"/>
                <w:szCs w:val="24"/>
                <w:highlight w:val="none"/>
              </w:rPr>
              <w:t>/a</w:t>
            </w:r>
            <w:r>
              <w:rPr>
                <w:rFonts w:hint="default" w:ascii="Times New Roman" w:hAnsi="Times New Roman" w:eastAsia="宋体" w:cs="Times New Roman"/>
                <w:b w:val="0"/>
                <w:bCs w:val="0"/>
                <w:color w:val="auto"/>
                <w:sz w:val="24"/>
                <w:szCs w:val="24"/>
                <w:highlight w:val="none"/>
                <w:lang w:eastAsia="zh-CN"/>
              </w:rPr>
              <w:t>）</w:t>
            </w:r>
            <w:r>
              <w:rPr>
                <w:color w:val="auto"/>
                <w:highlight w:val="none"/>
              </w:rPr>
              <w:t>生活污水排污系数取经验值0.8，则本项目生活污水产生量为0.</w:t>
            </w:r>
            <w:r>
              <w:rPr>
                <w:rFonts w:hint="eastAsia"/>
                <w:color w:val="auto"/>
                <w:highlight w:val="none"/>
                <w:lang w:val="en-US" w:eastAsia="zh-CN"/>
              </w:rPr>
              <w:t>72</w:t>
            </w:r>
            <w:r>
              <w:rPr>
                <w:color w:val="auto"/>
                <w:highlight w:val="none"/>
              </w:rPr>
              <w:t>m</w:t>
            </w:r>
            <w:r>
              <w:rPr>
                <w:color w:val="auto"/>
                <w:highlight w:val="none"/>
                <w:vertAlign w:val="superscript"/>
              </w:rPr>
              <w:t>3</w:t>
            </w:r>
            <w:r>
              <w:rPr>
                <w:color w:val="auto"/>
                <w:highlight w:val="none"/>
              </w:rPr>
              <w:t>/d（</w:t>
            </w:r>
            <w:r>
              <w:rPr>
                <w:rFonts w:hint="eastAsia"/>
                <w:color w:val="auto"/>
                <w:highlight w:val="none"/>
                <w:lang w:val="en-US" w:eastAsia="zh-CN"/>
              </w:rPr>
              <w:t>216</w:t>
            </w:r>
            <w:r>
              <w:rPr>
                <w:color w:val="auto"/>
                <w:highlight w:val="none"/>
              </w:rPr>
              <w:t>m</w:t>
            </w:r>
            <w:r>
              <w:rPr>
                <w:color w:val="auto"/>
                <w:highlight w:val="none"/>
                <w:vertAlign w:val="superscript"/>
              </w:rPr>
              <w:t>3</w:t>
            </w:r>
            <w:r>
              <w:rPr>
                <w:color w:val="auto"/>
                <w:highlight w:val="none"/>
              </w:rPr>
              <w:t>/a）。</w:t>
            </w:r>
          </w:p>
          <w:p>
            <w:pPr>
              <w:pStyle w:val="105"/>
              <w:keepNext w:val="0"/>
              <w:keepLines w:val="0"/>
              <w:pageBreakBefore w:val="0"/>
              <w:widowControl w:val="0"/>
              <w:kinsoku/>
              <w:wordWrap/>
              <w:overflowPunct/>
              <w:topLinePunct w:val="0"/>
              <w:bidi w:val="0"/>
              <w:spacing w:line="360" w:lineRule="auto"/>
              <w:ind w:firstLine="480"/>
              <w:rPr>
                <w:color w:val="auto"/>
                <w:highlight w:val="none"/>
              </w:rPr>
            </w:pPr>
            <w:r>
              <w:rPr>
                <w:color w:val="auto"/>
                <w:highlight w:val="none"/>
              </w:rPr>
              <w:t>生活污水进入</w:t>
            </w:r>
            <w:r>
              <w:rPr>
                <w:rFonts w:hint="eastAsia"/>
                <w:color w:val="auto"/>
                <w:highlight w:val="none"/>
                <w:lang w:eastAsia="zh-CN"/>
              </w:rPr>
              <w:t>化粪池</w:t>
            </w:r>
            <w:r>
              <w:rPr>
                <w:color w:val="auto"/>
                <w:highlight w:val="none"/>
              </w:rPr>
              <w:t>，</w:t>
            </w:r>
            <w:r>
              <w:rPr>
                <w:rFonts w:hint="eastAsia"/>
                <w:color w:val="auto"/>
                <w:highlight w:val="none"/>
                <w:lang w:eastAsia="zh-CN"/>
              </w:rPr>
              <w:t>化粪池</w:t>
            </w:r>
            <w:r>
              <w:rPr>
                <w:color w:val="auto"/>
                <w:highlight w:val="none"/>
              </w:rPr>
              <w:t>定期清理</w:t>
            </w:r>
            <w:r>
              <w:rPr>
                <w:rFonts w:hint="eastAsia"/>
                <w:color w:val="auto"/>
                <w:highlight w:val="none"/>
                <w:lang w:eastAsia="zh-CN"/>
              </w:rPr>
              <w:t>拉运至生活污水处理厂</w:t>
            </w:r>
            <w:r>
              <w:rPr>
                <w:color w:val="auto"/>
                <w:highlight w:val="none"/>
              </w:rPr>
              <w:t>。</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fldChar w:fldCharType="begin"/>
            </w:r>
            <w:r>
              <w:rPr>
                <w:rFonts w:hint="default" w:ascii="Times New Roman" w:hAnsi="Times New Roman" w:eastAsia="宋体" w:cs="Times New Roman"/>
                <w:sz w:val="24"/>
                <w:highlight w:val="none"/>
              </w:rPr>
              <w:instrText xml:space="preserve"> = 5 \* GB3 \* MERGEFORMAT </w:instrText>
            </w:r>
            <w:r>
              <w:rPr>
                <w:rFonts w:hint="default" w:ascii="Times New Roman" w:hAnsi="Times New Roman" w:eastAsia="宋体" w:cs="Times New Roman"/>
                <w:sz w:val="24"/>
                <w:highlight w:val="none"/>
              </w:rPr>
              <w:fldChar w:fldCharType="separate"/>
            </w:r>
            <w:r>
              <w:rPr>
                <w:rFonts w:hint="default" w:ascii="Times New Roman" w:hAnsi="Times New Roman" w:eastAsia="宋体" w:cs="Times New Roman"/>
                <w:sz w:val="24"/>
                <w:highlight w:val="none"/>
              </w:rPr>
              <w:t>⑤</w:t>
            </w:r>
            <w:r>
              <w:rPr>
                <w:rFonts w:hint="default" w:ascii="Times New Roman" w:hAnsi="Times New Roman" w:eastAsia="宋体" w:cs="Times New Roman"/>
                <w:sz w:val="24"/>
                <w:highlight w:val="none"/>
              </w:rPr>
              <w:fldChar w:fldCharType="end"/>
            </w:r>
            <w:r>
              <w:rPr>
                <w:rFonts w:hint="default" w:ascii="Times New Roman" w:hAnsi="Times New Roman" w:eastAsia="宋体" w:cs="Times New Roman"/>
                <w:sz w:val="24"/>
                <w:highlight w:val="none"/>
              </w:rPr>
              <w:t>食堂废水</w:t>
            </w:r>
          </w:p>
          <w:p>
            <w:pPr>
              <w:pStyle w:val="105"/>
              <w:keepNext w:val="0"/>
              <w:keepLines w:val="0"/>
              <w:pageBreakBefore w:val="0"/>
              <w:widowControl w:val="0"/>
              <w:kinsoku/>
              <w:wordWrap/>
              <w:overflowPunct/>
              <w:topLinePunct w:val="0"/>
              <w:bidi w:val="0"/>
              <w:spacing w:line="360" w:lineRule="auto"/>
              <w:ind w:firstLine="48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项目食堂用水按每人20L/d计算，用餐人数为6人，每天提供三餐，则食堂用水量0.36m</w:t>
            </w:r>
            <w:r>
              <w:rPr>
                <w:rFonts w:hint="default" w:ascii="Times New Roman" w:hAnsi="Times New Roman" w:eastAsia="宋体" w:cs="Times New Roman"/>
                <w:sz w:val="24"/>
                <w:highlight w:val="none"/>
                <w:vertAlign w:val="superscript"/>
              </w:rPr>
              <w:t>3</w:t>
            </w:r>
            <w:r>
              <w:rPr>
                <w:rFonts w:hint="default" w:ascii="Times New Roman" w:hAnsi="Times New Roman" w:eastAsia="宋体" w:cs="Times New Roman"/>
                <w:sz w:val="24"/>
                <w:highlight w:val="none"/>
              </w:rPr>
              <w:t>/d（108m</w:t>
            </w:r>
            <w:r>
              <w:rPr>
                <w:rFonts w:hint="default" w:ascii="Times New Roman" w:hAnsi="Times New Roman" w:eastAsia="宋体" w:cs="Times New Roman"/>
                <w:sz w:val="24"/>
                <w:highlight w:val="none"/>
                <w:vertAlign w:val="superscript"/>
              </w:rPr>
              <w:t>3</w:t>
            </w:r>
            <w:r>
              <w:rPr>
                <w:rFonts w:hint="default" w:ascii="Times New Roman" w:hAnsi="Times New Roman" w:eastAsia="宋体" w:cs="Times New Roman"/>
                <w:sz w:val="24"/>
                <w:highlight w:val="none"/>
              </w:rPr>
              <w:t>/a），污水产生量按用水量的80%计，则食堂废水产生量为0.288m</w:t>
            </w:r>
            <w:r>
              <w:rPr>
                <w:rFonts w:hint="default" w:ascii="Times New Roman" w:hAnsi="Times New Roman" w:eastAsia="宋体" w:cs="Times New Roman"/>
                <w:sz w:val="24"/>
                <w:highlight w:val="none"/>
                <w:vertAlign w:val="superscript"/>
              </w:rPr>
              <w:t>3</w:t>
            </w:r>
            <w:r>
              <w:rPr>
                <w:rFonts w:hint="default" w:ascii="Times New Roman" w:hAnsi="Times New Roman" w:eastAsia="宋体" w:cs="Times New Roman"/>
                <w:sz w:val="24"/>
                <w:highlight w:val="none"/>
              </w:rPr>
              <w:t>/d（86.4m</w:t>
            </w:r>
            <w:r>
              <w:rPr>
                <w:rFonts w:hint="default" w:ascii="Times New Roman" w:hAnsi="Times New Roman" w:eastAsia="宋体" w:cs="Times New Roman"/>
                <w:sz w:val="24"/>
                <w:highlight w:val="none"/>
                <w:vertAlign w:val="superscript"/>
              </w:rPr>
              <w:t>3</w:t>
            </w:r>
            <w:r>
              <w:rPr>
                <w:rFonts w:hint="default" w:ascii="Times New Roman" w:hAnsi="Times New Roman" w:eastAsia="宋体" w:cs="Times New Roman"/>
                <w:sz w:val="24"/>
                <w:highlight w:val="none"/>
              </w:rPr>
              <w:t>/a），</w:t>
            </w:r>
            <w:r>
              <w:rPr>
                <w:rFonts w:hint="default" w:ascii="Times New Roman" w:hAnsi="Times New Roman" w:eastAsia="宋体" w:cs="Times New Roman"/>
                <w:color w:val="auto"/>
                <w:sz w:val="24"/>
                <w:highlight w:val="none"/>
              </w:rPr>
              <w:t>经隔油池（1m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）处理后进入</w:t>
            </w:r>
            <w:r>
              <w:rPr>
                <w:rFonts w:hint="eastAsia" w:ascii="Times New Roman" w:hAnsi="Times New Roman" w:eastAsia="宋体" w:cs="Times New Roman"/>
                <w:color w:val="auto"/>
                <w:sz w:val="24"/>
                <w:highlight w:val="none"/>
                <w:lang w:eastAsia="zh-CN"/>
              </w:rPr>
              <w:t>化粪池</w:t>
            </w:r>
            <w:r>
              <w:rPr>
                <w:rFonts w:hint="eastAsia"/>
                <w:color w:val="auto"/>
                <w:highlight w:val="none"/>
                <w:lang w:eastAsia="zh-CN"/>
              </w:rPr>
              <w:t>，</w:t>
            </w:r>
            <w:r>
              <w:rPr>
                <w:rFonts w:hint="eastAsia" w:ascii="Times New Roman" w:hAnsi="Times New Roman" w:eastAsia="宋体" w:cs="Times New Roman"/>
                <w:color w:val="auto"/>
                <w:sz w:val="24"/>
                <w:highlight w:val="none"/>
                <w:lang w:eastAsia="zh-CN"/>
              </w:rPr>
              <w:t>化</w:t>
            </w:r>
            <w:r>
              <w:rPr>
                <w:rFonts w:hint="eastAsia"/>
                <w:color w:val="auto"/>
                <w:highlight w:val="none"/>
                <w:lang w:eastAsia="zh-CN"/>
              </w:rPr>
              <w:t>粪池</w:t>
            </w:r>
            <w:r>
              <w:rPr>
                <w:color w:val="auto"/>
                <w:highlight w:val="none"/>
              </w:rPr>
              <w:t>定期清理</w:t>
            </w:r>
            <w:r>
              <w:rPr>
                <w:rFonts w:hint="eastAsia"/>
                <w:color w:val="auto"/>
                <w:highlight w:val="none"/>
                <w:lang w:eastAsia="zh-CN"/>
              </w:rPr>
              <w:t>拉运至生活污水处理厂</w:t>
            </w:r>
            <w:r>
              <w:rPr>
                <w:color w:val="auto"/>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eastAsia="宋体"/>
                <w:b/>
                <w:color w:val="auto"/>
                <w:sz w:val="24"/>
                <w:highlight w:val="none"/>
                <w:lang w:val="en-US" w:eastAsia="zh-CN"/>
              </w:rPr>
            </w:pPr>
            <w:r>
              <w:rPr>
                <w:rFonts w:hint="eastAsia" w:ascii="Times New Roman" w:hAnsi="Times New Roman"/>
                <w:b/>
                <w:color w:val="auto"/>
                <w:sz w:val="24"/>
                <w:highlight w:val="none"/>
                <w:lang w:val="en-US" w:eastAsia="zh-CN"/>
              </w:rPr>
              <w:t>5、</w:t>
            </w:r>
            <w:r>
              <w:rPr>
                <w:rFonts w:ascii="Times New Roman" w:hAnsi="Times New Roman"/>
                <w:b/>
                <w:color w:val="auto"/>
                <w:sz w:val="24"/>
                <w:highlight w:val="none"/>
              </w:rPr>
              <w:t>运营期</w:t>
            </w:r>
            <w:r>
              <w:rPr>
                <w:rFonts w:hint="eastAsia" w:ascii="Times New Roman" w:hAnsi="Times New Roman"/>
                <w:b/>
                <w:color w:val="auto"/>
                <w:sz w:val="24"/>
                <w:highlight w:val="none"/>
                <w:lang w:val="en-US" w:eastAsia="zh-CN"/>
              </w:rPr>
              <w:t>噪声影响分析</w:t>
            </w:r>
          </w:p>
          <w:p>
            <w:pPr>
              <w:adjustRightInd w:val="0"/>
              <w:snapToGrid w:val="0"/>
              <w:spacing w:line="360" w:lineRule="auto"/>
              <w:ind w:firstLine="482" w:firstLineChars="200"/>
              <w:jc w:val="left"/>
              <w:rPr>
                <w:rFonts w:hint="eastAsia"/>
                <w:b/>
                <w:bCs/>
                <w:sz w:val="24"/>
              </w:rPr>
            </w:pPr>
            <w:r>
              <w:rPr>
                <w:rFonts w:hint="eastAsia" w:ascii="Times New Roman" w:hAnsi="Times New Roman" w:eastAsia="宋体" w:cs="Times New Roman"/>
                <w:b/>
                <w:color w:val="auto"/>
                <w:sz w:val="24"/>
                <w:highlight w:val="none"/>
                <w:lang w:val="en-US" w:eastAsia="zh-CN"/>
              </w:rPr>
              <w:t>5.1</w:t>
            </w:r>
            <w:r>
              <w:rPr>
                <w:rFonts w:hint="eastAsia"/>
                <w:b/>
                <w:bCs/>
                <w:sz w:val="24"/>
              </w:rPr>
              <w:t>爆破噪声影响分析</w:t>
            </w:r>
          </w:p>
          <w:p>
            <w:pPr>
              <w:adjustRightInd w:val="0"/>
              <w:snapToGrid w:val="0"/>
              <w:spacing w:line="360" w:lineRule="auto"/>
              <w:ind w:firstLine="480" w:firstLineChars="200"/>
              <w:jc w:val="left"/>
              <w:rPr>
                <w:rFonts w:hint="eastAsia" w:ascii="Times New Roman" w:hAnsi="Times New Roman" w:eastAsia="宋体" w:cs="Times New Roman"/>
                <w:sz w:val="24"/>
                <w:lang w:eastAsia="zh-CN"/>
              </w:rPr>
            </w:pPr>
            <w:r>
              <w:rPr>
                <w:rFonts w:hint="eastAsia" w:ascii="Times New Roman" w:hAnsi="Times New Roman" w:eastAsia="宋体" w:cs="Times New Roman"/>
                <w:sz w:val="24"/>
              </w:rPr>
              <w:t>本矿山爆破作业委托当地具有相关资质的专业爆破公司承担，爆破材料的购买、运输、储存等由爆破公司负责。矿山年生产规模为80×10</w:t>
            </w:r>
            <w:r>
              <w:rPr>
                <w:rFonts w:hint="eastAsia" w:ascii="Times New Roman" w:hAnsi="Times New Roman" w:eastAsia="宋体" w:cs="Times New Roman"/>
                <w:sz w:val="24"/>
                <w:vertAlign w:val="superscript"/>
              </w:rPr>
              <w:t>4</w:t>
            </w:r>
            <w:r>
              <w:rPr>
                <w:rFonts w:hint="eastAsia" w:ascii="Times New Roman" w:hAnsi="Times New Roman" w:eastAsia="宋体" w:cs="Times New Roman"/>
                <w:sz w:val="24"/>
              </w:rPr>
              <w:t>m</w:t>
            </w:r>
            <w:r>
              <w:rPr>
                <w:rFonts w:hint="eastAsia" w:ascii="Times New Roman" w:hAnsi="Times New Roman" w:eastAsia="宋体" w:cs="Times New Roman"/>
                <w:sz w:val="24"/>
                <w:vertAlign w:val="superscript"/>
              </w:rPr>
              <w:t>3</w:t>
            </w:r>
            <w:r>
              <w:rPr>
                <w:rFonts w:hint="eastAsia" w:ascii="Times New Roman" w:hAnsi="Times New Roman" w:eastAsia="宋体" w:cs="Times New Roman"/>
                <w:sz w:val="24"/>
              </w:rPr>
              <w:t>，年爆破矿石量80×10</w:t>
            </w:r>
            <w:r>
              <w:rPr>
                <w:rFonts w:hint="eastAsia" w:ascii="Times New Roman" w:hAnsi="Times New Roman" w:eastAsia="宋体" w:cs="Times New Roman"/>
                <w:sz w:val="24"/>
                <w:vertAlign w:val="superscript"/>
              </w:rPr>
              <w:t>4</w:t>
            </w:r>
            <w:r>
              <w:rPr>
                <w:rFonts w:hint="eastAsia" w:ascii="Times New Roman" w:hAnsi="Times New Roman" w:eastAsia="宋体" w:cs="Times New Roman"/>
                <w:sz w:val="24"/>
              </w:rPr>
              <w:t>m</w:t>
            </w:r>
            <w:r>
              <w:rPr>
                <w:rFonts w:hint="eastAsia" w:ascii="Times New Roman" w:hAnsi="Times New Roman" w:eastAsia="宋体" w:cs="Times New Roman"/>
                <w:sz w:val="24"/>
                <w:vertAlign w:val="superscript"/>
              </w:rPr>
              <w:t>3</w:t>
            </w:r>
            <w:r>
              <w:rPr>
                <w:rFonts w:hint="eastAsia" w:ascii="Times New Roman" w:hAnsi="Times New Roman" w:eastAsia="宋体" w:cs="Times New Roman"/>
                <w:sz w:val="24"/>
              </w:rPr>
              <w:t>，爆破作业拟每月集中进行一次。</w:t>
            </w:r>
            <w:r>
              <w:rPr>
                <w:rFonts w:hint="eastAsia" w:ascii="Times New Roman" w:hAnsi="Times New Roman" w:eastAsia="宋体" w:cs="Times New Roman"/>
                <w:sz w:val="24"/>
                <w:lang w:eastAsia="zh-CN"/>
              </w:rPr>
              <w:t>本项目矿山离敏感点较远，</w:t>
            </w:r>
            <w:r>
              <w:rPr>
                <w:rFonts w:hint="eastAsia" w:ascii="Times New Roman" w:hAnsi="Times New Roman" w:eastAsia="宋体" w:cs="Times New Roman"/>
                <w:sz w:val="24"/>
              </w:rPr>
              <w:t>爆破公司</w:t>
            </w:r>
            <w:r>
              <w:rPr>
                <w:rFonts w:hint="eastAsia" w:ascii="Times New Roman" w:hAnsi="Times New Roman" w:eastAsia="宋体" w:cs="Times New Roman"/>
                <w:sz w:val="24"/>
                <w:lang w:eastAsia="zh-CN"/>
              </w:rPr>
              <w:t>合理安排爆破时间和频次下，爆破噪声对周围居民影响较小。</w:t>
            </w:r>
          </w:p>
          <w:p>
            <w:pPr>
              <w:pStyle w:val="106"/>
              <w:keepNext w:val="0"/>
              <w:keepLines w:val="0"/>
              <w:pageBreakBefore w:val="0"/>
              <w:widowControl w:val="0"/>
              <w:kinsoku/>
              <w:wordWrap/>
              <w:overflowPunct/>
              <w:topLinePunct w:val="0"/>
              <w:autoSpaceDE/>
              <w:autoSpaceDN/>
              <w:bidi w:val="0"/>
              <w:adjustRightInd/>
              <w:snapToGrid/>
              <w:spacing w:after="0"/>
              <w:textAlignment w:val="baseline"/>
              <w:rPr>
                <w:rFonts w:hint="eastAsia" w:ascii="宋体" w:hAnsi="宋体" w:eastAsia="宋体" w:cs="宋体"/>
              </w:rPr>
            </w:pPr>
            <w:r>
              <w:rPr>
                <w:rFonts w:hint="eastAsia" w:ascii="宋体" w:hAnsi="宋体" w:eastAsia="宋体" w:cs="宋体"/>
              </w:rPr>
              <w:t>爆破噪声等将会矿区及周围一定范围内野生动物的活动和栖息产生一定影响，使其群落组成和数量发生一定变化。受爆破噪声惊吓和干扰，上述动物将迁往附近的同类生境，因陆生动物迁移能力强，且同类生境易于在附近找寻， 故物种种群与数量不会受到明显影响，待工程结束这种影响亦结束，因而不会使评价区野生动物物种数发生变化，其种群数量也不会发生明显变化。</w:t>
            </w:r>
          </w:p>
          <w:p>
            <w:pPr>
              <w:pStyle w:val="106"/>
              <w:rPr>
                <w:rFonts w:hint="eastAsia"/>
                <w:b/>
                <w:bCs/>
              </w:rPr>
            </w:pPr>
            <w:r>
              <w:rPr>
                <w:rFonts w:hint="eastAsia"/>
                <w:b/>
                <w:bCs/>
                <w:lang w:val="en-US" w:eastAsia="zh-CN"/>
              </w:rPr>
              <w:t>5.2</w:t>
            </w:r>
            <w:r>
              <w:rPr>
                <w:rFonts w:hint="eastAsia"/>
                <w:b/>
                <w:bCs/>
              </w:rPr>
              <w:t>爆破振动影响分析</w:t>
            </w:r>
          </w:p>
          <w:p>
            <w:pPr>
              <w:pStyle w:val="106"/>
              <w:numPr>
                <w:ilvl w:val="0"/>
                <w:numId w:val="6"/>
              </w:numPr>
              <w:spacing w:line="360" w:lineRule="auto"/>
              <w:rPr>
                <w:rFonts w:hint="eastAsia"/>
              </w:rPr>
            </w:pPr>
            <w:r>
              <w:rPr>
                <w:rFonts w:hint="eastAsia"/>
              </w:rPr>
              <w:t>预测模式</w:t>
            </w:r>
          </w:p>
          <w:p>
            <w:pPr>
              <w:pStyle w:val="62"/>
              <w:spacing w:before="3" w:line="360" w:lineRule="auto"/>
              <w:ind w:left="106" w:right="93" w:firstLine="480"/>
              <w:jc w:val="both"/>
              <w:rPr>
                <w:sz w:val="24"/>
              </w:rPr>
            </w:pPr>
            <w:r>
              <w:rPr>
                <w:spacing w:val="-1"/>
                <w:sz w:val="24"/>
              </w:rPr>
              <w:t>爆破在岩石中产生的弹性波是能量在质点之间的传播，在此过程中存在着两种速度形式：第一种是介质密度框定并受介质影响的振动速度，另一种则是</w:t>
            </w:r>
            <w:r>
              <w:rPr>
                <w:spacing w:val="-5"/>
                <w:sz w:val="24"/>
              </w:rPr>
              <w:t>由振动能量激发的质点在其平衡位置处的振动速度。表示爆破振动破坏的强弱</w:t>
            </w:r>
            <w:r>
              <w:rPr>
                <w:spacing w:val="-8"/>
                <w:sz w:val="24"/>
              </w:rPr>
              <w:t>程度叫振动强度或振动烈度，而确定爆破引起的振动强度和破坏标准需要的参</w:t>
            </w:r>
            <w:r>
              <w:rPr>
                <w:spacing w:val="-7"/>
                <w:sz w:val="24"/>
              </w:rPr>
              <w:t>数通常是质点振动速度。通常，振动强度可以用质点振动速度、位移、加速度</w:t>
            </w:r>
            <w:r>
              <w:rPr>
                <w:spacing w:val="-8"/>
                <w:sz w:val="24"/>
              </w:rPr>
              <w:t>和振动频率等物理量表示。大量资料显示，质点振动速度与一次爆破的装药量</w:t>
            </w:r>
            <w:r>
              <w:rPr>
                <w:sz w:val="24"/>
              </w:rPr>
              <w:t>大小、测点至爆源的距离、地质条件和爆破方法等因素有关。</w:t>
            </w:r>
          </w:p>
          <w:p>
            <w:pPr>
              <w:pStyle w:val="62"/>
              <w:spacing w:before="105" w:line="360" w:lineRule="auto"/>
              <w:ind w:firstLine="480" w:firstLineChars="200"/>
              <w:jc w:val="both"/>
              <w:rPr>
                <w:sz w:val="24"/>
              </w:rPr>
            </w:pPr>
            <w:r>
              <w:rPr>
                <w:sz w:val="24"/>
              </w:rPr>
              <w:t>运用《爆破安全规程》（</w:t>
            </w:r>
            <w:r>
              <w:rPr>
                <w:rFonts w:ascii="Times New Roman" w:eastAsia="Times New Roman"/>
                <w:sz w:val="24"/>
              </w:rPr>
              <w:t>GB6722</w:t>
            </w:r>
            <w:r>
              <w:rPr>
                <w:sz w:val="24"/>
              </w:rPr>
              <w:t>－</w:t>
            </w:r>
            <w:r>
              <w:rPr>
                <w:rFonts w:ascii="Times New Roman" w:eastAsia="Times New Roman"/>
                <w:sz w:val="24"/>
              </w:rPr>
              <w:t>2003</w:t>
            </w:r>
            <w:r>
              <w:rPr>
                <w:sz w:val="24"/>
              </w:rPr>
              <w:t>）推荐的公式及系数来计算爆破的振动速度，计算公式如下：</w:t>
            </w:r>
          </w:p>
          <w:p>
            <w:pPr>
              <w:pStyle w:val="62"/>
              <w:spacing w:line="360" w:lineRule="auto"/>
              <w:ind w:left="826"/>
              <w:rPr>
                <w:rFonts w:ascii="宋体" w:hAnsi="宋体" w:eastAsia="宋体" w:cs="宋体"/>
                <w:sz w:val="24"/>
                <w:szCs w:val="24"/>
              </w:rPr>
            </w:pPr>
            <w:r>
              <w:rPr>
                <w:rFonts w:ascii="宋体" w:hAnsi="宋体" w:eastAsia="宋体" w:cs="宋体"/>
                <w:sz w:val="24"/>
                <w:szCs w:val="24"/>
              </w:rPr>
              <w:drawing>
                <wp:inline distT="0" distB="0" distL="114300" distR="114300">
                  <wp:extent cx="1647825" cy="581025"/>
                  <wp:effectExtent l="0" t="0" r="9525" b="9525"/>
                  <wp:docPr id="11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9" descr="IMG_256"/>
                          <pic:cNvPicPr>
                            <a:picLocks noChangeAspect="1"/>
                          </pic:cNvPicPr>
                        </pic:nvPicPr>
                        <pic:blipFill>
                          <a:blip r:embed="rId28"/>
                          <a:stretch>
                            <a:fillRect/>
                          </a:stretch>
                        </pic:blipFill>
                        <pic:spPr>
                          <a:xfrm>
                            <a:off x="0" y="0"/>
                            <a:ext cx="1647825" cy="581025"/>
                          </a:xfrm>
                          <a:prstGeom prst="rect">
                            <a:avLst/>
                          </a:prstGeom>
                          <a:noFill/>
                          <a:ln w="9525">
                            <a:noFill/>
                          </a:ln>
                        </pic:spPr>
                      </pic:pic>
                    </a:graphicData>
                  </a:graphic>
                </wp:inline>
              </w:drawing>
            </w:r>
          </w:p>
          <w:p>
            <w:pPr>
              <w:pStyle w:val="62"/>
              <w:spacing w:line="360" w:lineRule="auto"/>
              <w:ind w:left="826"/>
              <w:rPr>
                <w:sz w:val="24"/>
              </w:rPr>
            </w:pPr>
            <w:r>
              <w:rPr>
                <w:sz w:val="24"/>
              </w:rPr>
              <w:t>式中：</w:t>
            </w:r>
            <w:r>
              <w:rPr>
                <w:rFonts w:ascii="Times New Roman" w:eastAsia="Times New Roman"/>
                <w:sz w:val="24"/>
              </w:rPr>
              <w:t>V</w:t>
            </w:r>
            <w:r>
              <w:rPr>
                <w:sz w:val="24"/>
              </w:rPr>
              <w:t>－质点振动速度，</w:t>
            </w:r>
            <w:r>
              <w:rPr>
                <w:rFonts w:ascii="Times New Roman" w:eastAsia="Times New Roman"/>
                <w:sz w:val="24"/>
              </w:rPr>
              <w:t>cm/s</w:t>
            </w:r>
            <w:r>
              <w:rPr>
                <w:sz w:val="24"/>
              </w:rPr>
              <w:t>；</w:t>
            </w:r>
          </w:p>
          <w:p>
            <w:pPr>
              <w:pStyle w:val="62"/>
              <w:spacing w:before="123" w:line="360" w:lineRule="auto"/>
              <w:ind w:left="1534"/>
              <w:rPr>
                <w:sz w:val="24"/>
              </w:rPr>
            </w:pPr>
            <w:r>
              <w:rPr>
                <w:rFonts w:ascii="Times New Roman" w:eastAsia="Times New Roman"/>
                <w:sz w:val="24"/>
              </w:rPr>
              <w:t>Q</w:t>
            </w:r>
            <w:r>
              <w:rPr>
                <w:sz w:val="24"/>
              </w:rPr>
              <w:t>－装药量；</w:t>
            </w:r>
          </w:p>
          <w:p>
            <w:pPr>
              <w:pStyle w:val="62"/>
              <w:spacing w:before="131" w:line="360" w:lineRule="auto"/>
              <w:ind w:left="1534" w:right="2716"/>
              <w:rPr>
                <w:sz w:val="24"/>
              </w:rPr>
            </w:pPr>
            <w:r>
              <w:rPr>
                <w:rFonts w:ascii="Times New Roman" w:hAnsi="Times New Roman" w:eastAsia="Times New Roman"/>
                <w:sz w:val="24"/>
              </w:rPr>
              <w:t>R</w:t>
            </w:r>
            <w:r>
              <w:rPr>
                <w:sz w:val="24"/>
              </w:rPr>
              <w:t>－从测点到爆破中心的距离，</w:t>
            </w:r>
            <w:r>
              <w:rPr>
                <w:rFonts w:ascii="Times New Roman" w:hAnsi="Times New Roman" w:eastAsia="Times New Roman"/>
                <w:sz w:val="24"/>
              </w:rPr>
              <w:t>m</w:t>
            </w:r>
            <w:r>
              <w:rPr>
                <w:sz w:val="24"/>
              </w:rPr>
              <w:t xml:space="preserve">； </w:t>
            </w:r>
            <w:r>
              <w:rPr>
                <w:rFonts w:ascii="Times New Roman" w:hAnsi="Times New Roman" w:eastAsia="Times New Roman"/>
                <w:sz w:val="24"/>
              </w:rPr>
              <w:t>K</w:t>
            </w:r>
            <w:r>
              <w:rPr>
                <w:sz w:val="24"/>
              </w:rPr>
              <w:t>－与爆破场地条件有关系数，取</w:t>
            </w:r>
            <w:r>
              <w:rPr>
                <w:rFonts w:ascii="Times New Roman" w:hAnsi="Times New Roman" w:eastAsia="Times New Roman"/>
                <w:spacing w:val="-5"/>
                <w:sz w:val="24"/>
              </w:rPr>
              <w:t>150</w:t>
            </w:r>
            <w:r>
              <w:rPr>
                <w:spacing w:val="-5"/>
                <w:sz w:val="24"/>
              </w:rPr>
              <w:t xml:space="preserve">； </w:t>
            </w:r>
            <w:r>
              <w:rPr>
                <w:rFonts w:ascii="Times New Roman" w:hAnsi="Times New Roman" w:eastAsia="Times New Roman"/>
                <w:sz w:val="24"/>
              </w:rPr>
              <w:t>α</w:t>
            </w:r>
            <w:r>
              <w:rPr>
                <w:sz w:val="24"/>
              </w:rPr>
              <w:t>－与地质条件有关的系数，取</w:t>
            </w:r>
            <w:r>
              <w:rPr>
                <w:rFonts w:ascii="Times New Roman" w:hAnsi="Times New Roman" w:eastAsia="Times New Roman"/>
                <w:sz w:val="24"/>
              </w:rPr>
              <w:t>1.5</w:t>
            </w:r>
            <w:r>
              <w:rPr>
                <w:sz w:val="24"/>
              </w:rPr>
              <w:t>。</w:t>
            </w:r>
          </w:p>
          <w:p>
            <w:pPr>
              <w:pStyle w:val="62"/>
              <w:spacing w:before="1" w:line="360" w:lineRule="auto"/>
              <w:ind w:left="584"/>
              <w:rPr>
                <w:sz w:val="24"/>
              </w:rPr>
            </w:pPr>
            <w:r>
              <w:rPr>
                <w:sz w:val="24"/>
              </w:rPr>
              <w:t>（</w:t>
            </w:r>
            <w:r>
              <w:rPr>
                <w:rFonts w:ascii="Times New Roman" w:eastAsia="Times New Roman"/>
                <w:sz w:val="24"/>
              </w:rPr>
              <w:t>2</w:t>
            </w:r>
            <w:r>
              <w:rPr>
                <w:sz w:val="24"/>
              </w:rPr>
              <w:t>）振动影响评价标准</w:t>
            </w:r>
          </w:p>
          <w:p>
            <w:pPr>
              <w:pStyle w:val="62"/>
              <w:spacing w:before="3" w:line="360" w:lineRule="auto"/>
              <w:ind w:left="106" w:right="93" w:firstLine="480"/>
              <w:jc w:val="both"/>
              <w:rPr>
                <w:rFonts w:hint="eastAsia" w:ascii="Times New Roman" w:hAnsi="Times New Roman" w:eastAsia="宋体" w:cs="Times New Roman"/>
                <w:spacing w:val="-1"/>
                <w:sz w:val="24"/>
              </w:rPr>
            </w:pPr>
            <w:r>
              <w:rPr>
                <w:rFonts w:ascii="Times New Roman" w:hAnsi="Times New Roman" w:eastAsia="宋体" w:cs="Times New Roman"/>
                <w:spacing w:val="-1"/>
                <w:sz w:val="24"/>
              </w:rPr>
              <w:t>爆破振动的影响主要是对人和建筑物的影响，其中爆破振动对人的影响见表</w:t>
            </w:r>
            <w:r>
              <w:rPr>
                <w:rFonts w:hint="eastAsia" w:ascii="Times New Roman" w:hAnsi="Times New Roman" w:eastAsia="宋体" w:cs="Times New Roman"/>
                <w:spacing w:val="-1"/>
                <w:sz w:val="24"/>
                <w:lang w:val="en-US" w:eastAsia="zh-CN"/>
              </w:rPr>
              <w:t>4</w:t>
            </w:r>
            <w:r>
              <w:rPr>
                <w:rFonts w:ascii="Times New Roman" w:hAnsi="Times New Roman" w:eastAsia="宋体" w:cs="Times New Roman"/>
                <w:spacing w:val="-1"/>
                <w:sz w:val="24"/>
              </w:rPr>
              <w:t>-1</w:t>
            </w:r>
            <w:r>
              <w:rPr>
                <w:rFonts w:hint="eastAsia" w:cs="Times New Roman"/>
                <w:spacing w:val="-1"/>
                <w:sz w:val="24"/>
                <w:lang w:val="en-US" w:eastAsia="zh-CN"/>
              </w:rPr>
              <w:t>0</w:t>
            </w:r>
            <w:r>
              <w:rPr>
                <w:rFonts w:ascii="Times New Roman" w:hAnsi="Times New Roman" w:eastAsia="宋体" w:cs="Times New Roman"/>
                <w:spacing w:val="-1"/>
                <w:sz w:val="24"/>
              </w:rPr>
              <w:t>，爆破振动对建筑物的影响见表</w:t>
            </w:r>
            <w:r>
              <w:rPr>
                <w:rFonts w:hint="eastAsia" w:ascii="Times New Roman" w:hAnsi="Times New Roman" w:eastAsia="宋体" w:cs="Times New Roman"/>
                <w:spacing w:val="-1"/>
                <w:sz w:val="24"/>
                <w:lang w:val="en-US" w:eastAsia="zh-CN"/>
              </w:rPr>
              <w:t>4-1</w:t>
            </w:r>
            <w:r>
              <w:rPr>
                <w:rFonts w:hint="eastAsia" w:cs="Times New Roman"/>
                <w:spacing w:val="-1"/>
                <w:sz w:val="24"/>
                <w:lang w:val="en-US" w:eastAsia="zh-CN"/>
              </w:rPr>
              <w:t>1</w:t>
            </w:r>
            <w:r>
              <w:rPr>
                <w:rFonts w:ascii="Times New Roman" w:hAnsi="Times New Roman" w:eastAsia="宋体" w:cs="Times New Roman"/>
                <w:spacing w:val="-1"/>
                <w:sz w:val="24"/>
              </w:rPr>
              <w:t>。</w:t>
            </w:r>
          </w:p>
          <w:p>
            <w:pPr>
              <w:pStyle w:val="106"/>
              <w:numPr>
                <w:ilvl w:val="0"/>
                <w:numId w:val="0"/>
              </w:numPr>
              <w:ind w:leftChars="200" w:firstLine="1928" w:firstLineChars="800"/>
              <w:rPr>
                <w:rFonts w:hint="eastAsia"/>
              </w:rPr>
            </w:pPr>
            <w:r>
              <w:rPr>
                <w:b/>
                <w:sz w:val="24"/>
              </w:rPr>
              <w:t>表</w:t>
            </w:r>
            <w:r>
              <w:rPr>
                <w:rFonts w:hint="eastAsia"/>
                <w:b/>
                <w:spacing w:val="-62"/>
                <w:sz w:val="24"/>
                <w:lang w:val="en-US" w:eastAsia="zh-CN"/>
              </w:rPr>
              <w:t>4-</w:t>
            </w:r>
            <w:r>
              <w:rPr>
                <w:rFonts w:hint="eastAsia" w:eastAsia="宋体"/>
                <w:b/>
                <w:sz w:val="24"/>
                <w:lang w:val="en-US" w:eastAsia="zh-CN"/>
              </w:rPr>
              <w:t>--1</w:t>
            </w:r>
            <w:r>
              <w:rPr>
                <w:rFonts w:hint="eastAsia"/>
                <w:b/>
                <w:sz w:val="24"/>
                <w:lang w:val="en-US" w:eastAsia="zh-CN"/>
              </w:rPr>
              <w:t>0</w:t>
            </w:r>
            <w:r>
              <w:rPr>
                <w:rFonts w:hint="eastAsia" w:eastAsia="宋体"/>
                <w:b/>
                <w:sz w:val="24"/>
                <w:lang w:val="en-US" w:eastAsia="zh-CN"/>
              </w:rPr>
              <w:t xml:space="preserve">    </w:t>
            </w:r>
            <w:r>
              <w:rPr>
                <w:b/>
                <w:sz w:val="24"/>
              </w:rPr>
              <w:t>爆破振动速度对人的作用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4"/>
              <w:gridCol w:w="3192"/>
              <w:gridCol w:w="3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3"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sz w:val="21"/>
                    </w:rPr>
                    <w:t>序号</w:t>
                  </w:r>
                </w:p>
              </w:tc>
              <w:tc>
                <w:tcPr>
                  <w:tcW w:w="3272"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sz w:val="24"/>
                      <w:vertAlign w:val="baseline"/>
                    </w:rPr>
                  </w:pPr>
                  <w:r>
                    <w:rPr>
                      <w:sz w:val="21"/>
                    </w:rPr>
                    <w:t>振动速度（</w:t>
                  </w:r>
                  <w:r>
                    <w:rPr>
                      <w:rFonts w:ascii="Times New Roman" w:eastAsia="Times New Roman"/>
                      <w:sz w:val="21"/>
                    </w:rPr>
                    <w:t>cm/s</w:t>
                  </w:r>
                  <w:r>
                    <w:rPr>
                      <w:sz w:val="21"/>
                    </w:rPr>
                    <w:t>）</w:t>
                  </w:r>
                </w:p>
              </w:tc>
              <w:tc>
                <w:tcPr>
                  <w:tcW w:w="3895"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sz w:val="21"/>
                    </w:rPr>
                    <w:t>振动对人的作用特征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3"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sz w:val="24"/>
                      <w:vertAlign w:val="baseline"/>
                    </w:rPr>
                  </w:pPr>
                  <w:r>
                    <w:rPr>
                      <w:rFonts w:ascii="Times New Roman"/>
                      <w:w w:val="99"/>
                      <w:sz w:val="21"/>
                    </w:rPr>
                    <w:t>1</w:t>
                  </w:r>
                </w:p>
              </w:tc>
              <w:tc>
                <w:tcPr>
                  <w:tcW w:w="3272"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rFonts w:ascii="Times New Roman"/>
                      <w:sz w:val="21"/>
                    </w:rPr>
                    <w:t>0.016</w:t>
                  </w:r>
                </w:p>
              </w:tc>
              <w:tc>
                <w:tcPr>
                  <w:tcW w:w="3895"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sz w:val="21"/>
                    </w:rPr>
                    <w:t>无感觉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63"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sz w:val="24"/>
                      <w:vertAlign w:val="baseline"/>
                    </w:rPr>
                  </w:pPr>
                  <w:r>
                    <w:rPr>
                      <w:rFonts w:ascii="Times New Roman"/>
                      <w:w w:val="99"/>
                      <w:sz w:val="21"/>
                    </w:rPr>
                    <w:t>2</w:t>
                  </w:r>
                </w:p>
              </w:tc>
              <w:tc>
                <w:tcPr>
                  <w:tcW w:w="3272"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sz w:val="24"/>
                      <w:vertAlign w:val="baseline"/>
                    </w:rPr>
                  </w:pPr>
                  <w:r>
                    <w:rPr>
                      <w:rFonts w:ascii="Times New Roman" w:eastAsia="Times New Roman"/>
                      <w:sz w:val="21"/>
                    </w:rPr>
                    <w:t>0.016</w:t>
                  </w:r>
                  <w:r>
                    <w:rPr>
                      <w:sz w:val="21"/>
                    </w:rPr>
                    <w:t>～</w:t>
                  </w:r>
                  <w:r>
                    <w:rPr>
                      <w:rFonts w:ascii="Times New Roman" w:eastAsia="Times New Roman"/>
                      <w:sz w:val="21"/>
                    </w:rPr>
                    <w:t>0.64</w:t>
                  </w:r>
                </w:p>
              </w:tc>
              <w:tc>
                <w:tcPr>
                  <w:tcW w:w="3895"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sz w:val="21"/>
                    </w:rPr>
                    <w:t>轻微感觉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3"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sz w:val="24"/>
                      <w:vertAlign w:val="baseline"/>
                    </w:rPr>
                  </w:pPr>
                  <w:r>
                    <w:rPr>
                      <w:rFonts w:ascii="Times New Roman"/>
                      <w:w w:val="99"/>
                      <w:sz w:val="21"/>
                    </w:rPr>
                    <w:t>3</w:t>
                  </w:r>
                </w:p>
              </w:tc>
              <w:tc>
                <w:tcPr>
                  <w:tcW w:w="3272"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sz w:val="24"/>
                      <w:vertAlign w:val="baseline"/>
                    </w:rPr>
                  </w:pPr>
                  <w:r>
                    <w:rPr>
                      <w:rFonts w:ascii="Times New Roman" w:eastAsia="Times New Roman"/>
                      <w:sz w:val="21"/>
                    </w:rPr>
                    <w:t>0.21</w:t>
                  </w:r>
                  <w:r>
                    <w:rPr>
                      <w:sz w:val="21"/>
                    </w:rPr>
                    <w:t>～</w:t>
                  </w:r>
                  <w:r>
                    <w:rPr>
                      <w:rFonts w:ascii="Times New Roman" w:eastAsia="Times New Roman"/>
                      <w:sz w:val="21"/>
                    </w:rPr>
                    <w:t>0.64</w:t>
                  </w:r>
                </w:p>
              </w:tc>
              <w:tc>
                <w:tcPr>
                  <w:tcW w:w="3895"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sz w:val="21"/>
                    </w:rPr>
                    <w:t>较大的感觉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3"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sz w:val="24"/>
                      <w:vertAlign w:val="baseline"/>
                    </w:rPr>
                  </w:pPr>
                  <w:r>
                    <w:rPr>
                      <w:rFonts w:ascii="Times New Roman"/>
                      <w:w w:val="99"/>
                      <w:sz w:val="21"/>
                    </w:rPr>
                    <w:t>4</w:t>
                  </w:r>
                </w:p>
              </w:tc>
              <w:tc>
                <w:tcPr>
                  <w:tcW w:w="3272"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rFonts w:ascii="Times New Roman"/>
                      <w:sz w:val="21"/>
                    </w:rPr>
                    <w:t>1.6</w:t>
                  </w:r>
                </w:p>
              </w:tc>
              <w:tc>
                <w:tcPr>
                  <w:tcW w:w="3895"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sz w:val="21"/>
                    </w:rPr>
                    <w:t>有害的长期谐振动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63"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sz w:val="24"/>
                      <w:vertAlign w:val="baseline"/>
                    </w:rPr>
                  </w:pPr>
                  <w:r>
                    <w:rPr>
                      <w:rFonts w:ascii="Times New Roman"/>
                      <w:w w:val="99"/>
                      <w:sz w:val="21"/>
                    </w:rPr>
                    <w:t>5</w:t>
                  </w:r>
                </w:p>
              </w:tc>
              <w:tc>
                <w:tcPr>
                  <w:tcW w:w="3272"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rFonts w:ascii="Times New Roman"/>
                      <w:sz w:val="21"/>
                    </w:rPr>
                    <w:t>1.6</w:t>
                  </w:r>
                </w:p>
              </w:tc>
              <w:tc>
                <w:tcPr>
                  <w:tcW w:w="3895"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sz w:val="24"/>
                      <w:vertAlign w:val="baseline"/>
                    </w:rPr>
                  </w:pPr>
                  <w:r>
                    <w:rPr>
                      <w:sz w:val="21"/>
                    </w:rPr>
                    <w:t>容许的爆破振动</w:t>
                  </w:r>
                </w:p>
              </w:tc>
            </w:tr>
          </w:tbl>
          <w:p>
            <w:pPr>
              <w:pStyle w:val="106"/>
              <w:numPr>
                <w:ilvl w:val="0"/>
                <w:numId w:val="0"/>
              </w:numPr>
              <w:ind w:leftChars="200" w:firstLine="1687" w:firstLineChars="700"/>
              <w:rPr>
                <w:rFonts w:hint="eastAsia" w:cs="Times New Roman"/>
                <w:b/>
                <w:sz w:val="24"/>
              </w:rPr>
            </w:pPr>
            <w:r>
              <w:rPr>
                <w:rFonts w:hint="eastAsia" w:cs="Times New Roman"/>
                <w:b/>
                <w:sz w:val="24"/>
              </w:rPr>
              <w:t xml:space="preserve">表 </w:t>
            </w:r>
            <w:r>
              <w:rPr>
                <w:rFonts w:hint="eastAsia" w:cs="Times New Roman"/>
                <w:b/>
                <w:sz w:val="24"/>
                <w:lang w:val="en-US" w:eastAsia="zh-CN"/>
              </w:rPr>
              <w:t xml:space="preserve">4-11    </w:t>
            </w:r>
            <w:r>
              <w:rPr>
                <w:rFonts w:hint="eastAsia" w:cs="Times New Roman"/>
                <w:b/>
                <w:sz w:val="24"/>
              </w:rPr>
              <w:t>爆破振动速度对建筑物的作用</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8"/>
              <w:gridCol w:w="3138"/>
              <w:gridCol w:w="3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序号</w:t>
                  </w:r>
                </w:p>
              </w:tc>
              <w:tc>
                <w:tcPr>
                  <w:tcW w:w="3218"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vertAlign w:val="baseline"/>
                    </w:rPr>
                  </w:pPr>
                  <w:r>
                    <w:rPr>
                      <w:sz w:val="21"/>
                    </w:rPr>
                    <w:t>振动速度（</w:t>
                  </w:r>
                  <w:r>
                    <w:rPr>
                      <w:rFonts w:ascii="Times New Roman" w:eastAsia="Times New Roman"/>
                      <w:sz w:val="21"/>
                    </w:rPr>
                    <w:t>cm/s</w:t>
                  </w:r>
                  <w:r>
                    <w:rPr>
                      <w:sz w:val="21"/>
                    </w:rPr>
                    <w:t>）</w:t>
                  </w:r>
                </w:p>
              </w:tc>
              <w:tc>
                <w:tcPr>
                  <w:tcW w:w="3963"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振动对建筑物的作用特征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vertAlign w:val="baseline"/>
                    </w:rPr>
                  </w:pPr>
                  <w:r>
                    <w:rPr>
                      <w:rFonts w:ascii="Times New Roman"/>
                      <w:w w:val="99"/>
                      <w:sz w:val="21"/>
                    </w:rPr>
                    <w:t>1</w:t>
                  </w:r>
                </w:p>
              </w:tc>
              <w:tc>
                <w:tcPr>
                  <w:tcW w:w="3218"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rFonts w:ascii="Times New Roman" w:eastAsia="Times New Roman"/>
                      <w:sz w:val="21"/>
                    </w:rPr>
                    <w:t>1.0</w:t>
                  </w:r>
                  <w:r>
                    <w:rPr>
                      <w:sz w:val="21"/>
                    </w:rPr>
                    <w:t>～</w:t>
                  </w:r>
                  <w:r>
                    <w:rPr>
                      <w:rFonts w:ascii="Times New Roman" w:eastAsia="Times New Roman"/>
                      <w:sz w:val="21"/>
                    </w:rPr>
                    <w:t>6.0</w:t>
                  </w:r>
                </w:p>
              </w:tc>
              <w:tc>
                <w:tcPr>
                  <w:tcW w:w="3963"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粉刷裂缝、抹灰脱落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vertAlign w:val="baseline"/>
                    </w:rPr>
                  </w:pPr>
                  <w:r>
                    <w:rPr>
                      <w:rFonts w:ascii="Times New Roman"/>
                      <w:w w:val="99"/>
                      <w:sz w:val="21"/>
                    </w:rPr>
                    <w:t>2</w:t>
                  </w:r>
                </w:p>
              </w:tc>
              <w:tc>
                <w:tcPr>
                  <w:tcW w:w="3218"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rFonts w:ascii="Times New Roman"/>
                      <w:sz w:val="21"/>
                    </w:rPr>
                    <w:t>7.3</w:t>
                  </w:r>
                </w:p>
              </w:tc>
              <w:tc>
                <w:tcPr>
                  <w:tcW w:w="3963"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砖砌墙门框破坏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vertAlign w:val="baseline"/>
                    </w:rPr>
                  </w:pPr>
                  <w:r>
                    <w:rPr>
                      <w:rFonts w:ascii="Times New Roman"/>
                      <w:w w:val="99"/>
                      <w:sz w:val="21"/>
                    </w:rPr>
                    <w:t>3</w:t>
                  </w:r>
                </w:p>
              </w:tc>
              <w:tc>
                <w:tcPr>
                  <w:tcW w:w="3218"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rFonts w:ascii="Times New Roman"/>
                      <w:sz w:val="21"/>
                    </w:rPr>
                    <w:t>10</w:t>
                  </w:r>
                </w:p>
              </w:tc>
              <w:tc>
                <w:tcPr>
                  <w:tcW w:w="3963"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地基不良时砖砌房屋严重破坏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vertAlign w:val="baseline"/>
                    </w:rPr>
                  </w:pPr>
                  <w:r>
                    <w:rPr>
                      <w:rFonts w:ascii="Times New Roman"/>
                      <w:w w:val="99"/>
                      <w:sz w:val="21"/>
                    </w:rPr>
                    <w:t>4</w:t>
                  </w:r>
                </w:p>
              </w:tc>
              <w:tc>
                <w:tcPr>
                  <w:tcW w:w="3218"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vertAlign w:val="baseline"/>
                    </w:rPr>
                  </w:pPr>
                  <w:r>
                    <w:rPr>
                      <w:rFonts w:ascii="Times New Roman" w:eastAsia="Times New Roman"/>
                      <w:sz w:val="21"/>
                    </w:rPr>
                    <w:t>10.2</w:t>
                  </w:r>
                  <w:r>
                    <w:rPr>
                      <w:sz w:val="21"/>
                    </w:rPr>
                    <w:t>～</w:t>
                  </w:r>
                  <w:r>
                    <w:rPr>
                      <w:rFonts w:ascii="Times New Roman" w:eastAsia="Times New Roman"/>
                      <w:sz w:val="21"/>
                    </w:rPr>
                    <w:t>12.7</w:t>
                  </w:r>
                </w:p>
              </w:tc>
              <w:tc>
                <w:tcPr>
                  <w:tcW w:w="3963"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砖石房屋开始破裂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vertAlign w:val="baseline"/>
                    </w:rPr>
                  </w:pPr>
                  <w:r>
                    <w:rPr>
                      <w:rFonts w:ascii="Times New Roman"/>
                      <w:w w:val="99"/>
                      <w:sz w:val="21"/>
                    </w:rPr>
                    <w:t>5</w:t>
                  </w:r>
                </w:p>
              </w:tc>
              <w:tc>
                <w:tcPr>
                  <w:tcW w:w="3218"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rFonts w:ascii="Times New Roman" w:eastAsia="Times New Roman"/>
                      <w:sz w:val="21"/>
                    </w:rPr>
                    <w:t>12</w:t>
                  </w:r>
                  <w:r>
                    <w:rPr>
                      <w:sz w:val="21"/>
                    </w:rPr>
                    <w:t>～</w:t>
                  </w:r>
                  <w:r>
                    <w:rPr>
                      <w:rFonts w:ascii="Times New Roman" w:eastAsia="Times New Roman"/>
                      <w:sz w:val="21"/>
                    </w:rPr>
                    <w:t>14</w:t>
                  </w:r>
                </w:p>
              </w:tc>
              <w:tc>
                <w:tcPr>
                  <w:tcW w:w="3963"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墙出现裂缝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vertAlign w:val="baseline"/>
                    </w:rPr>
                  </w:pPr>
                  <w:r>
                    <w:rPr>
                      <w:rFonts w:ascii="Times New Roman"/>
                      <w:w w:val="99"/>
                      <w:sz w:val="21"/>
                    </w:rPr>
                    <w:t>6</w:t>
                  </w:r>
                </w:p>
              </w:tc>
              <w:tc>
                <w:tcPr>
                  <w:tcW w:w="3218"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rFonts w:ascii="Times New Roman"/>
                      <w:sz w:val="21"/>
                    </w:rPr>
                    <w:t>16</w:t>
                  </w:r>
                </w:p>
              </w:tc>
              <w:tc>
                <w:tcPr>
                  <w:tcW w:w="3963"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中等破坏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vertAlign w:val="baseline"/>
                    </w:rPr>
                  </w:pPr>
                  <w:r>
                    <w:rPr>
                      <w:rFonts w:ascii="Times New Roman"/>
                      <w:w w:val="99"/>
                      <w:sz w:val="21"/>
                    </w:rPr>
                    <w:t>7</w:t>
                  </w:r>
                </w:p>
              </w:tc>
              <w:tc>
                <w:tcPr>
                  <w:tcW w:w="3218"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rFonts w:ascii="Times New Roman" w:eastAsia="Times New Roman"/>
                      <w:sz w:val="21"/>
                    </w:rPr>
                    <w:t>6.0</w:t>
                  </w:r>
                  <w:r>
                    <w:rPr>
                      <w:sz w:val="21"/>
                    </w:rPr>
                    <w:t>～</w:t>
                  </w:r>
                  <w:r>
                    <w:rPr>
                      <w:rFonts w:ascii="Times New Roman" w:eastAsia="Times New Roman"/>
                      <w:sz w:val="21"/>
                    </w:rPr>
                    <w:t>20</w:t>
                  </w:r>
                </w:p>
              </w:tc>
              <w:tc>
                <w:tcPr>
                  <w:tcW w:w="3963"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墙和其他构件出现裂缝、抹灰脱落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jc w:val="center"/>
                    <w:textAlignment w:val="auto"/>
                    <w:rPr>
                      <w:vertAlign w:val="baseline"/>
                    </w:rPr>
                  </w:pPr>
                  <w:r>
                    <w:rPr>
                      <w:rFonts w:ascii="Times New Roman"/>
                      <w:w w:val="99"/>
                      <w:sz w:val="21"/>
                    </w:rPr>
                    <w:t>8</w:t>
                  </w:r>
                </w:p>
              </w:tc>
              <w:tc>
                <w:tcPr>
                  <w:tcW w:w="3218"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rFonts w:ascii="Times New Roman"/>
                      <w:sz w:val="21"/>
                    </w:rPr>
                    <w:t>22.8</w:t>
                  </w:r>
                </w:p>
              </w:tc>
              <w:tc>
                <w:tcPr>
                  <w:tcW w:w="3963" w:type="dxa"/>
                  <w:vAlign w:val="top"/>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vertAlign w:val="baseline"/>
                    </w:rPr>
                  </w:pPr>
                  <w:r>
                    <w:rPr>
                      <w:sz w:val="21"/>
                    </w:rPr>
                    <w:t>砖房严重破坏</w:t>
                  </w:r>
                </w:p>
              </w:tc>
            </w:tr>
          </w:tbl>
          <w:p>
            <w:pPr>
              <w:pStyle w:val="62"/>
              <w:keepNext w:val="0"/>
              <w:keepLines w:val="0"/>
              <w:pageBreakBefore w:val="0"/>
              <w:widowControl w:val="0"/>
              <w:kinsoku/>
              <w:wordWrap/>
              <w:overflowPunct/>
              <w:topLinePunct w:val="0"/>
              <w:autoSpaceDE/>
              <w:autoSpaceDN/>
              <w:bidi w:val="0"/>
              <w:adjustRightInd/>
              <w:snapToGrid/>
              <w:spacing w:line="360" w:lineRule="auto"/>
              <w:ind w:left="0" w:firstLine="480" w:firstLineChars="200"/>
              <w:rPr>
                <w:sz w:val="24"/>
              </w:rPr>
            </w:pPr>
            <w:r>
              <w:rPr>
                <w:sz w:val="24"/>
              </w:rPr>
              <w:t>（</w:t>
            </w:r>
            <w:r>
              <w:rPr>
                <w:rFonts w:ascii="Times New Roman" w:eastAsia="Times New Roman"/>
                <w:sz w:val="24"/>
              </w:rPr>
              <w:t>3</w:t>
            </w:r>
            <w:r>
              <w:rPr>
                <w:sz w:val="24"/>
              </w:rPr>
              <w:t>）振动影响预测及分析</w:t>
            </w:r>
          </w:p>
          <w:p>
            <w:pPr>
              <w:pStyle w:val="62"/>
              <w:keepNext w:val="0"/>
              <w:keepLines w:val="0"/>
              <w:pageBreakBefore w:val="0"/>
              <w:widowControl w:val="0"/>
              <w:kinsoku/>
              <w:wordWrap/>
              <w:overflowPunct/>
              <w:topLinePunct w:val="0"/>
              <w:autoSpaceDE/>
              <w:autoSpaceDN/>
              <w:bidi w:val="0"/>
              <w:adjustRightInd/>
              <w:snapToGrid/>
              <w:spacing w:line="360" w:lineRule="auto"/>
              <w:ind w:left="0" w:firstLine="480" w:firstLineChars="200"/>
              <w:rPr>
                <w:sz w:val="24"/>
              </w:rPr>
            </w:pPr>
            <w:r>
              <w:rPr>
                <w:sz w:val="24"/>
              </w:rPr>
              <w:t>距爆破中心不同距离处的振动速度预测结果见表</w:t>
            </w:r>
            <w:r>
              <w:rPr>
                <w:rFonts w:hint="eastAsia" w:eastAsia="宋体"/>
                <w:sz w:val="24"/>
                <w:lang w:val="en-US" w:eastAsia="zh-CN"/>
              </w:rPr>
              <w:t>4-1</w:t>
            </w:r>
            <w:r>
              <w:rPr>
                <w:rFonts w:hint="eastAsia"/>
                <w:sz w:val="24"/>
                <w:lang w:val="en-US" w:eastAsia="zh-CN"/>
              </w:rPr>
              <w:t>2</w:t>
            </w:r>
            <w:r>
              <w:rPr>
                <w:sz w:val="24"/>
              </w:rPr>
              <w:t>。</w:t>
            </w:r>
          </w:p>
          <w:p>
            <w:pPr>
              <w:pStyle w:val="106"/>
              <w:keepNext w:val="0"/>
              <w:keepLines w:val="0"/>
              <w:pageBreakBefore w:val="0"/>
              <w:widowControl w:val="0"/>
              <w:kinsoku/>
              <w:wordWrap/>
              <w:overflowPunct/>
              <w:topLinePunct w:val="0"/>
              <w:autoSpaceDE/>
              <w:autoSpaceDN/>
              <w:bidi w:val="0"/>
              <w:adjustRightInd/>
              <w:snapToGrid/>
              <w:spacing w:after="0" w:line="360" w:lineRule="auto"/>
              <w:ind w:left="0" w:firstLine="3132" w:firstLineChars="1300"/>
            </w:pPr>
            <w:bookmarkStart w:id="32" w:name="表6-16   爆破振动影响预测结果"/>
            <w:bookmarkEnd w:id="32"/>
            <w:r>
              <w:rPr>
                <w:b/>
                <w:sz w:val="24"/>
              </w:rPr>
              <w:t>表</w:t>
            </w:r>
            <w:r>
              <w:rPr>
                <w:b/>
                <w:spacing w:val="-62"/>
                <w:sz w:val="24"/>
              </w:rPr>
              <w:t xml:space="preserve"> </w:t>
            </w:r>
            <w:r>
              <w:rPr>
                <w:rFonts w:hint="eastAsia" w:eastAsia="宋体"/>
                <w:b/>
                <w:sz w:val="24"/>
                <w:lang w:val="en-US" w:eastAsia="zh-CN"/>
              </w:rPr>
              <w:t>4-1</w:t>
            </w:r>
            <w:r>
              <w:rPr>
                <w:rFonts w:hint="eastAsia"/>
                <w:b/>
                <w:sz w:val="24"/>
                <w:lang w:val="en-US" w:eastAsia="zh-CN"/>
              </w:rPr>
              <w:t>2</w:t>
            </w:r>
            <w:r>
              <w:rPr>
                <w:rFonts w:ascii="Times New Roman" w:eastAsia="Times New Roman"/>
                <w:b/>
                <w:sz w:val="24"/>
              </w:rPr>
              <w:tab/>
            </w:r>
            <w:r>
              <w:rPr>
                <w:b/>
                <w:sz w:val="24"/>
              </w:rPr>
              <w:t>爆破振动影响预测结果</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1026"/>
              <w:gridCol w:w="1029"/>
              <w:gridCol w:w="1020"/>
              <w:gridCol w:w="1025"/>
              <w:gridCol w:w="1025"/>
              <w:gridCol w:w="1025"/>
              <w:gridCol w:w="102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53" w:lineRule="exact"/>
                    <w:ind w:left="0" w:leftChars="0" w:right="0" w:rightChars="0"/>
                    <w:jc w:val="center"/>
                    <w:textAlignment w:val="auto"/>
                    <w:rPr>
                      <w:sz w:val="24"/>
                      <w:vertAlign w:val="baseline"/>
                    </w:rPr>
                  </w:pPr>
                  <w:r>
                    <w:rPr>
                      <w:sz w:val="21"/>
                    </w:rPr>
                    <w:t>距离（</w:t>
                  </w:r>
                  <w:r>
                    <w:rPr>
                      <w:rFonts w:ascii="Times New Roman" w:eastAsia="Times New Roman"/>
                      <w:sz w:val="21"/>
                    </w:rPr>
                    <w:t>m</w:t>
                  </w:r>
                  <w:r>
                    <w:rPr>
                      <w:sz w:val="21"/>
                    </w:rPr>
                    <w:t>）</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sz w:val="24"/>
                      <w:vertAlign w:val="baseline"/>
                    </w:rPr>
                  </w:pPr>
                  <w:r>
                    <w:rPr>
                      <w:rFonts w:ascii="Times New Roman"/>
                      <w:sz w:val="21"/>
                    </w:rPr>
                    <w:t>30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sz w:val="24"/>
                      <w:vertAlign w:val="baseline"/>
                    </w:rPr>
                  </w:pPr>
                  <w:r>
                    <w:rPr>
                      <w:rFonts w:ascii="Times New Roman"/>
                      <w:sz w:val="21"/>
                    </w:rPr>
                    <w:t>50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jc w:val="center"/>
                    <w:textAlignment w:val="auto"/>
                    <w:rPr>
                      <w:sz w:val="24"/>
                      <w:vertAlign w:val="baseline"/>
                    </w:rPr>
                  </w:pPr>
                  <w:r>
                    <w:rPr>
                      <w:rFonts w:ascii="Times New Roman"/>
                      <w:sz w:val="21"/>
                    </w:rPr>
                    <w:t>100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jc w:val="center"/>
                    <w:textAlignment w:val="auto"/>
                    <w:rPr>
                      <w:sz w:val="24"/>
                      <w:vertAlign w:val="baseline"/>
                    </w:rPr>
                  </w:pPr>
                  <w:r>
                    <w:rPr>
                      <w:rFonts w:ascii="Times New Roman"/>
                      <w:sz w:val="21"/>
                    </w:rPr>
                    <w:t>200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right="0" w:rightChars="0"/>
                    <w:jc w:val="center"/>
                    <w:textAlignment w:val="auto"/>
                    <w:rPr>
                      <w:sz w:val="24"/>
                      <w:vertAlign w:val="baseline"/>
                    </w:rPr>
                  </w:pPr>
                  <w:r>
                    <w:rPr>
                      <w:rFonts w:ascii="Times New Roman"/>
                      <w:sz w:val="21"/>
                    </w:rPr>
                    <w:t>300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sz w:val="24"/>
                      <w:vertAlign w:val="baseline"/>
                    </w:rPr>
                  </w:pPr>
                  <w:r>
                    <w:rPr>
                      <w:rFonts w:ascii="Times New Roman"/>
                      <w:sz w:val="21"/>
                    </w:rPr>
                    <w:t>400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sz w:val="24"/>
                      <w:vertAlign w:val="baseline"/>
                    </w:rPr>
                  </w:pPr>
                  <w:r>
                    <w:rPr>
                      <w:rFonts w:ascii="Times New Roman"/>
                      <w:sz w:val="21"/>
                    </w:rPr>
                    <w:t>500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jc w:val="center"/>
                    <w:textAlignment w:val="auto"/>
                    <w:rPr>
                      <w:sz w:val="24"/>
                      <w:vertAlign w:val="baseline"/>
                    </w:rPr>
                  </w:pPr>
                  <w:r>
                    <w:rPr>
                      <w:rFonts w:ascii="Times New Roman"/>
                      <w:sz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54" w:lineRule="exact"/>
                    <w:ind w:left="0" w:leftChars="0" w:right="0" w:rightChars="0"/>
                    <w:jc w:val="center"/>
                    <w:textAlignment w:val="auto"/>
                    <w:rPr>
                      <w:sz w:val="24"/>
                      <w:vertAlign w:val="baseline"/>
                    </w:rPr>
                  </w:pPr>
                  <w:r>
                    <w:rPr>
                      <w:sz w:val="21"/>
                    </w:rPr>
                    <w:t>振动速度（</w:t>
                  </w:r>
                  <w:r>
                    <w:rPr>
                      <w:rFonts w:ascii="Times New Roman" w:eastAsia="Times New Roman"/>
                      <w:sz w:val="21"/>
                    </w:rPr>
                    <w:t>cm/s</w:t>
                  </w:r>
                  <w:r>
                    <w:rPr>
                      <w:sz w:val="21"/>
                    </w:rPr>
                    <w:t>）</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right="0" w:rightChars="0"/>
                    <w:jc w:val="center"/>
                    <w:textAlignment w:val="auto"/>
                    <w:rPr>
                      <w:sz w:val="24"/>
                      <w:vertAlign w:val="baseline"/>
                    </w:rPr>
                  </w:pPr>
                  <w:r>
                    <w:rPr>
                      <w:rFonts w:ascii="Times New Roman"/>
                      <w:w w:val="95"/>
                      <w:sz w:val="21"/>
                    </w:rPr>
                    <w:t>40.35</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sz w:val="24"/>
                      <w:vertAlign w:val="baseline"/>
                    </w:rPr>
                  </w:pPr>
                  <w:r>
                    <w:rPr>
                      <w:rFonts w:ascii="Times New Roman"/>
                      <w:sz w:val="21"/>
                    </w:rPr>
                    <w:t>18.75</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sz w:val="24"/>
                      <w:vertAlign w:val="baseline"/>
                    </w:rPr>
                  </w:pPr>
                  <w:r>
                    <w:rPr>
                      <w:rFonts w:ascii="Times New Roman"/>
                      <w:sz w:val="21"/>
                    </w:rPr>
                    <w:t>6.6</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sz w:val="24"/>
                      <w:vertAlign w:val="baseline"/>
                    </w:rPr>
                  </w:pPr>
                  <w:r>
                    <w:rPr>
                      <w:rFonts w:ascii="Times New Roman"/>
                      <w:sz w:val="21"/>
                    </w:rPr>
                    <w:t>2.34</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right="0" w:rightChars="0"/>
                    <w:jc w:val="center"/>
                    <w:textAlignment w:val="auto"/>
                    <w:rPr>
                      <w:sz w:val="24"/>
                      <w:vertAlign w:val="baseline"/>
                    </w:rPr>
                  </w:pPr>
                  <w:r>
                    <w:rPr>
                      <w:rFonts w:ascii="Times New Roman"/>
                      <w:sz w:val="21"/>
                    </w:rPr>
                    <w:t>1.28</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sz w:val="24"/>
                      <w:vertAlign w:val="baseline"/>
                    </w:rPr>
                  </w:pPr>
                  <w:r>
                    <w:rPr>
                      <w:rFonts w:ascii="Times New Roman"/>
                      <w:sz w:val="21"/>
                    </w:rPr>
                    <w:t>0.83</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sz w:val="24"/>
                      <w:vertAlign w:val="baseline"/>
                    </w:rPr>
                  </w:pPr>
                  <w:r>
                    <w:rPr>
                      <w:rFonts w:ascii="Times New Roman"/>
                      <w:sz w:val="21"/>
                    </w:rPr>
                    <w:t>0.59</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sz w:val="24"/>
                      <w:vertAlign w:val="baseline"/>
                    </w:rPr>
                  </w:pPr>
                  <w:r>
                    <w:rPr>
                      <w:rFonts w:ascii="Times New Roman"/>
                      <w:sz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53" w:lineRule="exact"/>
                    <w:ind w:left="0" w:leftChars="0" w:right="0" w:rightChars="0"/>
                    <w:jc w:val="center"/>
                    <w:textAlignment w:val="auto"/>
                    <w:rPr>
                      <w:sz w:val="24"/>
                      <w:vertAlign w:val="baseline"/>
                    </w:rPr>
                  </w:pPr>
                  <w:r>
                    <w:rPr>
                      <w:sz w:val="21"/>
                    </w:rPr>
                    <w:t>距离（</w:t>
                  </w:r>
                  <w:r>
                    <w:rPr>
                      <w:rFonts w:ascii="Times New Roman" w:eastAsia="Times New Roman"/>
                      <w:sz w:val="21"/>
                    </w:rPr>
                    <w:t>m</w:t>
                  </w:r>
                  <w:r>
                    <w:rPr>
                      <w:sz w:val="21"/>
                    </w:rPr>
                    <w:t>）</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right="0" w:rightChars="0"/>
                    <w:jc w:val="center"/>
                    <w:textAlignment w:val="auto"/>
                    <w:rPr>
                      <w:sz w:val="24"/>
                      <w:vertAlign w:val="baseline"/>
                    </w:rPr>
                  </w:pPr>
                  <w:r>
                    <w:rPr>
                      <w:rFonts w:ascii="Times New Roman"/>
                      <w:sz w:val="21"/>
                    </w:rPr>
                    <w:t>700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sz w:val="24"/>
                      <w:vertAlign w:val="baseline"/>
                    </w:rPr>
                  </w:pPr>
                  <w:r>
                    <w:rPr>
                      <w:rFonts w:ascii="Times New Roman"/>
                      <w:sz w:val="21"/>
                    </w:rPr>
                    <w:t>800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jc w:val="center"/>
                    <w:textAlignment w:val="auto"/>
                    <w:rPr>
                      <w:sz w:val="24"/>
                      <w:vertAlign w:val="baseline"/>
                    </w:rPr>
                  </w:pPr>
                  <w:r>
                    <w:rPr>
                      <w:rFonts w:ascii="Times New Roman"/>
                      <w:sz w:val="21"/>
                    </w:rPr>
                    <w:t>900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jc w:val="center"/>
                    <w:textAlignment w:val="auto"/>
                    <w:rPr>
                      <w:sz w:val="24"/>
                      <w:vertAlign w:val="baseline"/>
                    </w:rPr>
                  </w:pPr>
                  <w:r>
                    <w:rPr>
                      <w:rFonts w:ascii="Times New Roman"/>
                      <w:sz w:val="21"/>
                    </w:rPr>
                    <w:t>1000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right="0" w:rightChars="0"/>
                    <w:jc w:val="center"/>
                    <w:textAlignment w:val="auto"/>
                    <w:rPr>
                      <w:sz w:val="24"/>
                      <w:vertAlign w:val="baseline"/>
                    </w:rPr>
                  </w:pPr>
                  <w:r>
                    <w:rPr>
                      <w:rFonts w:ascii="Times New Roman"/>
                      <w:sz w:val="21"/>
                    </w:rPr>
                    <w:t>1500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sz w:val="24"/>
                      <w:vertAlign w:val="baseline"/>
                    </w:rPr>
                  </w:pPr>
                  <w:r>
                    <w:rPr>
                      <w:rFonts w:ascii="Times New Roman"/>
                      <w:sz w:val="21"/>
                    </w:rPr>
                    <w:t>2000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rightChars="0"/>
                    <w:jc w:val="center"/>
                    <w:textAlignment w:val="auto"/>
                    <w:rPr>
                      <w:sz w:val="24"/>
                      <w:vertAlign w:val="baseline"/>
                    </w:rPr>
                  </w:pPr>
                  <w:r>
                    <w:rPr>
                      <w:rFonts w:ascii="Times New Roman"/>
                      <w:sz w:val="21"/>
                    </w:rPr>
                    <w:t>2500</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39" w:lineRule="exact"/>
                    <w:ind w:left="0" w:leftChars="0" w:right="0"/>
                    <w:jc w:val="center"/>
                    <w:textAlignment w:val="auto"/>
                    <w:rPr>
                      <w:sz w:val="24"/>
                      <w:vertAlign w:val="baseline"/>
                    </w:rPr>
                  </w:pPr>
                  <w:r>
                    <w:rPr>
                      <w:rFonts w:ascii="Times New Roman"/>
                      <w:sz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54" w:lineRule="exact"/>
                    <w:ind w:left="0" w:leftChars="0" w:right="0" w:rightChars="0"/>
                    <w:jc w:val="center"/>
                    <w:textAlignment w:val="auto"/>
                    <w:rPr>
                      <w:sz w:val="24"/>
                      <w:vertAlign w:val="baseline"/>
                    </w:rPr>
                  </w:pPr>
                  <w:r>
                    <w:rPr>
                      <w:sz w:val="21"/>
                    </w:rPr>
                    <w:t>振动速度（</w:t>
                  </w:r>
                  <w:r>
                    <w:rPr>
                      <w:rFonts w:ascii="Times New Roman" w:eastAsia="Times New Roman"/>
                      <w:sz w:val="21"/>
                    </w:rPr>
                    <w:t>cm/s</w:t>
                  </w:r>
                  <w:r>
                    <w:rPr>
                      <w:sz w:val="21"/>
                    </w:rPr>
                    <w:t>）</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right="0" w:rightChars="0"/>
                    <w:jc w:val="center"/>
                    <w:textAlignment w:val="auto"/>
                    <w:rPr>
                      <w:sz w:val="24"/>
                      <w:vertAlign w:val="baseline"/>
                    </w:rPr>
                  </w:pPr>
                  <w:r>
                    <w:rPr>
                      <w:rFonts w:ascii="Times New Roman"/>
                      <w:sz w:val="21"/>
                    </w:rPr>
                    <w:t>0.36</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sz w:val="24"/>
                      <w:vertAlign w:val="baseline"/>
                    </w:rPr>
                  </w:pPr>
                  <w:r>
                    <w:rPr>
                      <w:rFonts w:ascii="Times New Roman"/>
                      <w:sz w:val="21"/>
                    </w:rPr>
                    <w:t>0.29</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sz w:val="24"/>
                      <w:vertAlign w:val="baseline"/>
                    </w:rPr>
                  </w:pPr>
                  <w:r>
                    <w:rPr>
                      <w:rFonts w:ascii="Times New Roman"/>
                      <w:sz w:val="21"/>
                    </w:rPr>
                    <w:t>0.25</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sz w:val="24"/>
                      <w:vertAlign w:val="baseline"/>
                    </w:rPr>
                  </w:pPr>
                  <w:r>
                    <w:rPr>
                      <w:rFonts w:ascii="Times New Roman"/>
                      <w:sz w:val="21"/>
                    </w:rPr>
                    <w:t>0.21</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right="0" w:rightChars="0"/>
                    <w:jc w:val="center"/>
                    <w:textAlignment w:val="auto"/>
                    <w:rPr>
                      <w:sz w:val="24"/>
                      <w:vertAlign w:val="baseline"/>
                    </w:rPr>
                  </w:pPr>
                  <w:r>
                    <w:rPr>
                      <w:rFonts w:ascii="Times New Roman"/>
                      <w:w w:val="95"/>
                      <w:sz w:val="21"/>
                    </w:rPr>
                    <w:t>0.11</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sz w:val="24"/>
                      <w:vertAlign w:val="baseline"/>
                    </w:rPr>
                  </w:pPr>
                  <w:r>
                    <w:rPr>
                      <w:rFonts w:ascii="Times New Roman"/>
                      <w:sz w:val="21"/>
                    </w:rPr>
                    <w:t>0.07</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rPr>
                      <w:sz w:val="24"/>
                      <w:vertAlign w:val="baseline"/>
                    </w:rPr>
                  </w:pPr>
                  <w:r>
                    <w:rPr>
                      <w:rFonts w:ascii="Times New Roman"/>
                      <w:sz w:val="21"/>
                    </w:rPr>
                    <w:t>0.05</w:t>
                  </w:r>
                </w:p>
              </w:tc>
              <w:tc>
                <w:tcPr>
                  <w:tcW w:w="1060" w:type="dxa"/>
                  <w:vAlign w:val="center"/>
                </w:tcPr>
                <w:p>
                  <w:pPr>
                    <w:pStyle w:val="62"/>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auto"/>
                    <w:rPr>
                      <w:sz w:val="24"/>
                      <w:vertAlign w:val="baseline"/>
                    </w:rPr>
                  </w:pPr>
                  <w:r>
                    <w:rPr>
                      <w:rFonts w:ascii="Times New Roman"/>
                      <w:sz w:val="21"/>
                    </w:rPr>
                    <w:t>0.04</w:t>
                  </w:r>
                </w:p>
              </w:tc>
            </w:tr>
          </w:tbl>
          <w:p>
            <w:pPr>
              <w:pStyle w:val="62"/>
              <w:spacing w:before="2" w:line="364" w:lineRule="auto"/>
              <w:ind w:left="106" w:right="95" w:firstLine="480"/>
              <w:jc w:val="both"/>
              <w:rPr>
                <w:sz w:val="24"/>
              </w:rPr>
            </w:pPr>
            <w:r>
              <w:rPr>
                <w:spacing w:val="-1"/>
                <w:sz w:val="24"/>
              </w:rPr>
              <w:t xml:space="preserve">由预测结果可知，在距离爆破中心点 </w:t>
            </w:r>
            <w:r>
              <w:rPr>
                <w:rFonts w:ascii="Times New Roman" w:eastAsia="Times New Roman"/>
                <w:sz w:val="24"/>
              </w:rPr>
              <w:t xml:space="preserve">50m </w:t>
            </w:r>
            <w:r>
              <w:rPr>
                <w:spacing w:val="4"/>
                <w:sz w:val="24"/>
              </w:rPr>
              <w:t>的地方，质点振动速度可高达</w:t>
            </w:r>
            <w:r>
              <w:rPr>
                <w:rFonts w:ascii="Times New Roman" w:eastAsia="Times New Roman"/>
                <w:spacing w:val="4"/>
                <w:sz w:val="24"/>
              </w:rPr>
              <w:t>18.75cm/s</w:t>
            </w:r>
            <w:r>
              <w:rPr>
                <w:spacing w:val="-1"/>
                <w:sz w:val="24"/>
              </w:rPr>
              <w:t>，该振动速度已大大超过了使人有明显感觉的限值，而且有可能对建</w:t>
            </w:r>
            <w:r>
              <w:rPr>
                <w:spacing w:val="-3"/>
                <w:sz w:val="24"/>
              </w:rPr>
              <w:t xml:space="preserve">筑物产生破坏作用。在距爆破中心 </w:t>
            </w:r>
            <w:r>
              <w:rPr>
                <w:rFonts w:ascii="Times New Roman" w:eastAsia="Times New Roman"/>
                <w:sz w:val="24"/>
              </w:rPr>
              <w:t xml:space="preserve">500m </w:t>
            </w:r>
            <w:r>
              <w:rPr>
                <w:sz w:val="24"/>
              </w:rPr>
              <w:t>的地方，人会对爆破振动有轻微或较</w:t>
            </w:r>
            <w:r>
              <w:rPr>
                <w:spacing w:val="-3"/>
                <w:sz w:val="24"/>
              </w:rPr>
              <w:t xml:space="preserve">大感觉。周围敏感点与本项目的最近距离在 </w:t>
            </w:r>
            <w:r>
              <w:rPr>
                <w:rFonts w:ascii="Times New Roman" w:eastAsia="Times New Roman"/>
                <w:sz w:val="24"/>
              </w:rPr>
              <w:t>2200m</w:t>
            </w:r>
            <w:r>
              <w:rPr>
                <w:spacing w:val="-2"/>
                <w:sz w:val="24"/>
              </w:rPr>
              <w:t>，该距离无震感，爆破振动</w:t>
            </w:r>
            <w:r>
              <w:rPr>
                <w:spacing w:val="-1"/>
                <w:sz w:val="24"/>
              </w:rPr>
              <w:t>对敏感点影响很小。综上所述，本项目的爆破振动对外环境的影响是可以接受</w:t>
            </w:r>
            <w:r>
              <w:rPr>
                <w:sz w:val="24"/>
              </w:rPr>
              <w:t>的。</w:t>
            </w:r>
          </w:p>
          <w:p>
            <w:pPr>
              <w:pStyle w:val="106"/>
              <w:rPr>
                <w:rFonts w:hint="default" w:eastAsia="宋体"/>
                <w:lang w:val="en-US" w:eastAsia="zh-CN"/>
              </w:rPr>
            </w:pPr>
            <w:r>
              <w:rPr>
                <w:rFonts w:hint="eastAsia" w:cs="Times New Roman"/>
                <w:b/>
                <w:bCs/>
                <w:sz w:val="24"/>
                <w:lang w:val="en-US" w:eastAsia="zh-CN"/>
              </w:rPr>
              <w:t>5.4</w:t>
            </w:r>
            <w:r>
              <w:rPr>
                <w:rFonts w:hint="eastAsia" w:cs="Times New Roman"/>
                <w:b/>
                <w:bCs/>
                <w:sz w:val="24"/>
              </w:rPr>
              <w:t>营运期主要噪声</w:t>
            </w:r>
            <w:r>
              <w:rPr>
                <w:rFonts w:hint="eastAsia"/>
                <w:b/>
                <w:bCs/>
                <w:sz w:val="24"/>
              </w:rPr>
              <w:t>影响分析</w:t>
            </w:r>
          </w:p>
          <w:p>
            <w:pPr>
              <w:adjustRightInd w:val="0"/>
              <w:snapToGrid w:val="0"/>
              <w:spacing w:line="360" w:lineRule="auto"/>
              <w:ind w:firstLine="480" w:firstLineChars="200"/>
              <w:jc w:val="left"/>
              <w:rPr>
                <w:rFonts w:hint="eastAsia"/>
                <w:sz w:val="24"/>
              </w:rPr>
            </w:pPr>
            <w:r>
              <w:rPr>
                <w:sz w:val="24"/>
              </w:rPr>
              <w:t>营运期主要噪声源来自于开采区、</w:t>
            </w:r>
            <w:r>
              <w:rPr>
                <w:rFonts w:hint="eastAsia"/>
                <w:sz w:val="24"/>
                <w:lang w:eastAsia="zh-CN"/>
              </w:rPr>
              <w:t>加工</w:t>
            </w:r>
            <w:r>
              <w:rPr>
                <w:sz w:val="24"/>
              </w:rPr>
              <w:t>区域，主要噪声源强见表</w:t>
            </w:r>
            <w:r>
              <w:rPr>
                <w:rFonts w:hint="eastAsia"/>
                <w:sz w:val="24"/>
                <w:lang w:val="en-US" w:eastAsia="zh-CN"/>
              </w:rPr>
              <w:t>4-13</w:t>
            </w:r>
            <w:r>
              <w:rPr>
                <w:sz w:val="24"/>
              </w:rPr>
              <w:t>。</w:t>
            </w:r>
          </w:p>
          <w:p>
            <w:pPr>
              <w:adjustRightInd w:val="0"/>
              <w:snapToGrid w:val="0"/>
              <w:spacing w:line="360" w:lineRule="auto"/>
              <w:jc w:val="center"/>
              <w:rPr>
                <w:sz w:val="24"/>
              </w:rPr>
            </w:pPr>
            <w:r>
              <w:rPr>
                <w:b/>
                <w:sz w:val="24"/>
              </w:rPr>
              <w:t>表</w:t>
            </w:r>
            <w:r>
              <w:rPr>
                <w:rFonts w:hint="eastAsia"/>
                <w:b/>
                <w:sz w:val="24"/>
                <w:lang w:val="en-US" w:eastAsia="zh-CN"/>
              </w:rPr>
              <w:t>4-13</w:t>
            </w:r>
            <w:r>
              <w:rPr>
                <w:rFonts w:hint="eastAsia"/>
                <w:b/>
                <w:sz w:val="24"/>
              </w:rPr>
              <w:t xml:space="preserve">    </w:t>
            </w:r>
            <w:r>
              <w:rPr>
                <w:b/>
                <w:sz w:val="24"/>
              </w:rPr>
              <w:t>主要生产设备噪声源强一览表单位dB(A)</w:t>
            </w:r>
          </w:p>
          <w:tbl>
            <w:tblPr>
              <w:tblStyle w:val="2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23"/>
              <w:gridCol w:w="1078"/>
              <w:gridCol w:w="1540"/>
              <w:gridCol w:w="811"/>
              <w:gridCol w:w="1505"/>
              <w:gridCol w:w="1085"/>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91" w:type="pct"/>
                  <w:noWrap w:val="0"/>
                  <w:vAlign w:val="center"/>
                </w:tcPr>
                <w:p>
                  <w:pPr>
                    <w:widowControl/>
                    <w:adjustRightInd w:val="0"/>
                    <w:snapToGrid w:val="0"/>
                    <w:jc w:val="center"/>
                    <w:rPr>
                      <w:color w:val="000000"/>
                      <w:szCs w:val="21"/>
                    </w:rPr>
                  </w:pPr>
                  <w:r>
                    <w:rPr>
                      <w:color w:val="000000"/>
                      <w:szCs w:val="21"/>
                    </w:rPr>
                    <w:t>位置分布</w:t>
                  </w:r>
                </w:p>
              </w:tc>
              <w:tc>
                <w:tcPr>
                  <w:tcW w:w="582" w:type="pct"/>
                  <w:noWrap w:val="0"/>
                  <w:vAlign w:val="center"/>
                </w:tcPr>
                <w:p>
                  <w:pPr>
                    <w:widowControl/>
                    <w:adjustRightInd w:val="0"/>
                    <w:snapToGrid w:val="0"/>
                    <w:jc w:val="center"/>
                    <w:rPr>
                      <w:color w:val="000000"/>
                      <w:szCs w:val="21"/>
                    </w:rPr>
                  </w:pPr>
                  <w:r>
                    <w:rPr>
                      <w:color w:val="000000"/>
                      <w:szCs w:val="21"/>
                    </w:rPr>
                    <w:t>序号</w:t>
                  </w:r>
                </w:p>
              </w:tc>
              <w:tc>
                <w:tcPr>
                  <w:tcW w:w="832" w:type="pct"/>
                  <w:noWrap w:val="0"/>
                  <w:vAlign w:val="center"/>
                </w:tcPr>
                <w:p>
                  <w:pPr>
                    <w:widowControl/>
                    <w:adjustRightInd w:val="0"/>
                    <w:snapToGrid w:val="0"/>
                    <w:jc w:val="center"/>
                    <w:rPr>
                      <w:color w:val="000000"/>
                      <w:szCs w:val="21"/>
                    </w:rPr>
                  </w:pPr>
                  <w:r>
                    <w:rPr>
                      <w:color w:val="000000"/>
                      <w:szCs w:val="21"/>
                    </w:rPr>
                    <w:t>设备名称</w:t>
                  </w:r>
                </w:p>
              </w:tc>
              <w:tc>
                <w:tcPr>
                  <w:tcW w:w="438" w:type="pct"/>
                  <w:noWrap w:val="0"/>
                  <w:vAlign w:val="center"/>
                </w:tcPr>
                <w:p>
                  <w:pPr>
                    <w:widowControl/>
                    <w:adjustRightInd w:val="0"/>
                    <w:snapToGrid w:val="0"/>
                    <w:jc w:val="center"/>
                    <w:rPr>
                      <w:color w:val="000000"/>
                      <w:szCs w:val="21"/>
                    </w:rPr>
                  </w:pPr>
                  <w:r>
                    <w:rPr>
                      <w:color w:val="000000"/>
                      <w:szCs w:val="21"/>
                    </w:rPr>
                    <w:t>数量</w:t>
                  </w:r>
                </w:p>
              </w:tc>
              <w:tc>
                <w:tcPr>
                  <w:tcW w:w="813" w:type="pct"/>
                  <w:noWrap w:val="0"/>
                  <w:vAlign w:val="center"/>
                </w:tcPr>
                <w:p>
                  <w:pPr>
                    <w:widowControl/>
                    <w:adjustRightInd w:val="0"/>
                    <w:snapToGrid w:val="0"/>
                    <w:jc w:val="center"/>
                    <w:rPr>
                      <w:color w:val="000000"/>
                      <w:szCs w:val="21"/>
                    </w:rPr>
                  </w:pPr>
                  <w:r>
                    <w:rPr>
                      <w:color w:val="000000"/>
                      <w:szCs w:val="21"/>
                    </w:rPr>
                    <w:t>治理前（设备1m外）</w:t>
                  </w:r>
                </w:p>
              </w:tc>
              <w:tc>
                <w:tcPr>
                  <w:tcW w:w="586" w:type="pct"/>
                  <w:noWrap w:val="0"/>
                  <w:vAlign w:val="center"/>
                </w:tcPr>
                <w:p>
                  <w:pPr>
                    <w:widowControl/>
                    <w:adjustRightInd w:val="0"/>
                    <w:snapToGrid w:val="0"/>
                    <w:jc w:val="center"/>
                    <w:rPr>
                      <w:color w:val="000000"/>
                      <w:szCs w:val="21"/>
                    </w:rPr>
                  </w:pPr>
                  <w:r>
                    <w:rPr>
                      <w:color w:val="000000"/>
                      <w:szCs w:val="21"/>
                    </w:rPr>
                    <w:t>噪声性质</w:t>
                  </w:r>
                </w:p>
              </w:tc>
              <w:tc>
                <w:tcPr>
                  <w:tcW w:w="1355" w:type="pct"/>
                  <w:noWrap w:val="0"/>
                  <w:vAlign w:val="center"/>
                </w:tcPr>
                <w:p>
                  <w:pPr>
                    <w:widowControl/>
                    <w:adjustRightInd w:val="0"/>
                    <w:snapToGrid w:val="0"/>
                    <w:jc w:val="center"/>
                    <w:rPr>
                      <w:color w:val="000000"/>
                      <w:szCs w:val="21"/>
                    </w:rPr>
                  </w:pPr>
                  <w:r>
                    <w:rPr>
                      <w:color w:val="000000"/>
                      <w:szCs w:val="21"/>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91" w:type="pct"/>
                  <w:vMerge w:val="restart"/>
                  <w:noWrap w:val="0"/>
                  <w:vAlign w:val="center"/>
                </w:tcPr>
                <w:p>
                  <w:pPr>
                    <w:widowControl/>
                    <w:adjustRightInd w:val="0"/>
                    <w:snapToGrid w:val="0"/>
                    <w:jc w:val="center"/>
                    <w:rPr>
                      <w:color w:val="000000"/>
                      <w:szCs w:val="21"/>
                    </w:rPr>
                  </w:pPr>
                  <w:r>
                    <w:rPr>
                      <w:color w:val="000000"/>
                      <w:szCs w:val="21"/>
                    </w:rPr>
                    <w:t>采区</w:t>
                  </w:r>
                </w:p>
              </w:tc>
              <w:tc>
                <w:tcPr>
                  <w:tcW w:w="1109" w:type="dxa"/>
                  <w:noWrap w:val="0"/>
                  <w:vAlign w:val="center"/>
                </w:tcPr>
                <w:p>
                  <w:pPr>
                    <w:widowControl/>
                    <w:adjustRightInd w:val="0"/>
                    <w:snapToGrid w:val="0"/>
                    <w:jc w:val="center"/>
                    <w:rPr>
                      <w:color w:val="000000"/>
                      <w:szCs w:val="21"/>
                    </w:rPr>
                  </w:pPr>
                  <w:r>
                    <w:rPr>
                      <w:color w:val="000000"/>
                      <w:szCs w:val="21"/>
                    </w:rPr>
                    <w:t>1</w:t>
                  </w:r>
                </w:p>
              </w:tc>
              <w:tc>
                <w:tcPr>
                  <w:tcW w:w="832"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color w:val="000000"/>
                      <w:sz w:val="21"/>
                      <w:lang w:eastAsia="zh-CN"/>
                    </w:rPr>
                  </w:pPr>
                  <w:r>
                    <w:rPr>
                      <w:rFonts w:hint="eastAsia"/>
                      <w:color w:val="000000"/>
                      <w:sz w:val="21"/>
                      <w:lang w:eastAsia="zh-CN"/>
                    </w:rPr>
                    <w:t>钻孔机</w:t>
                  </w:r>
                </w:p>
              </w:tc>
              <w:tc>
                <w:tcPr>
                  <w:tcW w:w="835" w:type="dxa"/>
                  <w:noWrap w:val="0"/>
                  <w:vAlign w:val="center"/>
                </w:tcPr>
                <w:p>
                  <w:pPr>
                    <w:widowControl/>
                    <w:adjustRightInd w:val="0"/>
                    <w:snapToGrid w:val="0"/>
                    <w:jc w:val="center"/>
                    <w:rPr>
                      <w:rFonts w:hint="eastAsia"/>
                      <w:color w:val="000000"/>
                      <w:szCs w:val="21"/>
                    </w:rPr>
                  </w:pPr>
                  <w:r>
                    <w:rPr>
                      <w:rFonts w:hint="eastAsia"/>
                      <w:color w:val="000000"/>
                      <w:szCs w:val="21"/>
                      <w:lang w:val="en-US" w:eastAsia="zh-CN"/>
                    </w:rPr>
                    <w:t>1</w:t>
                  </w:r>
                  <w:r>
                    <w:rPr>
                      <w:color w:val="000000"/>
                      <w:szCs w:val="21"/>
                    </w:rPr>
                    <w:t>台</w:t>
                  </w:r>
                </w:p>
              </w:tc>
              <w:tc>
                <w:tcPr>
                  <w:tcW w:w="1550" w:type="dxa"/>
                  <w:noWrap w:val="0"/>
                  <w:vAlign w:val="center"/>
                </w:tcPr>
                <w:p>
                  <w:pPr>
                    <w:widowControl/>
                    <w:adjustRightInd w:val="0"/>
                    <w:snapToGrid w:val="0"/>
                    <w:jc w:val="center"/>
                    <w:rPr>
                      <w:color w:val="000000"/>
                      <w:szCs w:val="21"/>
                    </w:rPr>
                  </w:pPr>
                  <w:r>
                    <w:rPr>
                      <w:color w:val="000000"/>
                      <w:szCs w:val="21"/>
                    </w:rPr>
                    <w:t>85～90</w:t>
                  </w:r>
                </w:p>
              </w:tc>
              <w:tc>
                <w:tcPr>
                  <w:tcW w:w="1117" w:type="dxa"/>
                  <w:noWrap w:val="0"/>
                  <w:vAlign w:val="center"/>
                </w:tcPr>
                <w:p>
                  <w:pPr>
                    <w:widowControl/>
                    <w:adjustRightInd w:val="0"/>
                    <w:snapToGrid w:val="0"/>
                    <w:jc w:val="center"/>
                    <w:rPr>
                      <w:color w:val="000000"/>
                      <w:szCs w:val="21"/>
                    </w:rPr>
                  </w:pPr>
                  <w:r>
                    <w:rPr>
                      <w:color w:val="000000"/>
                      <w:szCs w:val="21"/>
                    </w:rPr>
                    <w:t>间断性</w:t>
                  </w:r>
                </w:p>
              </w:tc>
              <w:tc>
                <w:tcPr>
                  <w:tcW w:w="2583" w:type="dxa"/>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 w:val="21"/>
                    </w:rPr>
                  </w:pPr>
                  <w:r>
                    <w:rPr>
                      <w:color w:val="000000"/>
                      <w:sz w:val="21"/>
                    </w:rPr>
                    <w:t>消声、减震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91" w:type="pct"/>
                  <w:vMerge w:val="continue"/>
                  <w:noWrap w:val="0"/>
                  <w:vAlign w:val="center"/>
                </w:tcPr>
                <w:p>
                  <w:pPr>
                    <w:widowControl/>
                    <w:adjustRightInd w:val="0"/>
                    <w:snapToGrid w:val="0"/>
                    <w:jc w:val="center"/>
                    <w:rPr>
                      <w:color w:val="000000"/>
                      <w:szCs w:val="21"/>
                    </w:rPr>
                  </w:pPr>
                </w:p>
              </w:tc>
              <w:tc>
                <w:tcPr>
                  <w:tcW w:w="1109" w:type="dxa"/>
                  <w:noWrap w:val="0"/>
                  <w:vAlign w:val="center"/>
                </w:tcPr>
                <w:p>
                  <w:pPr>
                    <w:widowControl/>
                    <w:adjustRightInd w:val="0"/>
                    <w:snapToGrid w:val="0"/>
                    <w:jc w:val="center"/>
                    <w:rPr>
                      <w:color w:val="000000"/>
                      <w:szCs w:val="21"/>
                    </w:rPr>
                  </w:pPr>
                  <w:r>
                    <w:rPr>
                      <w:color w:val="000000"/>
                      <w:szCs w:val="21"/>
                    </w:rPr>
                    <w:t>2</w:t>
                  </w:r>
                </w:p>
              </w:tc>
              <w:tc>
                <w:tcPr>
                  <w:tcW w:w="832"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color w:val="000000"/>
                      <w:sz w:val="21"/>
                    </w:rPr>
                    <w:t>装载机</w:t>
                  </w:r>
                </w:p>
              </w:tc>
              <w:tc>
                <w:tcPr>
                  <w:tcW w:w="438" w:type="pct"/>
                  <w:noWrap w:val="0"/>
                  <w:vAlign w:val="center"/>
                </w:tcPr>
                <w:p>
                  <w:pPr>
                    <w:widowControl/>
                    <w:adjustRightInd w:val="0"/>
                    <w:snapToGrid w:val="0"/>
                    <w:jc w:val="center"/>
                    <w:rPr>
                      <w:color w:val="000000"/>
                      <w:szCs w:val="21"/>
                    </w:rPr>
                  </w:pPr>
                  <w:r>
                    <w:rPr>
                      <w:rFonts w:hint="eastAsia"/>
                      <w:color w:val="000000"/>
                      <w:szCs w:val="21"/>
                    </w:rPr>
                    <w:t>2</w:t>
                  </w:r>
                  <w:r>
                    <w:rPr>
                      <w:color w:val="000000"/>
                      <w:szCs w:val="21"/>
                    </w:rPr>
                    <w:t>台</w:t>
                  </w:r>
                </w:p>
              </w:tc>
              <w:tc>
                <w:tcPr>
                  <w:tcW w:w="813" w:type="pct"/>
                  <w:noWrap w:val="0"/>
                  <w:vAlign w:val="center"/>
                </w:tcPr>
                <w:p>
                  <w:pPr>
                    <w:widowControl/>
                    <w:adjustRightInd w:val="0"/>
                    <w:snapToGrid w:val="0"/>
                    <w:jc w:val="center"/>
                    <w:rPr>
                      <w:color w:val="000000"/>
                      <w:szCs w:val="21"/>
                    </w:rPr>
                  </w:pPr>
                  <w:r>
                    <w:rPr>
                      <w:color w:val="000000"/>
                      <w:szCs w:val="21"/>
                    </w:rPr>
                    <w:t>85～90</w:t>
                  </w:r>
                </w:p>
              </w:tc>
              <w:tc>
                <w:tcPr>
                  <w:tcW w:w="586" w:type="pct"/>
                  <w:noWrap w:val="0"/>
                  <w:vAlign w:val="center"/>
                </w:tcPr>
                <w:p>
                  <w:pPr>
                    <w:widowControl/>
                    <w:adjustRightInd w:val="0"/>
                    <w:snapToGrid w:val="0"/>
                    <w:jc w:val="center"/>
                    <w:rPr>
                      <w:color w:val="000000"/>
                      <w:szCs w:val="21"/>
                    </w:rPr>
                  </w:pPr>
                  <w:r>
                    <w:rPr>
                      <w:color w:val="000000"/>
                      <w:szCs w:val="21"/>
                    </w:rPr>
                    <w:t>间断性</w:t>
                  </w:r>
                </w:p>
              </w:tc>
              <w:tc>
                <w:tcPr>
                  <w:tcW w:w="1355"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color w:val="000000"/>
                      <w:sz w:val="21"/>
                    </w:rPr>
                    <w:t>消声、减震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91" w:type="pct"/>
                  <w:vMerge w:val="continue"/>
                  <w:noWrap w:val="0"/>
                  <w:vAlign w:val="center"/>
                </w:tcPr>
                <w:p>
                  <w:pPr>
                    <w:widowControl/>
                    <w:adjustRightInd w:val="0"/>
                    <w:snapToGrid w:val="0"/>
                    <w:jc w:val="center"/>
                    <w:rPr>
                      <w:color w:val="000000"/>
                      <w:szCs w:val="21"/>
                    </w:rPr>
                  </w:pPr>
                </w:p>
              </w:tc>
              <w:tc>
                <w:tcPr>
                  <w:tcW w:w="1109" w:type="dxa"/>
                  <w:noWrap w:val="0"/>
                  <w:vAlign w:val="center"/>
                </w:tcPr>
                <w:p>
                  <w:pPr>
                    <w:widowControl/>
                    <w:adjustRightInd w:val="0"/>
                    <w:snapToGrid w:val="0"/>
                    <w:jc w:val="center"/>
                    <w:rPr>
                      <w:color w:val="000000"/>
                      <w:szCs w:val="21"/>
                    </w:rPr>
                  </w:pPr>
                  <w:r>
                    <w:rPr>
                      <w:color w:val="000000"/>
                      <w:szCs w:val="21"/>
                    </w:rPr>
                    <w:t>3</w:t>
                  </w:r>
                </w:p>
              </w:tc>
              <w:tc>
                <w:tcPr>
                  <w:tcW w:w="832"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color w:val="000000"/>
                      <w:sz w:val="21"/>
                    </w:rPr>
                    <w:t>挖掘机</w:t>
                  </w:r>
                </w:p>
              </w:tc>
              <w:tc>
                <w:tcPr>
                  <w:tcW w:w="438" w:type="pct"/>
                  <w:noWrap w:val="0"/>
                  <w:vAlign w:val="center"/>
                </w:tcPr>
                <w:p>
                  <w:pPr>
                    <w:widowControl/>
                    <w:adjustRightInd w:val="0"/>
                    <w:snapToGrid w:val="0"/>
                    <w:jc w:val="center"/>
                    <w:rPr>
                      <w:color w:val="000000"/>
                      <w:szCs w:val="21"/>
                    </w:rPr>
                  </w:pPr>
                  <w:r>
                    <w:rPr>
                      <w:rFonts w:hint="eastAsia"/>
                      <w:color w:val="000000"/>
                      <w:szCs w:val="21"/>
                      <w:lang w:val="en-US" w:eastAsia="zh-CN"/>
                    </w:rPr>
                    <w:t>1</w:t>
                  </w:r>
                  <w:r>
                    <w:rPr>
                      <w:color w:val="000000"/>
                      <w:szCs w:val="21"/>
                    </w:rPr>
                    <w:t>台</w:t>
                  </w:r>
                </w:p>
              </w:tc>
              <w:tc>
                <w:tcPr>
                  <w:tcW w:w="813" w:type="pct"/>
                  <w:noWrap w:val="0"/>
                  <w:vAlign w:val="center"/>
                </w:tcPr>
                <w:p>
                  <w:pPr>
                    <w:widowControl/>
                    <w:adjustRightInd w:val="0"/>
                    <w:snapToGrid w:val="0"/>
                    <w:jc w:val="center"/>
                    <w:rPr>
                      <w:color w:val="000000"/>
                      <w:szCs w:val="21"/>
                    </w:rPr>
                  </w:pPr>
                  <w:r>
                    <w:rPr>
                      <w:color w:val="000000"/>
                      <w:szCs w:val="21"/>
                    </w:rPr>
                    <w:t>85～90</w:t>
                  </w:r>
                </w:p>
              </w:tc>
              <w:tc>
                <w:tcPr>
                  <w:tcW w:w="586" w:type="pct"/>
                  <w:noWrap w:val="0"/>
                  <w:vAlign w:val="center"/>
                </w:tcPr>
                <w:p>
                  <w:pPr>
                    <w:widowControl/>
                    <w:adjustRightInd w:val="0"/>
                    <w:snapToGrid w:val="0"/>
                    <w:jc w:val="center"/>
                    <w:rPr>
                      <w:color w:val="000000"/>
                      <w:szCs w:val="21"/>
                    </w:rPr>
                  </w:pPr>
                  <w:r>
                    <w:rPr>
                      <w:color w:val="000000"/>
                      <w:szCs w:val="21"/>
                    </w:rPr>
                    <w:t>间断性</w:t>
                  </w:r>
                </w:p>
              </w:tc>
              <w:tc>
                <w:tcPr>
                  <w:tcW w:w="1355"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color w:val="000000"/>
                      <w:sz w:val="21"/>
                    </w:rPr>
                    <w:t>消声、减震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 w:hRule="atLeast"/>
                <w:jc w:val="center"/>
              </w:trPr>
              <w:tc>
                <w:tcPr>
                  <w:tcW w:w="391" w:type="pct"/>
                  <w:vMerge w:val="continue"/>
                  <w:noWrap w:val="0"/>
                  <w:vAlign w:val="center"/>
                </w:tcPr>
                <w:p>
                  <w:pPr>
                    <w:widowControl/>
                    <w:adjustRightInd w:val="0"/>
                    <w:snapToGrid w:val="0"/>
                    <w:jc w:val="center"/>
                    <w:rPr>
                      <w:color w:val="000000"/>
                      <w:szCs w:val="21"/>
                    </w:rPr>
                  </w:pPr>
                </w:p>
              </w:tc>
              <w:tc>
                <w:tcPr>
                  <w:tcW w:w="1109" w:type="dxa"/>
                  <w:noWrap w:val="0"/>
                  <w:vAlign w:val="center"/>
                </w:tcPr>
                <w:p>
                  <w:pPr>
                    <w:widowControl/>
                    <w:adjustRightInd w:val="0"/>
                    <w:snapToGrid w:val="0"/>
                    <w:jc w:val="center"/>
                    <w:rPr>
                      <w:color w:val="000000"/>
                      <w:szCs w:val="21"/>
                    </w:rPr>
                  </w:pPr>
                  <w:r>
                    <w:rPr>
                      <w:rFonts w:hint="eastAsia"/>
                      <w:color w:val="000000"/>
                      <w:szCs w:val="21"/>
                      <w:lang w:val="en-US" w:eastAsia="zh-CN"/>
                    </w:rPr>
                    <w:t>4</w:t>
                  </w:r>
                </w:p>
              </w:tc>
              <w:tc>
                <w:tcPr>
                  <w:tcW w:w="832"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color w:val="000000"/>
                      <w:sz w:val="21"/>
                    </w:rPr>
                    <w:t>自卸汽车</w:t>
                  </w:r>
                </w:p>
              </w:tc>
              <w:tc>
                <w:tcPr>
                  <w:tcW w:w="438" w:type="pct"/>
                  <w:noWrap w:val="0"/>
                  <w:vAlign w:val="center"/>
                </w:tcPr>
                <w:p>
                  <w:pPr>
                    <w:widowControl/>
                    <w:adjustRightInd w:val="0"/>
                    <w:snapToGrid w:val="0"/>
                    <w:jc w:val="center"/>
                    <w:rPr>
                      <w:color w:val="000000"/>
                      <w:szCs w:val="21"/>
                    </w:rPr>
                  </w:pPr>
                  <w:r>
                    <w:rPr>
                      <w:rFonts w:hint="eastAsia"/>
                      <w:color w:val="000000"/>
                      <w:szCs w:val="21"/>
                    </w:rPr>
                    <w:t>2</w:t>
                  </w:r>
                  <w:r>
                    <w:rPr>
                      <w:color w:val="000000"/>
                      <w:szCs w:val="21"/>
                    </w:rPr>
                    <w:t>台</w:t>
                  </w:r>
                </w:p>
              </w:tc>
              <w:tc>
                <w:tcPr>
                  <w:tcW w:w="813" w:type="pct"/>
                  <w:noWrap w:val="0"/>
                  <w:vAlign w:val="center"/>
                </w:tcPr>
                <w:p>
                  <w:pPr>
                    <w:widowControl/>
                    <w:adjustRightInd w:val="0"/>
                    <w:snapToGrid w:val="0"/>
                    <w:jc w:val="center"/>
                    <w:rPr>
                      <w:rFonts w:hint="default" w:eastAsia="宋体"/>
                      <w:color w:val="000000"/>
                      <w:szCs w:val="21"/>
                      <w:lang w:val="en-US" w:eastAsia="zh-CN"/>
                    </w:rPr>
                  </w:pPr>
                  <w:r>
                    <w:rPr>
                      <w:rFonts w:hint="eastAsia"/>
                      <w:color w:val="000000"/>
                      <w:szCs w:val="21"/>
                      <w:lang w:val="en-US" w:eastAsia="zh-CN"/>
                    </w:rPr>
                    <w:t>75</w:t>
                  </w:r>
                  <w:r>
                    <w:rPr>
                      <w:color w:val="000000"/>
                      <w:szCs w:val="21"/>
                    </w:rPr>
                    <w:t>～</w:t>
                  </w:r>
                  <w:r>
                    <w:rPr>
                      <w:rFonts w:hint="eastAsia"/>
                      <w:color w:val="000000"/>
                      <w:szCs w:val="21"/>
                      <w:lang w:val="en-US" w:eastAsia="zh-CN"/>
                    </w:rPr>
                    <w:t>80</w:t>
                  </w:r>
                </w:p>
              </w:tc>
              <w:tc>
                <w:tcPr>
                  <w:tcW w:w="586" w:type="pct"/>
                  <w:noWrap w:val="0"/>
                  <w:vAlign w:val="center"/>
                </w:tcPr>
                <w:p>
                  <w:pPr>
                    <w:widowControl/>
                    <w:adjustRightInd w:val="0"/>
                    <w:snapToGrid w:val="0"/>
                    <w:jc w:val="center"/>
                    <w:rPr>
                      <w:color w:val="000000"/>
                      <w:szCs w:val="21"/>
                    </w:rPr>
                  </w:pPr>
                  <w:r>
                    <w:rPr>
                      <w:color w:val="000000"/>
                      <w:sz w:val="21"/>
                    </w:rPr>
                    <w:t>连续</w:t>
                  </w:r>
                  <w:r>
                    <w:rPr>
                      <w:color w:val="000000"/>
                      <w:szCs w:val="21"/>
                    </w:rPr>
                    <w:t>性</w:t>
                  </w:r>
                </w:p>
              </w:tc>
              <w:tc>
                <w:tcPr>
                  <w:tcW w:w="1355" w:type="pct"/>
                  <w:noWrap w:val="0"/>
                  <w:vAlign w:val="center"/>
                </w:tcPr>
                <w:p>
                  <w:pPr>
                    <w:widowControl/>
                    <w:adjustRightInd w:val="0"/>
                    <w:snapToGrid w:val="0"/>
                    <w:jc w:val="center"/>
                    <w:rPr>
                      <w:color w:val="000000"/>
                      <w:szCs w:val="21"/>
                    </w:rPr>
                  </w:pPr>
                  <w:r>
                    <w:rPr>
                      <w:color w:val="000000"/>
                      <w:szCs w:val="21"/>
                    </w:rPr>
                    <w:t>限速、禁鸣、管理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91" w:type="pct"/>
                  <w:vMerge w:val="restart"/>
                  <w:noWrap w:val="0"/>
                  <w:vAlign w:val="center"/>
                </w:tcPr>
                <w:p>
                  <w:pPr>
                    <w:widowControl/>
                    <w:adjustRightInd w:val="0"/>
                    <w:snapToGrid w:val="0"/>
                    <w:jc w:val="center"/>
                    <w:rPr>
                      <w:color w:val="000000"/>
                      <w:szCs w:val="21"/>
                    </w:rPr>
                  </w:pPr>
                  <w:r>
                    <w:rPr>
                      <w:rFonts w:hint="default" w:ascii="Times New Roman" w:hAnsi="Times New Roman" w:cs="Times New Roman"/>
                      <w:color w:val="000000"/>
                      <w:sz w:val="21"/>
                      <w:szCs w:val="21"/>
                    </w:rPr>
                    <w:t>加工生产线设备</w:t>
                  </w:r>
                </w:p>
              </w:tc>
              <w:tc>
                <w:tcPr>
                  <w:tcW w:w="1109" w:type="dxa"/>
                  <w:noWrap w:val="0"/>
                  <w:vAlign w:val="center"/>
                </w:tcPr>
                <w:p>
                  <w:pPr>
                    <w:widowControl/>
                    <w:adjustRightInd w:val="0"/>
                    <w:snapToGrid w:val="0"/>
                    <w:jc w:val="center"/>
                    <w:rPr>
                      <w:rFonts w:hint="eastAsia" w:eastAsia="宋体"/>
                      <w:color w:val="000000"/>
                      <w:szCs w:val="21"/>
                      <w:lang w:eastAsia="zh-CN"/>
                    </w:rPr>
                  </w:pPr>
                  <w:r>
                    <w:rPr>
                      <w:rFonts w:hint="eastAsia"/>
                      <w:color w:val="000000"/>
                      <w:szCs w:val="21"/>
                      <w:lang w:val="en-US" w:eastAsia="zh-CN"/>
                    </w:rPr>
                    <w:t>5</w:t>
                  </w:r>
                </w:p>
              </w:tc>
              <w:tc>
                <w:tcPr>
                  <w:tcW w:w="832"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rFonts w:hint="default" w:ascii="Times New Roman" w:hAnsi="Times New Roman" w:cs="Times New Roman"/>
                      <w:color w:val="000000"/>
                      <w:sz w:val="21"/>
                      <w:szCs w:val="21"/>
                      <w:lang w:eastAsia="zh-CN"/>
                    </w:rPr>
                    <w:t>筛分机</w:t>
                  </w:r>
                </w:p>
              </w:tc>
              <w:tc>
                <w:tcPr>
                  <w:tcW w:w="438"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rFonts w:hint="default" w:ascii="Times New Roman" w:hAnsi="Times New Roman" w:cs="Times New Roman"/>
                      <w:color w:val="000000"/>
                      <w:w w:val="100"/>
                      <w:sz w:val="21"/>
                      <w:szCs w:val="21"/>
                      <w:lang w:val="en-US" w:eastAsia="zh-CN"/>
                    </w:rPr>
                    <w:t>1</w:t>
                  </w:r>
                  <w:r>
                    <w:rPr>
                      <w:color w:val="000000"/>
                      <w:szCs w:val="21"/>
                    </w:rPr>
                    <w:t>台</w:t>
                  </w:r>
                </w:p>
              </w:tc>
              <w:tc>
                <w:tcPr>
                  <w:tcW w:w="813"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color w:val="000000"/>
                      <w:szCs w:val="21"/>
                    </w:rPr>
                    <w:t>85～90</w:t>
                  </w:r>
                </w:p>
              </w:tc>
              <w:tc>
                <w:tcPr>
                  <w:tcW w:w="586" w:type="pct"/>
                  <w:noWrap w:val="0"/>
                  <w:vAlign w:val="center"/>
                </w:tcPr>
                <w:p>
                  <w:pPr>
                    <w:widowControl/>
                    <w:adjustRightInd w:val="0"/>
                    <w:snapToGrid w:val="0"/>
                    <w:jc w:val="center"/>
                    <w:rPr>
                      <w:color w:val="000000"/>
                      <w:szCs w:val="21"/>
                    </w:rPr>
                  </w:pPr>
                  <w:r>
                    <w:rPr>
                      <w:color w:val="000000"/>
                      <w:szCs w:val="21"/>
                    </w:rPr>
                    <w:t>间断性</w:t>
                  </w:r>
                </w:p>
              </w:tc>
              <w:tc>
                <w:tcPr>
                  <w:tcW w:w="1355" w:type="pct"/>
                  <w:noWrap w:val="0"/>
                  <w:vAlign w:val="center"/>
                </w:tcPr>
                <w:p>
                  <w:pPr>
                    <w:widowControl/>
                    <w:adjustRightInd w:val="0"/>
                    <w:snapToGrid w:val="0"/>
                    <w:jc w:val="center"/>
                    <w:rPr>
                      <w:color w:val="000000"/>
                      <w:szCs w:val="21"/>
                    </w:rPr>
                  </w:pPr>
                  <w:r>
                    <w:rPr>
                      <w:color w:val="000000"/>
                      <w:szCs w:val="21"/>
                    </w:rPr>
                    <w:t>基座减振、隔声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7" w:hRule="atLeast"/>
                <w:jc w:val="center"/>
              </w:trPr>
              <w:tc>
                <w:tcPr>
                  <w:tcW w:w="391" w:type="pct"/>
                  <w:vMerge w:val="continue"/>
                  <w:noWrap w:val="0"/>
                  <w:vAlign w:val="center"/>
                </w:tcPr>
                <w:p>
                  <w:pPr>
                    <w:widowControl/>
                    <w:adjustRightInd w:val="0"/>
                    <w:snapToGrid w:val="0"/>
                    <w:jc w:val="center"/>
                    <w:rPr>
                      <w:color w:val="000000"/>
                      <w:szCs w:val="21"/>
                    </w:rPr>
                  </w:pPr>
                </w:p>
              </w:tc>
              <w:tc>
                <w:tcPr>
                  <w:tcW w:w="1109" w:type="dxa"/>
                  <w:noWrap w:val="0"/>
                  <w:vAlign w:val="center"/>
                </w:tcPr>
                <w:p>
                  <w:pPr>
                    <w:widowControl/>
                    <w:adjustRightInd w:val="0"/>
                    <w:snapToGrid w:val="0"/>
                    <w:jc w:val="center"/>
                    <w:rPr>
                      <w:rFonts w:hint="eastAsia" w:eastAsia="宋体"/>
                      <w:color w:val="000000"/>
                      <w:szCs w:val="21"/>
                      <w:lang w:eastAsia="zh-CN"/>
                    </w:rPr>
                  </w:pPr>
                  <w:r>
                    <w:rPr>
                      <w:rFonts w:hint="eastAsia"/>
                      <w:color w:val="000000"/>
                      <w:szCs w:val="21"/>
                      <w:lang w:val="en-US" w:eastAsia="zh-CN"/>
                    </w:rPr>
                    <w:t>6</w:t>
                  </w:r>
                </w:p>
              </w:tc>
              <w:tc>
                <w:tcPr>
                  <w:tcW w:w="832"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rFonts w:hint="default" w:ascii="Times New Roman" w:hAnsi="Times New Roman" w:cs="Times New Roman"/>
                      <w:color w:val="000000"/>
                      <w:sz w:val="21"/>
                      <w:szCs w:val="21"/>
                    </w:rPr>
                    <w:t>洗砂机</w:t>
                  </w:r>
                </w:p>
              </w:tc>
              <w:tc>
                <w:tcPr>
                  <w:tcW w:w="438"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rFonts w:hint="default" w:ascii="Times New Roman" w:hAnsi="Times New Roman" w:cs="Times New Roman"/>
                      <w:color w:val="000000"/>
                      <w:w w:val="100"/>
                      <w:sz w:val="21"/>
                      <w:szCs w:val="21"/>
                      <w:lang w:val="en-US" w:eastAsia="zh-CN"/>
                    </w:rPr>
                    <w:t>1</w:t>
                  </w:r>
                  <w:r>
                    <w:rPr>
                      <w:color w:val="000000"/>
                      <w:szCs w:val="21"/>
                    </w:rPr>
                    <w:t>台</w:t>
                  </w:r>
                </w:p>
              </w:tc>
              <w:tc>
                <w:tcPr>
                  <w:tcW w:w="813"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color w:val="000000"/>
                      <w:szCs w:val="21"/>
                      <w:lang w:val="en-US" w:eastAsia="zh-CN"/>
                    </w:rPr>
                  </w:pPr>
                  <w:r>
                    <w:rPr>
                      <w:color w:val="000000"/>
                      <w:szCs w:val="21"/>
                    </w:rPr>
                    <w:t>8</w:t>
                  </w:r>
                  <w:r>
                    <w:rPr>
                      <w:rFonts w:hint="eastAsia"/>
                      <w:color w:val="000000"/>
                      <w:szCs w:val="21"/>
                      <w:lang w:val="en-US" w:eastAsia="zh-CN"/>
                    </w:rPr>
                    <w:t>0</w:t>
                  </w:r>
                  <w:r>
                    <w:rPr>
                      <w:color w:val="000000"/>
                      <w:szCs w:val="21"/>
                    </w:rPr>
                    <w:t>～</w:t>
                  </w:r>
                  <w:r>
                    <w:rPr>
                      <w:rFonts w:hint="eastAsia"/>
                      <w:color w:val="000000"/>
                      <w:szCs w:val="21"/>
                      <w:lang w:val="en-US" w:eastAsia="zh-CN"/>
                    </w:rPr>
                    <w:t>85</w:t>
                  </w:r>
                </w:p>
              </w:tc>
              <w:tc>
                <w:tcPr>
                  <w:tcW w:w="586" w:type="pct"/>
                  <w:noWrap w:val="0"/>
                  <w:vAlign w:val="center"/>
                </w:tcPr>
                <w:p>
                  <w:pPr>
                    <w:widowControl/>
                    <w:adjustRightInd w:val="0"/>
                    <w:snapToGrid w:val="0"/>
                    <w:jc w:val="center"/>
                    <w:rPr>
                      <w:color w:val="000000"/>
                      <w:kern w:val="2"/>
                      <w:sz w:val="21"/>
                      <w:szCs w:val="21"/>
                      <w:lang w:val="en-US" w:eastAsia="zh-CN" w:bidi="ar-SA"/>
                    </w:rPr>
                  </w:pPr>
                  <w:r>
                    <w:rPr>
                      <w:color w:val="000000"/>
                      <w:szCs w:val="21"/>
                    </w:rPr>
                    <w:t>间断性</w:t>
                  </w:r>
                </w:p>
              </w:tc>
              <w:tc>
                <w:tcPr>
                  <w:tcW w:w="1355" w:type="pct"/>
                  <w:noWrap w:val="0"/>
                  <w:vAlign w:val="center"/>
                </w:tcPr>
                <w:p>
                  <w:pPr>
                    <w:widowControl/>
                    <w:adjustRightInd w:val="0"/>
                    <w:snapToGrid w:val="0"/>
                    <w:jc w:val="center"/>
                    <w:rPr>
                      <w:color w:val="000000"/>
                      <w:szCs w:val="21"/>
                    </w:rPr>
                  </w:pPr>
                  <w:r>
                    <w:rPr>
                      <w:color w:val="000000"/>
                      <w:szCs w:val="21"/>
                    </w:rPr>
                    <w:t>基座减振、隔声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91" w:type="pct"/>
                  <w:vMerge w:val="continue"/>
                  <w:noWrap w:val="0"/>
                  <w:vAlign w:val="center"/>
                </w:tcPr>
                <w:p>
                  <w:pPr>
                    <w:widowControl/>
                    <w:adjustRightInd w:val="0"/>
                    <w:snapToGrid w:val="0"/>
                    <w:jc w:val="center"/>
                    <w:rPr>
                      <w:color w:val="000000"/>
                      <w:szCs w:val="21"/>
                    </w:rPr>
                  </w:pPr>
                </w:p>
              </w:tc>
              <w:tc>
                <w:tcPr>
                  <w:tcW w:w="1109" w:type="dxa"/>
                  <w:noWrap w:val="0"/>
                  <w:vAlign w:val="center"/>
                </w:tcPr>
                <w:p>
                  <w:pPr>
                    <w:widowControl/>
                    <w:adjustRightInd w:val="0"/>
                    <w:snapToGrid w:val="0"/>
                    <w:jc w:val="center"/>
                    <w:rPr>
                      <w:rFonts w:hint="eastAsia" w:eastAsia="宋体"/>
                      <w:color w:val="000000"/>
                      <w:szCs w:val="21"/>
                      <w:lang w:eastAsia="zh-CN"/>
                    </w:rPr>
                  </w:pPr>
                  <w:r>
                    <w:rPr>
                      <w:rFonts w:hint="eastAsia"/>
                      <w:color w:val="000000"/>
                      <w:szCs w:val="21"/>
                      <w:lang w:val="en-US" w:eastAsia="zh-CN"/>
                    </w:rPr>
                    <w:t>7</w:t>
                  </w:r>
                </w:p>
              </w:tc>
              <w:tc>
                <w:tcPr>
                  <w:tcW w:w="832"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rFonts w:hint="eastAsia" w:cs="Times New Roman"/>
                      <w:color w:val="000000"/>
                      <w:sz w:val="21"/>
                      <w:szCs w:val="21"/>
                      <w:lang w:eastAsia="zh-CN"/>
                    </w:rPr>
                    <w:t>破碎</w:t>
                  </w:r>
                  <w:r>
                    <w:rPr>
                      <w:rFonts w:hint="default" w:ascii="Times New Roman" w:hAnsi="Times New Roman" w:cs="Times New Roman"/>
                      <w:color w:val="000000"/>
                      <w:sz w:val="21"/>
                      <w:szCs w:val="21"/>
                      <w:lang w:eastAsia="zh-CN"/>
                    </w:rPr>
                    <w:t>机</w:t>
                  </w:r>
                </w:p>
              </w:tc>
              <w:tc>
                <w:tcPr>
                  <w:tcW w:w="438"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rFonts w:hint="eastAsia" w:cs="Times New Roman"/>
                      <w:color w:val="000000"/>
                      <w:w w:val="100"/>
                      <w:sz w:val="21"/>
                      <w:szCs w:val="21"/>
                      <w:lang w:val="en-US" w:eastAsia="zh-CN"/>
                    </w:rPr>
                    <w:t>2</w:t>
                  </w:r>
                  <w:r>
                    <w:rPr>
                      <w:color w:val="000000"/>
                      <w:szCs w:val="21"/>
                    </w:rPr>
                    <w:t>台</w:t>
                  </w:r>
                </w:p>
              </w:tc>
              <w:tc>
                <w:tcPr>
                  <w:tcW w:w="813"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color w:val="000000"/>
                      <w:szCs w:val="21"/>
                      <w:lang w:val="en-US" w:eastAsia="zh-CN"/>
                    </w:rPr>
                  </w:pPr>
                  <w:r>
                    <w:rPr>
                      <w:rFonts w:hint="eastAsia"/>
                      <w:color w:val="000000"/>
                      <w:szCs w:val="21"/>
                      <w:lang w:val="en-US" w:eastAsia="zh-CN"/>
                    </w:rPr>
                    <w:t>90</w:t>
                  </w:r>
                  <w:r>
                    <w:rPr>
                      <w:color w:val="000000"/>
                      <w:szCs w:val="21"/>
                    </w:rPr>
                    <w:t>～</w:t>
                  </w:r>
                  <w:r>
                    <w:rPr>
                      <w:rFonts w:hint="eastAsia"/>
                      <w:color w:val="000000"/>
                      <w:szCs w:val="21"/>
                      <w:lang w:val="en-US" w:eastAsia="zh-CN"/>
                    </w:rPr>
                    <w:t>95</w:t>
                  </w:r>
                </w:p>
              </w:tc>
              <w:tc>
                <w:tcPr>
                  <w:tcW w:w="586" w:type="pct"/>
                  <w:noWrap w:val="0"/>
                  <w:vAlign w:val="center"/>
                </w:tcPr>
                <w:p>
                  <w:pPr>
                    <w:widowControl/>
                    <w:adjustRightInd w:val="0"/>
                    <w:snapToGrid w:val="0"/>
                    <w:jc w:val="center"/>
                    <w:rPr>
                      <w:color w:val="000000"/>
                      <w:kern w:val="2"/>
                      <w:sz w:val="21"/>
                      <w:szCs w:val="21"/>
                      <w:lang w:val="en-US" w:eastAsia="zh-CN" w:bidi="ar-SA"/>
                    </w:rPr>
                  </w:pPr>
                  <w:r>
                    <w:rPr>
                      <w:color w:val="000000"/>
                      <w:szCs w:val="21"/>
                    </w:rPr>
                    <w:t>间断性</w:t>
                  </w:r>
                </w:p>
              </w:tc>
              <w:tc>
                <w:tcPr>
                  <w:tcW w:w="1355" w:type="pct"/>
                  <w:noWrap w:val="0"/>
                  <w:vAlign w:val="center"/>
                </w:tcPr>
                <w:p>
                  <w:pPr>
                    <w:widowControl/>
                    <w:adjustRightInd w:val="0"/>
                    <w:snapToGrid w:val="0"/>
                    <w:jc w:val="center"/>
                    <w:rPr>
                      <w:color w:val="000000"/>
                      <w:szCs w:val="21"/>
                    </w:rPr>
                  </w:pPr>
                  <w:r>
                    <w:rPr>
                      <w:color w:val="000000"/>
                      <w:szCs w:val="21"/>
                    </w:rPr>
                    <w:t>基座减振、隔声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91" w:type="pct"/>
                  <w:vMerge w:val="continue"/>
                  <w:noWrap w:val="0"/>
                  <w:vAlign w:val="center"/>
                </w:tcPr>
                <w:p>
                  <w:pPr>
                    <w:widowControl/>
                    <w:adjustRightInd w:val="0"/>
                    <w:snapToGrid w:val="0"/>
                    <w:jc w:val="center"/>
                    <w:rPr>
                      <w:color w:val="000000"/>
                      <w:szCs w:val="21"/>
                    </w:rPr>
                  </w:pPr>
                </w:p>
              </w:tc>
              <w:tc>
                <w:tcPr>
                  <w:tcW w:w="1109" w:type="dxa"/>
                  <w:noWrap w:val="0"/>
                  <w:vAlign w:val="center"/>
                </w:tcPr>
                <w:p>
                  <w:pPr>
                    <w:widowControl/>
                    <w:adjustRightInd w:val="0"/>
                    <w:snapToGrid w:val="0"/>
                    <w:jc w:val="center"/>
                    <w:rPr>
                      <w:rFonts w:hint="eastAsia" w:eastAsia="宋体"/>
                      <w:color w:val="000000"/>
                      <w:szCs w:val="21"/>
                      <w:lang w:val="en-US" w:eastAsia="zh-CN"/>
                    </w:rPr>
                  </w:pPr>
                  <w:r>
                    <w:rPr>
                      <w:rFonts w:hint="eastAsia"/>
                      <w:color w:val="000000"/>
                      <w:szCs w:val="21"/>
                      <w:lang w:val="en-US" w:eastAsia="zh-CN"/>
                    </w:rPr>
                    <w:t>8</w:t>
                  </w:r>
                </w:p>
              </w:tc>
              <w:tc>
                <w:tcPr>
                  <w:tcW w:w="832"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rFonts w:hint="default" w:ascii="Times New Roman" w:hAnsi="Times New Roman" w:cs="Times New Roman"/>
                      <w:color w:val="000000"/>
                      <w:sz w:val="21"/>
                      <w:szCs w:val="21"/>
                    </w:rPr>
                    <w:t>传送带</w:t>
                  </w:r>
                </w:p>
              </w:tc>
              <w:tc>
                <w:tcPr>
                  <w:tcW w:w="438"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color w:val="000000"/>
                      <w:szCs w:val="21"/>
                    </w:rPr>
                  </w:pPr>
                  <w:r>
                    <w:rPr>
                      <w:rFonts w:hint="default" w:ascii="Times New Roman" w:hAnsi="Times New Roman" w:cs="Times New Roman"/>
                      <w:color w:val="000000"/>
                      <w:sz w:val="21"/>
                      <w:szCs w:val="21"/>
                      <w:lang w:val="en-US" w:eastAsia="zh-CN"/>
                    </w:rPr>
                    <w:t>6</w:t>
                  </w:r>
                  <w:r>
                    <w:rPr>
                      <w:color w:val="000000"/>
                      <w:szCs w:val="21"/>
                    </w:rPr>
                    <w:t>台</w:t>
                  </w:r>
                </w:p>
              </w:tc>
              <w:tc>
                <w:tcPr>
                  <w:tcW w:w="813"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color w:val="000000"/>
                      <w:szCs w:val="21"/>
                      <w:lang w:val="en-US" w:eastAsia="zh-CN"/>
                    </w:rPr>
                  </w:pPr>
                  <w:r>
                    <w:rPr>
                      <w:rFonts w:hint="eastAsia"/>
                      <w:color w:val="000000"/>
                      <w:szCs w:val="21"/>
                      <w:lang w:val="en-US" w:eastAsia="zh-CN"/>
                    </w:rPr>
                    <w:t>65</w:t>
                  </w:r>
                  <w:r>
                    <w:rPr>
                      <w:color w:val="000000"/>
                      <w:szCs w:val="21"/>
                    </w:rPr>
                    <w:t>～</w:t>
                  </w:r>
                  <w:r>
                    <w:rPr>
                      <w:rFonts w:hint="eastAsia"/>
                      <w:color w:val="000000"/>
                      <w:szCs w:val="21"/>
                      <w:lang w:val="en-US" w:eastAsia="zh-CN"/>
                    </w:rPr>
                    <w:t>70</w:t>
                  </w:r>
                </w:p>
              </w:tc>
              <w:tc>
                <w:tcPr>
                  <w:tcW w:w="586" w:type="pct"/>
                  <w:noWrap w:val="0"/>
                  <w:vAlign w:val="center"/>
                </w:tcPr>
                <w:p>
                  <w:pPr>
                    <w:widowControl/>
                    <w:adjustRightInd w:val="0"/>
                    <w:snapToGrid w:val="0"/>
                    <w:jc w:val="center"/>
                    <w:rPr>
                      <w:color w:val="000000"/>
                      <w:szCs w:val="21"/>
                    </w:rPr>
                  </w:pPr>
                  <w:r>
                    <w:rPr>
                      <w:color w:val="000000"/>
                      <w:szCs w:val="21"/>
                    </w:rPr>
                    <w:t>间断性</w:t>
                  </w:r>
                </w:p>
              </w:tc>
              <w:tc>
                <w:tcPr>
                  <w:tcW w:w="1355" w:type="pct"/>
                  <w:noWrap w:val="0"/>
                  <w:vAlign w:val="center"/>
                </w:tcPr>
                <w:p>
                  <w:pPr>
                    <w:widowControl/>
                    <w:adjustRightInd w:val="0"/>
                    <w:snapToGrid w:val="0"/>
                    <w:jc w:val="center"/>
                    <w:rPr>
                      <w:color w:val="000000"/>
                      <w:kern w:val="2"/>
                      <w:sz w:val="21"/>
                      <w:szCs w:val="21"/>
                      <w:lang w:val="en-US" w:eastAsia="zh-CN" w:bidi="ar-SA"/>
                    </w:rPr>
                  </w:pPr>
                  <w:r>
                    <w:rPr>
                      <w:color w:val="000000"/>
                      <w:szCs w:val="21"/>
                    </w:rPr>
                    <w:t>基座减振、隔声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7" w:hRule="atLeast"/>
                <w:jc w:val="center"/>
              </w:trPr>
              <w:tc>
                <w:tcPr>
                  <w:tcW w:w="391" w:type="pct"/>
                  <w:vMerge w:val="continue"/>
                  <w:noWrap w:val="0"/>
                  <w:vAlign w:val="center"/>
                </w:tcPr>
                <w:p>
                  <w:pPr>
                    <w:widowControl/>
                    <w:adjustRightInd w:val="0"/>
                    <w:snapToGrid w:val="0"/>
                    <w:jc w:val="center"/>
                    <w:rPr>
                      <w:color w:val="000000"/>
                      <w:szCs w:val="21"/>
                    </w:rPr>
                  </w:pPr>
                </w:p>
              </w:tc>
              <w:tc>
                <w:tcPr>
                  <w:tcW w:w="582" w:type="pct"/>
                  <w:noWrap w:val="0"/>
                  <w:vAlign w:val="center"/>
                </w:tcPr>
                <w:p>
                  <w:pPr>
                    <w:widowControl/>
                    <w:adjustRightInd w:val="0"/>
                    <w:snapToGrid w:val="0"/>
                    <w:jc w:val="center"/>
                    <w:rPr>
                      <w:rFonts w:hint="eastAsia" w:eastAsia="宋体"/>
                      <w:color w:val="000000"/>
                      <w:szCs w:val="21"/>
                      <w:lang w:val="en-US" w:eastAsia="zh-CN"/>
                    </w:rPr>
                  </w:pPr>
                  <w:r>
                    <w:rPr>
                      <w:rFonts w:hint="eastAsia"/>
                      <w:color w:val="000000"/>
                      <w:szCs w:val="21"/>
                      <w:lang w:val="en-US" w:eastAsia="zh-CN"/>
                    </w:rPr>
                    <w:t>8</w:t>
                  </w:r>
                </w:p>
              </w:tc>
              <w:tc>
                <w:tcPr>
                  <w:tcW w:w="832"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color w:val="000000"/>
                      <w:szCs w:val="21"/>
                    </w:rPr>
                  </w:pPr>
                  <w:r>
                    <w:rPr>
                      <w:color w:val="000000"/>
                      <w:sz w:val="21"/>
                    </w:rPr>
                    <w:t>装载</w:t>
                  </w:r>
                  <w:r>
                    <w:rPr>
                      <w:rFonts w:hint="default" w:ascii="Times New Roman" w:hAnsi="Times New Roman" w:cs="Times New Roman"/>
                      <w:color w:val="000000"/>
                      <w:sz w:val="21"/>
                      <w:szCs w:val="21"/>
                      <w:lang w:eastAsia="zh-CN"/>
                    </w:rPr>
                    <w:t>机</w:t>
                  </w:r>
                </w:p>
              </w:tc>
              <w:tc>
                <w:tcPr>
                  <w:tcW w:w="438"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color w:val="000000"/>
                      <w:szCs w:val="21"/>
                    </w:rPr>
                  </w:pPr>
                  <w:r>
                    <w:rPr>
                      <w:rFonts w:hint="default" w:ascii="Times New Roman" w:hAnsi="Times New Roman" w:cs="Times New Roman"/>
                      <w:color w:val="000000"/>
                      <w:sz w:val="21"/>
                      <w:szCs w:val="21"/>
                      <w:lang w:val="en-US" w:eastAsia="zh-CN"/>
                    </w:rPr>
                    <w:t>1</w:t>
                  </w:r>
                  <w:r>
                    <w:rPr>
                      <w:color w:val="000000"/>
                      <w:szCs w:val="21"/>
                    </w:rPr>
                    <w:t>台</w:t>
                  </w:r>
                </w:p>
              </w:tc>
              <w:tc>
                <w:tcPr>
                  <w:tcW w:w="813" w:type="pct"/>
                  <w:noWrap w:val="0"/>
                  <w:vAlign w:val="center"/>
                </w:tcPr>
                <w:p>
                  <w:pPr>
                    <w:pStyle w:val="6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color w:val="000000"/>
                      <w:szCs w:val="21"/>
                      <w:lang w:val="en-US" w:eastAsia="zh-CN"/>
                    </w:rPr>
                  </w:pPr>
                  <w:r>
                    <w:rPr>
                      <w:rFonts w:hint="eastAsia"/>
                      <w:color w:val="000000"/>
                      <w:szCs w:val="21"/>
                      <w:lang w:val="en-US" w:eastAsia="zh-CN"/>
                    </w:rPr>
                    <w:t>80</w:t>
                  </w:r>
                  <w:r>
                    <w:rPr>
                      <w:color w:val="000000"/>
                      <w:szCs w:val="21"/>
                    </w:rPr>
                    <w:t>～</w:t>
                  </w:r>
                  <w:r>
                    <w:rPr>
                      <w:rFonts w:hint="eastAsia"/>
                      <w:color w:val="000000"/>
                      <w:szCs w:val="21"/>
                      <w:lang w:val="en-US" w:eastAsia="zh-CN"/>
                    </w:rPr>
                    <w:t>85</w:t>
                  </w:r>
                </w:p>
              </w:tc>
              <w:tc>
                <w:tcPr>
                  <w:tcW w:w="586" w:type="pct"/>
                  <w:noWrap w:val="0"/>
                  <w:vAlign w:val="center"/>
                </w:tcPr>
                <w:p>
                  <w:pPr>
                    <w:widowControl/>
                    <w:adjustRightInd w:val="0"/>
                    <w:snapToGrid w:val="0"/>
                    <w:jc w:val="center"/>
                    <w:rPr>
                      <w:color w:val="000000"/>
                      <w:szCs w:val="21"/>
                    </w:rPr>
                  </w:pPr>
                  <w:r>
                    <w:rPr>
                      <w:color w:val="000000"/>
                      <w:szCs w:val="21"/>
                    </w:rPr>
                    <w:t>间断性</w:t>
                  </w:r>
                </w:p>
              </w:tc>
              <w:tc>
                <w:tcPr>
                  <w:tcW w:w="1355" w:type="pct"/>
                  <w:noWrap w:val="0"/>
                  <w:vAlign w:val="center"/>
                </w:tcPr>
                <w:p>
                  <w:pPr>
                    <w:widowControl/>
                    <w:adjustRightInd w:val="0"/>
                    <w:snapToGrid w:val="0"/>
                    <w:jc w:val="center"/>
                    <w:rPr>
                      <w:color w:val="000000"/>
                      <w:kern w:val="2"/>
                      <w:sz w:val="21"/>
                      <w:szCs w:val="21"/>
                      <w:lang w:val="en-US" w:eastAsia="zh-CN" w:bidi="ar-SA"/>
                    </w:rPr>
                  </w:pPr>
                  <w:r>
                    <w:rPr>
                      <w:color w:val="000000"/>
                      <w:szCs w:val="21"/>
                    </w:rPr>
                    <w:t>基座减振、隔声</w:t>
                  </w:r>
                </w:p>
              </w:tc>
            </w:tr>
          </w:tbl>
          <w:p>
            <w:pPr>
              <w:keepNext w:val="0"/>
              <w:keepLines w:val="0"/>
              <w:pageBreakBefore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预测模式采用《环境影响评价技术导则—声环境》（HJ2.4—2009）中推荐的工业噪声预测计算模式。噪声在传播过程中受到多种因素的干扰，使其产生衰减，根据建设项目噪声源和环境特征，预测过程中考虑了</w:t>
            </w:r>
            <w:r>
              <w:rPr>
                <w:rFonts w:hint="default" w:ascii="Times New Roman" w:hAnsi="Times New Roman" w:eastAsia="宋体" w:cs="Times New Roman"/>
                <w:sz w:val="24"/>
                <w:szCs w:val="24"/>
                <w:lang w:eastAsia="zh-CN"/>
              </w:rPr>
              <w:t>树木的</w:t>
            </w:r>
            <w:r>
              <w:rPr>
                <w:rFonts w:hint="default" w:ascii="Times New Roman" w:hAnsi="Times New Roman" w:eastAsia="宋体" w:cs="Times New Roman"/>
                <w:sz w:val="24"/>
                <w:szCs w:val="24"/>
              </w:rPr>
              <w:t>屏障作用、空气吸收。</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①</w:t>
            </w:r>
            <w:r>
              <w:rPr>
                <w:rFonts w:hint="default" w:ascii="Times New Roman" w:hAnsi="Times New Roman" w:eastAsia="宋体" w:cs="Times New Roman"/>
                <w:kern w:val="0"/>
                <w:sz w:val="24"/>
                <w:szCs w:val="24"/>
              </w:rPr>
              <w:t>单</w:t>
            </w:r>
            <w:r>
              <w:rPr>
                <w:rFonts w:hint="default" w:ascii="Times New Roman" w:hAnsi="Times New Roman" w:eastAsia="宋体" w:cs="Times New Roman"/>
                <w:spacing w:val="-1"/>
                <w:kern w:val="0"/>
                <w:sz w:val="24"/>
                <w:szCs w:val="24"/>
              </w:rPr>
              <w:t>个</w:t>
            </w:r>
            <w:r>
              <w:rPr>
                <w:rFonts w:hint="default" w:ascii="Times New Roman" w:hAnsi="Times New Roman" w:eastAsia="宋体" w:cs="Times New Roman"/>
                <w:kern w:val="0"/>
                <w:sz w:val="24"/>
                <w:szCs w:val="24"/>
              </w:rPr>
              <w:t>室外的点声源在预测点产生的声级计算基本公式</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如已知声源的倍频带声功率级（从</w:t>
            </w:r>
            <w:r>
              <w:rPr>
                <w:rFonts w:hint="default" w:ascii="Times New Roman" w:hAnsi="Times New Roman" w:eastAsia="宋体" w:cs="Times New Roman"/>
                <w:spacing w:val="1"/>
                <w:kern w:val="0"/>
                <w:sz w:val="24"/>
                <w:szCs w:val="24"/>
              </w:rPr>
              <w:t>63</w:t>
            </w:r>
            <w:r>
              <w:rPr>
                <w:rFonts w:hint="default" w:ascii="Times New Roman" w:hAnsi="Times New Roman" w:eastAsia="宋体" w:cs="Times New Roman"/>
                <w:kern w:val="0"/>
                <w:sz w:val="24"/>
                <w:szCs w:val="24"/>
              </w:rPr>
              <w:t>Hz到</w:t>
            </w:r>
            <w:r>
              <w:rPr>
                <w:rFonts w:hint="default" w:ascii="Times New Roman" w:hAnsi="Times New Roman" w:eastAsia="宋体" w:cs="Times New Roman"/>
                <w:spacing w:val="1"/>
                <w:kern w:val="0"/>
                <w:sz w:val="24"/>
                <w:szCs w:val="24"/>
              </w:rPr>
              <w:t>8</w:t>
            </w:r>
            <w:r>
              <w:rPr>
                <w:rFonts w:hint="default" w:ascii="Times New Roman" w:hAnsi="Times New Roman" w:eastAsia="宋体" w:cs="Times New Roman"/>
                <w:kern w:val="0"/>
                <w:sz w:val="24"/>
                <w:szCs w:val="24"/>
              </w:rPr>
              <w:t>K</w:t>
            </w:r>
            <w:r>
              <w:rPr>
                <w:rFonts w:hint="default" w:ascii="Times New Roman" w:hAnsi="Times New Roman" w:eastAsia="宋体" w:cs="Times New Roman"/>
                <w:spacing w:val="1"/>
                <w:kern w:val="0"/>
                <w:sz w:val="24"/>
                <w:szCs w:val="24"/>
              </w:rPr>
              <w:t>H</w:t>
            </w:r>
            <w:r>
              <w:rPr>
                <w:rFonts w:hint="default" w:ascii="Times New Roman" w:hAnsi="Times New Roman" w:eastAsia="宋体" w:cs="Times New Roman"/>
                <w:kern w:val="0"/>
                <w:sz w:val="24"/>
                <w:szCs w:val="24"/>
              </w:rPr>
              <w:t>z标称频带</w:t>
            </w:r>
            <w:r>
              <w:rPr>
                <w:rFonts w:hint="default" w:ascii="Times New Roman" w:hAnsi="Times New Roman" w:eastAsia="宋体" w:cs="Times New Roman"/>
                <w:spacing w:val="-1"/>
                <w:kern w:val="0"/>
                <w:sz w:val="24"/>
                <w:szCs w:val="24"/>
              </w:rPr>
              <w:t>中</w:t>
            </w:r>
            <w:r>
              <w:rPr>
                <w:rFonts w:hint="default" w:ascii="Times New Roman" w:hAnsi="Times New Roman" w:eastAsia="宋体" w:cs="Times New Roman"/>
                <w:kern w:val="0"/>
                <w:sz w:val="24"/>
                <w:szCs w:val="24"/>
              </w:rPr>
              <w:t>心频率的8个倍频</w:t>
            </w:r>
            <w:r>
              <w:rPr>
                <w:rFonts w:hint="default" w:ascii="Times New Roman" w:hAnsi="Times New Roman" w:eastAsia="宋体" w:cs="Times New Roman"/>
                <w:sz w:val="24"/>
                <w:szCs w:val="24"/>
              </w:rPr>
              <w:t>带）预</w:t>
            </w:r>
            <w:r>
              <w:rPr>
                <w:rFonts w:hint="default" w:ascii="Times New Roman" w:hAnsi="Times New Roman" w:eastAsia="宋体" w:cs="Times New Roman"/>
                <w:kern w:val="0"/>
                <w:sz w:val="24"/>
                <w:szCs w:val="24"/>
              </w:rPr>
              <w:t>测点位置的倍频带声压级</w:t>
            </w:r>
            <w:r>
              <w:rPr>
                <w:rFonts w:hint="default" w:ascii="Times New Roman" w:hAnsi="Times New Roman" w:eastAsia="宋体" w:cs="Times New Roman"/>
                <w:i/>
                <w:iCs/>
                <w:spacing w:val="-5"/>
                <w:kern w:val="0"/>
                <w:sz w:val="24"/>
                <w:szCs w:val="24"/>
              </w:rPr>
              <w:t>L</w:t>
            </w:r>
            <w:r>
              <w:rPr>
                <w:rFonts w:hint="default" w:ascii="Times New Roman" w:hAnsi="Times New Roman" w:eastAsia="宋体" w:cs="Times New Roman"/>
                <w:i/>
                <w:iCs/>
                <w:kern w:val="0"/>
                <w:position w:val="-6"/>
                <w:sz w:val="24"/>
                <w:szCs w:val="24"/>
              </w:rPr>
              <w:t>P</w:t>
            </w:r>
            <w:r>
              <w:rPr>
                <w:rFonts w:hint="default" w:ascii="Times New Roman" w:hAnsi="Times New Roman" w:eastAsia="宋体" w:cs="Times New Roman"/>
                <w:spacing w:val="6"/>
                <w:kern w:val="0"/>
                <w:sz w:val="24"/>
                <w:szCs w:val="24"/>
              </w:rPr>
              <w:t>(</w:t>
            </w:r>
            <w:r>
              <w:rPr>
                <w:rFonts w:hint="default" w:ascii="Times New Roman" w:hAnsi="Times New Roman" w:eastAsia="宋体" w:cs="Times New Roman"/>
                <w:i/>
                <w:iCs/>
                <w:kern w:val="0"/>
                <w:sz w:val="24"/>
                <w:szCs w:val="24"/>
              </w:rPr>
              <w:t>r</w:t>
            </w:r>
            <w:r>
              <w:rPr>
                <w:rFonts w:hint="default" w:ascii="Times New Roman" w:hAnsi="Times New Roman" w:eastAsia="宋体" w:cs="Times New Roman"/>
                <w:kern w:val="0"/>
                <w:sz w:val="24"/>
                <w:szCs w:val="24"/>
              </w:rPr>
              <w:t>)可按以下公式计算：</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58" w:firstLineChars="200"/>
              <w:jc w:val="center"/>
              <w:textAlignment w:val="auto"/>
              <w:outlineLvl w:val="9"/>
              <w:rPr>
                <w:rFonts w:hint="default" w:ascii="Times New Roman" w:hAnsi="Times New Roman" w:eastAsia="宋体" w:cs="Times New Roman"/>
                <w:b/>
                <w:kern w:val="0"/>
                <w:sz w:val="24"/>
                <w:szCs w:val="24"/>
              </w:rPr>
            </w:pPr>
            <w:r>
              <w:rPr>
                <w:rFonts w:hint="default" w:ascii="Times New Roman" w:hAnsi="Times New Roman" w:eastAsia="宋体" w:cs="Times New Roman"/>
                <w:b/>
                <w:i/>
                <w:iCs/>
                <w:spacing w:val="-6"/>
                <w:kern w:val="0"/>
                <w:position w:val="2"/>
                <w:sz w:val="24"/>
                <w:szCs w:val="24"/>
              </w:rPr>
              <w:t>L</w:t>
            </w:r>
            <w:r>
              <w:rPr>
                <w:rFonts w:hint="default" w:ascii="Times New Roman" w:hAnsi="Times New Roman" w:eastAsia="宋体" w:cs="Times New Roman"/>
                <w:b/>
                <w:i/>
                <w:iCs/>
                <w:kern w:val="0"/>
                <w:position w:val="-4"/>
                <w:sz w:val="24"/>
                <w:szCs w:val="24"/>
              </w:rPr>
              <w:t>P</w:t>
            </w:r>
            <w:r>
              <w:rPr>
                <w:rFonts w:hint="default" w:ascii="Times New Roman" w:hAnsi="Times New Roman" w:eastAsia="宋体" w:cs="Times New Roman"/>
                <w:b/>
                <w:spacing w:val="5"/>
                <w:kern w:val="0"/>
                <w:position w:val="2"/>
                <w:sz w:val="24"/>
                <w:szCs w:val="24"/>
              </w:rPr>
              <w:t>(</w:t>
            </w:r>
            <w:r>
              <w:rPr>
                <w:rFonts w:hint="default" w:ascii="Times New Roman" w:hAnsi="Times New Roman" w:eastAsia="宋体" w:cs="Times New Roman"/>
                <w:b/>
                <w:i/>
                <w:iCs/>
                <w:kern w:val="0"/>
                <w:position w:val="2"/>
                <w:sz w:val="24"/>
                <w:szCs w:val="24"/>
              </w:rPr>
              <w:t>r</w:t>
            </w:r>
            <w:r>
              <w:rPr>
                <w:rFonts w:hint="default" w:ascii="Times New Roman" w:hAnsi="Times New Roman" w:eastAsia="宋体" w:cs="Times New Roman"/>
                <w:b/>
                <w:kern w:val="0"/>
                <w:position w:val="2"/>
                <w:sz w:val="24"/>
                <w:szCs w:val="24"/>
              </w:rPr>
              <w:t>)=</w:t>
            </w:r>
            <w:r>
              <w:rPr>
                <w:rFonts w:hint="default" w:ascii="Times New Roman" w:hAnsi="Times New Roman" w:eastAsia="宋体" w:cs="Times New Roman"/>
                <w:b/>
                <w:i/>
                <w:iCs/>
                <w:spacing w:val="-9"/>
                <w:kern w:val="0"/>
                <w:position w:val="2"/>
                <w:sz w:val="24"/>
                <w:szCs w:val="24"/>
              </w:rPr>
              <w:t>L</w:t>
            </w:r>
            <w:r>
              <w:rPr>
                <w:rFonts w:hint="default" w:ascii="Times New Roman" w:hAnsi="Times New Roman" w:eastAsia="宋体" w:cs="Times New Roman"/>
                <w:b/>
                <w:i/>
                <w:iCs/>
                <w:kern w:val="0"/>
                <w:position w:val="-4"/>
                <w:sz w:val="24"/>
                <w:szCs w:val="24"/>
              </w:rPr>
              <w:t>w</w:t>
            </w:r>
            <w:r>
              <w:rPr>
                <w:rFonts w:hint="default" w:ascii="Times New Roman" w:hAnsi="Times New Roman" w:eastAsia="宋体" w:cs="Times New Roman"/>
                <w:b/>
                <w:kern w:val="0"/>
                <w:position w:val="2"/>
                <w:sz w:val="24"/>
                <w:szCs w:val="24"/>
              </w:rPr>
              <w:t>+</w:t>
            </w:r>
            <w:r>
              <w:rPr>
                <w:rFonts w:hint="default" w:ascii="Times New Roman" w:hAnsi="Times New Roman" w:eastAsia="宋体" w:cs="Times New Roman"/>
                <w:b/>
                <w:i/>
                <w:iCs/>
                <w:spacing w:val="-11"/>
                <w:kern w:val="0"/>
                <w:position w:val="2"/>
                <w:sz w:val="24"/>
                <w:szCs w:val="24"/>
              </w:rPr>
              <w:t>D</w:t>
            </w:r>
            <w:r>
              <w:rPr>
                <w:rFonts w:hint="default" w:ascii="Times New Roman" w:hAnsi="Times New Roman" w:eastAsia="宋体" w:cs="Times New Roman"/>
                <w:b/>
                <w:i/>
                <w:iCs/>
                <w:kern w:val="0"/>
                <w:position w:val="-4"/>
                <w:sz w:val="24"/>
                <w:szCs w:val="24"/>
              </w:rPr>
              <w:t>c</w:t>
            </w:r>
            <w:r>
              <w:rPr>
                <w:rFonts w:hint="default" w:ascii="Times New Roman" w:hAnsi="Times New Roman" w:eastAsia="宋体" w:cs="Times New Roman"/>
                <w:b/>
                <w:kern w:val="0"/>
                <w:position w:val="2"/>
                <w:sz w:val="24"/>
                <w:szCs w:val="24"/>
              </w:rPr>
              <w:t>-</w:t>
            </w:r>
            <w:r>
              <w:rPr>
                <w:rFonts w:hint="default" w:ascii="Times New Roman" w:hAnsi="Times New Roman" w:eastAsia="宋体" w:cs="Times New Roman"/>
                <w:b/>
                <w:i/>
                <w:iCs/>
                <w:kern w:val="0"/>
                <w:position w:val="2"/>
                <w:sz w:val="24"/>
                <w:szCs w:val="24"/>
              </w:rPr>
              <w:t>A</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2" w:firstLineChars="200"/>
              <w:jc w:val="center"/>
              <w:textAlignment w:val="auto"/>
              <w:outlineLvl w:val="9"/>
              <w:rPr>
                <w:rFonts w:hint="default" w:ascii="Times New Roman" w:hAnsi="Times New Roman" w:eastAsia="宋体" w:cs="Times New Roman"/>
                <w:b/>
                <w:kern w:val="0"/>
                <w:sz w:val="24"/>
                <w:szCs w:val="24"/>
              </w:rPr>
            </w:pPr>
            <w:r>
              <w:rPr>
                <w:rFonts w:hint="default" w:ascii="Times New Roman" w:hAnsi="Times New Roman" w:eastAsia="宋体" w:cs="Times New Roman"/>
                <w:b/>
                <w:i/>
                <w:iCs/>
                <w:kern w:val="0"/>
                <w:position w:val="2"/>
                <w:sz w:val="24"/>
                <w:szCs w:val="24"/>
              </w:rPr>
              <w:t>A</w:t>
            </w:r>
            <w:r>
              <w:rPr>
                <w:rFonts w:hint="default" w:ascii="Times New Roman" w:hAnsi="Times New Roman" w:eastAsia="宋体" w:cs="Times New Roman"/>
                <w:b/>
                <w:kern w:val="0"/>
                <w:position w:val="2"/>
                <w:sz w:val="24"/>
                <w:szCs w:val="24"/>
              </w:rPr>
              <w:t>=</w:t>
            </w:r>
            <w:r>
              <w:rPr>
                <w:rFonts w:hint="default" w:ascii="Times New Roman" w:hAnsi="Times New Roman" w:eastAsia="宋体" w:cs="Times New Roman"/>
                <w:b/>
                <w:i/>
                <w:iCs/>
                <w:spacing w:val="-17"/>
                <w:kern w:val="0"/>
                <w:position w:val="2"/>
                <w:sz w:val="24"/>
                <w:szCs w:val="24"/>
              </w:rPr>
              <w:t>A</w:t>
            </w:r>
            <w:r>
              <w:rPr>
                <w:rFonts w:hint="default" w:ascii="Times New Roman" w:hAnsi="Times New Roman" w:eastAsia="宋体" w:cs="Times New Roman"/>
                <w:b/>
                <w:i/>
                <w:iCs/>
                <w:spacing w:val="1"/>
                <w:kern w:val="0"/>
                <w:position w:val="-4"/>
                <w:sz w:val="24"/>
                <w:szCs w:val="24"/>
              </w:rPr>
              <w:t>di</w:t>
            </w:r>
            <w:r>
              <w:rPr>
                <w:rFonts w:hint="default" w:ascii="Times New Roman" w:hAnsi="Times New Roman" w:eastAsia="宋体" w:cs="Times New Roman"/>
                <w:b/>
                <w:i/>
                <w:iCs/>
                <w:kern w:val="0"/>
                <w:position w:val="-4"/>
                <w:sz w:val="24"/>
                <w:szCs w:val="24"/>
              </w:rPr>
              <w:t>v</w:t>
            </w:r>
            <w:r>
              <w:rPr>
                <w:rFonts w:hint="default" w:ascii="Times New Roman" w:hAnsi="Times New Roman" w:eastAsia="宋体" w:cs="Times New Roman"/>
                <w:b/>
                <w:kern w:val="0"/>
                <w:position w:val="2"/>
                <w:sz w:val="24"/>
                <w:szCs w:val="24"/>
              </w:rPr>
              <w:t>+</w:t>
            </w:r>
            <w:r>
              <w:rPr>
                <w:rFonts w:hint="default" w:ascii="Times New Roman" w:hAnsi="Times New Roman" w:eastAsia="宋体" w:cs="Times New Roman"/>
                <w:b/>
                <w:i/>
                <w:iCs/>
                <w:spacing w:val="-17"/>
                <w:kern w:val="0"/>
                <w:position w:val="2"/>
                <w:sz w:val="24"/>
                <w:szCs w:val="24"/>
              </w:rPr>
              <w:t>A</w:t>
            </w:r>
            <w:r>
              <w:rPr>
                <w:rFonts w:hint="default" w:ascii="Times New Roman" w:hAnsi="Times New Roman" w:eastAsia="宋体" w:cs="Times New Roman"/>
                <w:b/>
                <w:i/>
                <w:iCs/>
                <w:spacing w:val="1"/>
                <w:kern w:val="0"/>
                <w:position w:val="-4"/>
                <w:sz w:val="24"/>
                <w:szCs w:val="24"/>
              </w:rPr>
              <w:t>at</w:t>
            </w:r>
            <w:r>
              <w:rPr>
                <w:rFonts w:hint="default" w:ascii="Times New Roman" w:hAnsi="Times New Roman" w:eastAsia="宋体" w:cs="Times New Roman"/>
                <w:b/>
                <w:i/>
                <w:iCs/>
                <w:kern w:val="0"/>
                <w:position w:val="-4"/>
                <w:sz w:val="24"/>
                <w:szCs w:val="24"/>
              </w:rPr>
              <w:t>m</w:t>
            </w:r>
            <w:r>
              <w:rPr>
                <w:rFonts w:hint="default" w:ascii="Times New Roman" w:hAnsi="Times New Roman" w:eastAsia="宋体" w:cs="Times New Roman"/>
                <w:b/>
                <w:kern w:val="0"/>
                <w:position w:val="2"/>
                <w:sz w:val="24"/>
                <w:szCs w:val="24"/>
              </w:rPr>
              <w:t>+</w:t>
            </w:r>
            <w:r>
              <w:rPr>
                <w:rFonts w:hint="default" w:ascii="Times New Roman" w:hAnsi="Times New Roman" w:eastAsia="宋体" w:cs="Times New Roman"/>
                <w:b/>
                <w:i/>
                <w:iCs/>
                <w:spacing w:val="-11"/>
                <w:kern w:val="0"/>
                <w:position w:val="2"/>
                <w:sz w:val="24"/>
                <w:szCs w:val="24"/>
              </w:rPr>
              <w:t>A</w:t>
            </w:r>
            <w:r>
              <w:rPr>
                <w:rFonts w:hint="default" w:ascii="Times New Roman" w:hAnsi="Times New Roman" w:eastAsia="宋体" w:cs="Times New Roman"/>
                <w:b/>
                <w:i/>
                <w:iCs/>
                <w:spacing w:val="1"/>
                <w:kern w:val="0"/>
                <w:position w:val="-4"/>
                <w:sz w:val="24"/>
                <w:szCs w:val="24"/>
              </w:rPr>
              <w:t>g</w:t>
            </w:r>
            <w:r>
              <w:rPr>
                <w:rFonts w:hint="default" w:ascii="Times New Roman" w:hAnsi="Times New Roman" w:eastAsia="宋体" w:cs="Times New Roman"/>
                <w:b/>
                <w:i/>
                <w:iCs/>
                <w:kern w:val="0"/>
                <w:position w:val="-4"/>
                <w:sz w:val="24"/>
                <w:szCs w:val="24"/>
              </w:rPr>
              <w:t>r</w:t>
            </w:r>
            <w:r>
              <w:rPr>
                <w:rFonts w:hint="default" w:ascii="Times New Roman" w:hAnsi="Times New Roman" w:eastAsia="宋体" w:cs="Times New Roman"/>
                <w:b/>
                <w:kern w:val="0"/>
                <w:position w:val="2"/>
                <w:sz w:val="24"/>
                <w:szCs w:val="24"/>
              </w:rPr>
              <w:t>+</w:t>
            </w:r>
            <w:r>
              <w:rPr>
                <w:rFonts w:hint="default" w:ascii="Times New Roman" w:hAnsi="Times New Roman" w:eastAsia="宋体" w:cs="Times New Roman"/>
                <w:b/>
                <w:i/>
                <w:iCs/>
                <w:spacing w:val="-22"/>
                <w:kern w:val="0"/>
                <w:position w:val="2"/>
                <w:sz w:val="24"/>
                <w:szCs w:val="24"/>
              </w:rPr>
              <w:t>A</w:t>
            </w:r>
            <w:r>
              <w:rPr>
                <w:rFonts w:hint="default" w:ascii="Times New Roman" w:hAnsi="Times New Roman" w:eastAsia="宋体" w:cs="Times New Roman"/>
                <w:b/>
                <w:i/>
                <w:iCs/>
                <w:spacing w:val="1"/>
                <w:kern w:val="0"/>
                <w:position w:val="-4"/>
                <w:sz w:val="24"/>
                <w:szCs w:val="24"/>
              </w:rPr>
              <w:t>ba</w:t>
            </w:r>
            <w:r>
              <w:rPr>
                <w:rFonts w:hint="default" w:ascii="Times New Roman" w:hAnsi="Times New Roman" w:eastAsia="宋体" w:cs="Times New Roman"/>
                <w:b/>
                <w:i/>
                <w:iCs/>
                <w:kern w:val="0"/>
                <w:position w:val="-4"/>
                <w:sz w:val="24"/>
                <w:szCs w:val="24"/>
              </w:rPr>
              <w:t>r</w:t>
            </w:r>
            <w:r>
              <w:rPr>
                <w:rFonts w:hint="default" w:ascii="Times New Roman" w:hAnsi="Times New Roman" w:eastAsia="宋体" w:cs="Times New Roman"/>
                <w:b/>
                <w:kern w:val="0"/>
                <w:position w:val="2"/>
                <w:sz w:val="24"/>
                <w:szCs w:val="24"/>
              </w:rPr>
              <w:t>+</w:t>
            </w:r>
            <w:r>
              <w:rPr>
                <w:rFonts w:hint="default" w:ascii="Times New Roman" w:hAnsi="Times New Roman" w:eastAsia="宋体" w:cs="Times New Roman"/>
                <w:b/>
                <w:i/>
                <w:iCs/>
                <w:spacing w:val="-17"/>
                <w:kern w:val="0"/>
                <w:position w:val="2"/>
                <w:sz w:val="24"/>
                <w:szCs w:val="24"/>
              </w:rPr>
              <w:t>A</w:t>
            </w:r>
            <w:r>
              <w:rPr>
                <w:rFonts w:hint="default" w:ascii="Times New Roman" w:hAnsi="Times New Roman" w:eastAsia="宋体" w:cs="Times New Roman"/>
                <w:b/>
                <w:i/>
                <w:iCs/>
                <w:kern w:val="0"/>
                <w:position w:val="-4"/>
                <w:sz w:val="24"/>
                <w:szCs w:val="24"/>
              </w:rPr>
              <w:t>m</w:t>
            </w:r>
            <w:r>
              <w:rPr>
                <w:rFonts w:hint="default" w:ascii="Times New Roman" w:hAnsi="Times New Roman" w:eastAsia="宋体" w:cs="Times New Roman"/>
                <w:b/>
                <w:i/>
                <w:iCs/>
                <w:spacing w:val="2"/>
                <w:kern w:val="0"/>
                <w:position w:val="-4"/>
                <w:sz w:val="24"/>
                <w:szCs w:val="24"/>
              </w:rPr>
              <w:t>i</w:t>
            </w:r>
            <w:r>
              <w:rPr>
                <w:rFonts w:hint="default" w:ascii="Times New Roman" w:hAnsi="Times New Roman" w:eastAsia="宋体" w:cs="Times New Roman"/>
                <w:b/>
                <w:i/>
                <w:iCs/>
                <w:kern w:val="0"/>
                <w:position w:val="-4"/>
                <w:sz w:val="24"/>
                <w:szCs w:val="24"/>
              </w:rPr>
              <w:t>sc</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position w:val="-2"/>
                <w:sz w:val="24"/>
                <w:szCs w:val="24"/>
              </w:rPr>
              <w:t>式中：</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52"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spacing w:val="-7"/>
                <w:kern w:val="0"/>
                <w:position w:val="1"/>
                <w:sz w:val="24"/>
                <w:szCs w:val="24"/>
              </w:rPr>
              <w:t>L</w:t>
            </w:r>
            <w:r>
              <w:rPr>
                <w:rFonts w:hint="default" w:ascii="Times New Roman" w:hAnsi="Times New Roman" w:eastAsia="宋体" w:cs="Times New Roman"/>
                <w:i/>
                <w:iCs/>
                <w:kern w:val="0"/>
                <w:position w:val="-5"/>
                <w:sz w:val="24"/>
                <w:szCs w:val="24"/>
              </w:rPr>
              <w:t>w</w:t>
            </w:r>
            <w:r>
              <w:rPr>
                <w:rFonts w:hint="default" w:ascii="Times New Roman" w:hAnsi="Times New Roman" w:eastAsia="宋体" w:cs="Times New Roman"/>
                <w:kern w:val="0"/>
                <w:position w:val="1"/>
                <w:sz w:val="24"/>
                <w:szCs w:val="24"/>
              </w:rPr>
              <w:t>—倍频带声功率级，</w:t>
            </w:r>
            <w:r>
              <w:rPr>
                <w:rFonts w:hint="default" w:ascii="Times New Roman" w:hAnsi="Times New Roman" w:eastAsia="宋体" w:cs="Times New Roman"/>
                <w:spacing w:val="1"/>
                <w:kern w:val="0"/>
                <w:position w:val="1"/>
                <w:sz w:val="24"/>
                <w:szCs w:val="24"/>
              </w:rPr>
              <w:t>d</w:t>
            </w:r>
            <w:r>
              <w:rPr>
                <w:rFonts w:hint="default" w:ascii="Times New Roman" w:hAnsi="Times New Roman" w:eastAsia="宋体" w:cs="Times New Roman"/>
                <w:spacing w:val="-1"/>
                <w:kern w:val="0"/>
                <w:position w:val="1"/>
                <w:sz w:val="24"/>
                <w:szCs w:val="24"/>
              </w:rPr>
              <w:t>B</w:t>
            </w:r>
            <w:r>
              <w:rPr>
                <w:rFonts w:hint="default" w:ascii="Times New Roman" w:hAnsi="Times New Roman" w:eastAsia="宋体" w:cs="Times New Roman"/>
                <w:kern w:val="0"/>
                <w:position w:val="1"/>
                <w:sz w:val="24"/>
                <w:szCs w:val="24"/>
              </w:rPr>
              <w:t>；</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8"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spacing w:val="2"/>
                <w:kern w:val="0"/>
                <w:position w:val="-2"/>
                <w:sz w:val="24"/>
                <w:szCs w:val="24"/>
              </w:rPr>
              <w:t>Dc</w:t>
            </w:r>
            <w:r>
              <w:rPr>
                <w:rFonts w:hint="default" w:ascii="Times New Roman" w:hAnsi="Times New Roman" w:eastAsia="宋体" w:cs="Times New Roman"/>
                <w:spacing w:val="2"/>
                <w:kern w:val="0"/>
                <w:position w:val="-2"/>
                <w:sz w:val="24"/>
                <w:szCs w:val="24"/>
              </w:rPr>
              <w:t>—指向性</w:t>
            </w:r>
            <w:r>
              <w:rPr>
                <w:rFonts w:hint="default" w:ascii="Times New Roman" w:hAnsi="Times New Roman" w:eastAsia="宋体" w:cs="Times New Roman"/>
                <w:spacing w:val="4"/>
                <w:kern w:val="0"/>
                <w:position w:val="-2"/>
                <w:sz w:val="24"/>
                <w:szCs w:val="24"/>
              </w:rPr>
              <w:t>校</w:t>
            </w:r>
            <w:r>
              <w:rPr>
                <w:rFonts w:hint="default" w:ascii="Times New Roman" w:hAnsi="Times New Roman" w:eastAsia="宋体" w:cs="Times New Roman"/>
                <w:spacing w:val="2"/>
                <w:kern w:val="0"/>
                <w:position w:val="-2"/>
                <w:sz w:val="24"/>
                <w:szCs w:val="24"/>
              </w:rPr>
              <w:t>正，</w:t>
            </w:r>
            <w:r>
              <w:rPr>
                <w:rFonts w:hint="default" w:ascii="Times New Roman" w:hAnsi="Times New Roman" w:eastAsia="宋体" w:cs="Times New Roman"/>
                <w:spacing w:val="1"/>
                <w:kern w:val="0"/>
                <w:position w:val="-2"/>
                <w:sz w:val="24"/>
                <w:szCs w:val="24"/>
              </w:rPr>
              <w:t>d</w:t>
            </w:r>
            <w:r>
              <w:rPr>
                <w:rFonts w:hint="default" w:ascii="Times New Roman" w:hAnsi="Times New Roman" w:eastAsia="宋体" w:cs="Times New Roman"/>
                <w:spacing w:val="3"/>
                <w:kern w:val="0"/>
                <w:position w:val="-2"/>
                <w:sz w:val="24"/>
                <w:szCs w:val="24"/>
              </w:rPr>
              <w:t>B</w:t>
            </w:r>
            <w:r>
              <w:rPr>
                <w:rFonts w:hint="default" w:ascii="Times New Roman" w:hAnsi="Times New Roman" w:eastAsia="宋体" w:cs="Times New Roman"/>
                <w:spacing w:val="2"/>
                <w:kern w:val="0"/>
                <w:position w:val="-2"/>
                <w:sz w:val="24"/>
                <w:szCs w:val="24"/>
              </w:rPr>
              <w:t>；</w:t>
            </w:r>
            <w:r>
              <w:rPr>
                <w:rFonts w:hint="default" w:ascii="Times New Roman" w:hAnsi="Times New Roman" w:eastAsia="宋体" w:cs="Times New Roman"/>
                <w:sz w:val="24"/>
                <w:szCs w:val="24"/>
              </w:rPr>
              <w:t>它描述点声源的等效连续声压级与产生声功率级</w:t>
            </w:r>
            <w:r>
              <w:rPr>
                <w:rFonts w:hint="default" w:ascii="Times New Roman" w:hAnsi="Times New Roman" w:eastAsia="宋体" w:cs="Times New Roman"/>
                <w:i/>
                <w:iCs/>
                <w:spacing w:val="-9"/>
                <w:kern w:val="0"/>
                <w:position w:val="2"/>
                <w:sz w:val="24"/>
                <w:szCs w:val="24"/>
              </w:rPr>
              <w:t>L</w:t>
            </w:r>
            <w:r>
              <w:rPr>
                <w:rFonts w:hint="default" w:ascii="Times New Roman" w:hAnsi="Times New Roman" w:eastAsia="宋体" w:cs="Times New Roman"/>
                <w:i/>
                <w:iCs/>
                <w:kern w:val="0"/>
                <w:position w:val="-4"/>
                <w:sz w:val="24"/>
                <w:szCs w:val="24"/>
              </w:rPr>
              <w:t>w</w:t>
            </w:r>
            <w:r>
              <w:rPr>
                <w:rFonts w:hint="default" w:ascii="Times New Roman" w:hAnsi="Times New Roman" w:eastAsia="宋体" w:cs="Times New Roman"/>
                <w:sz w:val="24"/>
                <w:szCs w:val="24"/>
              </w:rPr>
              <w:t>的全向点声源在规定方向的级的偏差程度。指向性校正等于点声源的指向性指数</w:t>
            </w:r>
            <w:r>
              <w:rPr>
                <w:rFonts w:hint="default" w:ascii="Times New Roman" w:hAnsi="Times New Roman" w:eastAsia="宋体" w:cs="Times New Roman"/>
                <w:i/>
                <w:iCs/>
                <w:sz w:val="24"/>
                <w:szCs w:val="24"/>
              </w:rPr>
              <w:t>D</w:t>
            </w:r>
            <w:r>
              <w:rPr>
                <w:rFonts w:hint="default" w:ascii="Times New Roman" w:hAnsi="Times New Roman" w:eastAsia="宋体" w:cs="Times New Roman"/>
                <w:i/>
                <w:iCs/>
                <w:sz w:val="24"/>
                <w:szCs w:val="24"/>
                <w:vertAlign w:val="subscript"/>
              </w:rPr>
              <w:t>I</w:t>
            </w:r>
            <w:r>
              <w:rPr>
                <w:rFonts w:hint="default" w:ascii="Times New Roman" w:hAnsi="Times New Roman" w:eastAsia="宋体" w:cs="Times New Roman"/>
                <w:sz w:val="24"/>
                <w:szCs w:val="24"/>
              </w:rPr>
              <w:t>加上计到小于4π球面度（sr）立体角内的声传播指数</w:t>
            </w:r>
            <w:r>
              <w:rPr>
                <w:rFonts w:hint="default" w:ascii="Times New Roman" w:hAnsi="Times New Roman" w:eastAsia="宋体" w:cs="Times New Roman"/>
                <w:i/>
                <w:iCs/>
                <w:spacing w:val="-11"/>
                <w:kern w:val="0"/>
                <w:position w:val="2"/>
                <w:sz w:val="24"/>
                <w:szCs w:val="24"/>
              </w:rPr>
              <w:t>D</w:t>
            </w:r>
            <w:r>
              <w:rPr>
                <w:rFonts w:hint="default" w:ascii="Times New Roman" w:hAnsi="Times New Roman" w:eastAsia="宋体" w:cs="Times New Roman"/>
                <w:i/>
                <w:iCs/>
                <w:kern w:val="0"/>
                <w:position w:val="-4"/>
                <w:sz w:val="24"/>
                <w:szCs w:val="24"/>
              </w:rPr>
              <w:t>Ω</w:t>
            </w:r>
            <w:r>
              <w:rPr>
                <w:rFonts w:hint="default" w:ascii="Times New Roman" w:hAnsi="Times New Roman" w:eastAsia="宋体" w:cs="Times New Roman"/>
                <w:sz w:val="24"/>
                <w:szCs w:val="24"/>
              </w:rPr>
              <w:t>。对辐射到自由空间的全向点声源，Dc=0dB。</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kern w:val="0"/>
                <w:sz w:val="24"/>
                <w:szCs w:val="24"/>
              </w:rPr>
              <w:t>A</w:t>
            </w:r>
            <w:r>
              <w:rPr>
                <w:rFonts w:hint="default" w:ascii="Times New Roman" w:hAnsi="Times New Roman" w:eastAsia="宋体" w:cs="Times New Roman"/>
                <w:kern w:val="0"/>
                <w:sz w:val="24"/>
                <w:szCs w:val="24"/>
              </w:rPr>
              <w:t>—倍频</w:t>
            </w:r>
            <w:r>
              <w:rPr>
                <w:rFonts w:hint="default" w:ascii="Times New Roman" w:hAnsi="Times New Roman" w:eastAsia="宋体" w:cs="Times New Roman"/>
                <w:spacing w:val="-1"/>
                <w:kern w:val="0"/>
                <w:sz w:val="24"/>
                <w:szCs w:val="24"/>
              </w:rPr>
              <w:t>带</w:t>
            </w:r>
            <w:r>
              <w:rPr>
                <w:rFonts w:hint="default" w:ascii="Times New Roman" w:hAnsi="Times New Roman" w:eastAsia="宋体" w:cs="Times New Roman"/>
                <w:kern w:val="0"/>
                <w:sz w:val="24"/>
                <w:szCs w:val="24"/>
              </w:rPr>
              <w:t>衰减，</w:t>
            </w:r>
            <w:r>
              <w:rPr>
                <w:rFonts w:hint="default" w:ascii="Times New Roman" w:hAnsi="Times New Roman" w:eastAsia="宋体" w:cs="Times New Roman"/>
                <w:spacing w:val="1"/>
                <w:kern w:val="0"/>
                <w:sz w:val="24"/>
                <w:szCs w:val="24"/>
              </w:rPr>
              <w:t>d</w:t>
            </w:r>
            <w:r>
              <w:rPr>
                <w:rFonts w:hint="default" w:ascii="Times New Roman" w:hAnsi="Times New Roman" w:eastAsia="宋体" w:cs="Times New Roman"/>
                <w:kern w:val="0"/>
                <w:sz w:val="24"/>
                <w:szCs w:val="24"/>
              </w:rPr>
              <w:t>B；</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408"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spacing w:val="-18"/>
                <w:kern w:val="0"/>
                <w:sz w:val="24"/>
                <w:szCs w:val="24"/>
              </w:rPr>
              <w:t>A</w:t>
            </w:r>
            <w:r>
              <w:rPr>
                <w:rFonts w:hint="default" w:ascii="Times New Roman" w:hAnsi="Times New Roman" w:eastAsia="宋体" w:cs="Times New Roman"/>
                <w:i/>
                <w:iCs/>
                <w:spacing w:val="1"/>
                <w:kern w:val="0"/>
                <w:position w:val="-6"/>
                <w:sz w:val="24"/>
                <w:szCs w:val="24"/>
              </w:rPr>
              <w:t>di</w:t>
            </w:r>
            <w:r>
              <w:rPr>
                <w:rFonts w:hint="default" w:ascii="Times New Roman" w:hAnsi="Times New Roman" w:eastAsia="宋体" w:cs="Times New Roman"/>
                <w:i/>
                <w:iCs/>
                <w:kern w:val="0"/>
                <w:position w:val="-6"/>
                <w:sz w:val="24"/>
                <w:szCs w:val="24"/>
              </w:rPr>
              <w:t>v</w:t>
            </w:r>
            <w:r>
              <w:rPr>
                <w:rFonts w:hint="default" w:ascii="Times New Roman" w:hAnsi="Times New Roman" w:eastAsia="宋体" w:cs="Times New Roman"/>
                <w:kern w:val="0"/>
                <w:sz w:val="24"/>
                <w:szCs w:val="24"/>
              </w:rPr>
              <w:t>—几何发散引起的倍频带衰减，</w:t>
            </w:r>
            <w:r>
              <w:rPr>
                <w:rFonts w:hint="default" w:ascii="Times New Roman" w:hAnsi="Times New Roman" w:eastAsia="宋体" w:cs="Times New Roman"/>
                <w:spacing w:val="1"/>
                <w:kern w:val="0"/>
                <w:sz w:val="24"/>
                <w:szCs w:val="24"/>
              </w:rPr>
              <w:t>d</w:t>
            </w:r>
            <w:r>
              <w:rPr>
                <w:rFonts w:hint="default" w:ascii="Times New Roman" w:hAnsi="Times New Roman" w:eastAsia="宋体" w:cs="Times New Roman"/>
                <w:spacing w:val="-1"/>
                <w:kern w:val="0"/>
                <w:sz w:val="24"/>
                <w:szCs w:val="24"/>
              </w:rPr>
              <w:t>B</w:t>
            </w:r>
            <w:r>
              <w:rPr>
                <w:rFonts w:hint="default" w:ascii="Times New Roman" w:hAnsi="Times New Roman" w:eastAsia="宋体" w:cs="Times New Roman"/>
                <w:kern w:val="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396"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spacing w:val="-21"/>
                <w:kern w:val="0"/>
                <w:sz w:val="24"/>
                <w:szCs w:val="24"/>
              </w:rPr>
              <w:t>A</w:t>
            </w:r>
            <w:r>
              <w:rPr>
                <w:rFonts w:hint="default" w:ascii="Times New Roman" w:hAnsi="Times New Roman" w:eastAsia="宋体" w:cs="Times New Roman"/>
                <w:i/>
                <w:iCs/>
                <w:spacing w:val="-1"/>
                <w:kern w:val="0"/>
                <w:position w:val="-6"/>
                <w:sz w:val="24"/>
                <w:szCs w:val="24"/>
              </w:rPr>
              <w:t>a</w:t>
            </w:r>
            <w:r>
              <w:rPr>
                <w:rFonts w:hint="default" w:ascii="Times New Roman" w:hAnsi="Times New Roman" w:eastAsia="宋体" w:cs="Times New Roman"/>
                <w:i/>
                <w:iCs/>
                <w:kern w:val="0"/>
                <w:position w:val="-6"/>
                <w:sz w:val="24"/>
                <w:szCs w:val="24"/>
              </w:rPr>
              <w:t>tm</w:t>
            </w:r>
            <w:r>
              <w:rPr>
                <w:rFonts w:hint="default" w:ascii="Times New Roman" w:hAnsi="Times New Roman" w:eastAsia="宋体" w:cs="Times New Roman"/>
                <w:kern w:val="0"/>
                <w:sz w:val="24"/>
                <w:szCs w:val="24"/>
              </w:rPr>
              <w:t>—大气吸收引起的倍频带衰减，</w:t>
            </w:r>
            <w:r>
              <w:rPr>
                <w:rFonts w:hint="default" w:ascii="Times New Roman" w:hAnsi="Times New Roman" w:eastAsia="宋体" w:cs="Times New Roman"/>
                <w:spacing w:val="1"/>
                <w:kern w:val="0"/>
                <w:sz w:val="24"/>
                <w:szCs w:val="24"/>
              </w:rPr>
              <w:t>d</w:t>
            </w:r>
            <w:r>
              <w:rPr>
                <w:rFonts w:hint="default" w:ascii="Times New Roman" w:hAnsi="Times New Roman" w:eastAsia="宋体" w:cs="Times New Roman"/>
                <w:spacing w:val="-1"/>
                <w:kern w:val="0"/>
                <w:sz w:val="24"/>
                <w:szCs w:val="24"/>
              </w:rPr>
              <w:t>B</w:t>
            </w:r>
            <w:r>
              <w:rPr>
                <w:rFonts w:hint="default" w:ascii="Times New Roman" w:hAnsi="Times New Roman" w:eastAsia="宋体" w:cs="Times New Roman"/>
                <w:kern w:val="0"/>
                <w:sz w:val="24"/>
                <w:szCs w:val="24"/>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kern w:val="0"/>
                <w:sz w:val="24"/>
                <w:szCs w:val="24"/>
              </w:rPr>
              <w:t>A</w:t>
            </w:r>
            <w:r>
              <w:rPr>
                <w:rFonts w:hint="default" w:ascii="Times New Roman" w:hAnsi="Times New Roman" w:eastAsia="宋体" w:cs="Times New Roman"/>
                <w:i/>
                <w:iCs/>
                <w:spacing w:val="1"/>
                <w:kern w:val="0"/>
                <w:position w:val="-3"/>
                <w:sz w:val="24"/>
                <w:szCs w:val="24"/>
              </w:rPr>
              <w:t>g</w:t>
            </w:r>
            <w:r>
              <w:rPr>
                <w:rFonts w:hint="default" w:ascii="Times New Roman" w:hAnsi="Times New Roman" w:eastAsia="宋体" w:cs="Times New Roman"/>
                <w:i/>
                <w:iCs/>
                <w:kern w:val="0"/>
                <w:position w:val="-3"/>
                <w:sz w:val="24"/>
                <w:szCs w:val="24"/>
              </w:rPr>
              <w:t>r</w:t>
            </w:r>
            <w:r>
              <w:rPr>
                <w:rFonts w:hint="default" w:ascii="Times New Roman" w:hAnsi="Times New Roman" w:eastAsia="宋体" w:cs="Times New Roman"/>
                <w:kern w:val="0"/>
                <w:sz w:val="24"/>
                <w:szCs w:val="24"/>
              </w:rPr>
              <w:t>—地面</w:t>
            </w:r>
            <w:r>
              <w:rPr>
                <w:rFonts w:hint="default" w:ascii="Times New Roman" w:hAnsi="Times New Roman" w:eastAsia="宋体" w:cs="Times New Roman"/>
                <w:spacing w:val="-1"/>
                <w:kern w:val="0"/>
                <w:sz w:val="24"/>
                <w:szCs w:val="24"/>
              </w:rPr>
              <w:t>效</w:t>
            </w:r>
            <w:r>
              <w:rPr>
                <w:rFonts w:hint="default" w:ascii="Times New Roman" w:hAnsi="Times New Roman" w:eastAsia="宋体" w:cs="Times New Roman"/>
                <w:kern w:val="0"/>
                <w:sz w:val="24"/>
                <w:szCs w:val="24"/>
              </w:rPr>
              <w:t>应引起的倍频带衰减，</w:t>
            </w:r>
            <w:r>
              <w:rPr>
                <w:rFonts w:hint="default" w:ascii="Times New Roman" w:hAnsi="Times New Roman" w:eastAsia="宋体" w:cs="Times New Roman"/>
                <w:spacing w:val="-1"/>
                <w:kern w:val="0"/>
                <w:sz w:val="24"/>
                <w:szCs w:val="24"/>
              </w:rPr>
              <w:t>d</w:t>
            </w:r>
            <w:r>
              <w:rPr>
                <w:rFonts w:hint="default" w:ascii="Times New Roman" w:hAnsi="Times New Roman" w:eastAsia="宋体" w:cs="Times New Roman"/>
                <w:kern w:val="0"/>
                <w:sz w:val="24"/>
                <w:szCs w:val="24"/>
              </w:rPr>
              <w:t>B；</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384"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spacing w:val="-24"/>
                <w:kern w:val="0"/>
                <w:sz w:val="24"/>
                <w:szCs w:val="24"/>
              </w:rPr>
              <w:t>A</w:t>
            </w:r>
            <w:r>
              <w:rPr>
                <w:rFonts w:hint="default" w:ascii="Times New Roman" w:hAnsi="Times New Roman" w:eastAsia="宋体" w:cs="Times New Roman"/>
                <w:i/>
                <w:iCs/>
                <w:kern w:val="0"/>
                <w:position w:val="-6"/>
                <w:sz w:val="24"/>
                <w:szCs w:val="24"/>
              </w:rPr>
              <w:t>bar</w:t>
            </w:r>
            <w:r>
              <w:rPr>
                <w:rFonts w:hint="default" w:ascii="Times New Roman" w:hAnsi="Times New Roman" w:eastAsia="宋体" w:cs="Times New Roman"/>
                <w:kern w:val="0"/>
                <w:sz w:val="24"/>
                <w:szCs w:val="24"/>
              </w:rPr>
              <w:t>—声屏障</w:t>
            </w:r>
            <w:r>
              <w:rPr>
                <w:rFonts w:hint="default" w:ascii="Times New Roman" w:hAnsi="Times New Roman" w:eastAsia="宋体" w:cs="Times New Roman"/>
                <w:spacing w:val="-1"/>
                <w:kern w:val="0"/>
                <w:sz w:val="24"/>
                <w:szCs w:val="24"/>
              </w:rPr>
              <w:t>引</w:t>
            </w:r>
            <w:r>
              <w:rPr>
                <w:rFonts w:hint="default" w:ascii="Times New Roman" w:hAnsi="Times New Roman" w:eastAsia="宋体" w:cs="Times New Roman"/>
                <w:kern w:val="0"/>
                <w:sz w:val="24"/>
                <w:szCs w:val="24"/>
              </w:rPr>
              <w:t>起的倍频带衰减，</w:t>
            </w:r>
            <w:r>
              <w:rPr>
                <w:rFonts w:hint="default" w:ascii="Times New Roman" w:hAnsi="Times New Roman" w:eastAsia="宋体" w:cs="Times New Roman"/>
                <w:spacing w:val="1"/>
                <w:kern w:val="0"/>
                <w:sz w:val="24"/>
                <w:szCs w:val="24"/>
              </w:rPr>
              <w:t>d</w:t>
            </w:r>
            <w:r>
              <w:rPr>
                <w:rFonts w:hint="default" w:ascii="Times New Roman" w:hAnsi="Times New Roman" w:eastAsia="宋体" w:cs="Times New Roman"/>
                <w:kern w:val="0"/>
                <w:sz w:val="24"/>
                <w:szCs w:val="24"/>
              </w:rPr>
              <w:t>B；</w:t>
            </w:r>
          </w:p>
          <w:p>
            <w:pPr>
              <w:pStyle w:val="8"/>
              <w:keepNext w:val="0"/>
              <w:keepLines w:val="0"/>
              <w:pageBreakBefore w:val="0"/>
              <w:widowControl w:val="0"/>
              <w:kinsoku/>
              <w:wordWrap/>
              <w:overflowPunct/>
              <w:topLinePunct w:val="0"/>
              <w:bidi w:val="0"/>
              <w:adjustRightInd w:val="0"/>
              <w:snapToGrid w:val="0"/>
              <w:spacing w:line="360" w:lineRule="auto"/>
              <w:ind w:left="0" w:leftChars="0" w:right="0" w:rightChars="0" w:firstLine="54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i/>
                <w:iCs/>
                <w:sz w:val="24"/>
                <w:szCs w:val="24"/>
              </w:rPr>
              <w:t>Amisc</w:t>
            </w:r>
            <w:r>
              <w:rPr>
                <w:rFonts w:hint="default" w:ascii="Times New Roman" w:hAnsi="Times New Roman" w:eastAsia="宋体" w:cs="Times New Roman"/>
                <w:sz w:val="24"/>
                <w:szCs w:val="24"/>
              </w:rPr>
              <w:t>—其他多方面效应引起的倍频带衰减，dB。</w:t>
            </w:r>
          </w:p>
          <w:p>
            <w:pPr>
              <w:pStyle w:val="8"/>
              <w:keepNext w:val="0"/>
              <w:keepLines w:val="0"/>
              <w:pageBreakBefore w:val="0"/>
              <w:kinsoku/>
              <w:wordWrap/>
              <w:overflowPunct/>
              <w:topLinePunct w:val="0"/>
              <w:bidi w:val="0"/>
              <w:adjustRightInd w:val="0"/>
              <w:snapToGrid w:val="0"/>
              <w:spacing w:line="360" w:lineRule="auto"/>
              <w:ind w:left="0" w:leftChars="0" w:right="0" w:rightChars="0" w:firstLine="48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衰减项计算按导则8.3.3—8.3.7相关模式计算。</w:t>
            </w:r>
          </w:p>
          <w:p>
            <w:pPr>
              <w:pStyle w:val="8"/>
              <w:keepNext w:val="0"/>
              <w:keepLines w:val="0"/>
              <w:pageBreakBefore w:val="0"/>
              <w:kinsoku/>
              <w:wordWrap/>
              <w:overflowPunct/>
              <w:topLinePunct w:val="0"/>
              <w:bidi w:val="0"/>
              <w:adjustRightInd w:val="0"/>
              <w:snapToGrid w:val="0"/>
              <w:spacing w:line="360" w:lineRule="auto"/>
              <w:ind w:left="0" w:leftChars="0" w:right="0" w:rightChars="0" w:firstLine="48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如已知靠近声源处某点的倍频带声压级时，相同方向预测点位置的倍频带声压级可按下式计算：</w:t>
            </w:r>
          </w:p>
          <w:p>
            <w:pPr>
              <w:pStyle w:val="8"/>
              <w:keepNext w:val="0"/>
              <w:keepLines w:val="0"/>
              <w:pageBreakBefore w:val="0"/>
              <w:kinsoku/>
              <w:wordWrap/>
              <w:overflowPunct/>
              <w:topLinePunct w:val="0"/>
              <w:bidi w:val="0"/>
              <w:adjustRightInd w:val="0"/>
              <w:snapToGrid w:val="0"/>
              <w:spacing w:line="360" w:lineRule="auto"/>
              <w:ind w:left="0" w:leftChars="0" w:right="0" w:rightChars="0" w:firstLine="482"/>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drawing>
                <wp:inline distT="0" distB="0" distL="114300" distR="114300">
                  <wp:extent cx="1228725" cy="266700"/>
                  <wp:effectExtent l="0" t="0" r="9525" b="0"/>
                  <wp:docPr id="54" name="图片 9" descr="C:\Users\ADMINI~1\AppData\Local\Temp\ksohtml\wps62D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9" descr="C:\Users\ADMINI~1\AppData\Local\Temp\ksohtml\wps62DC.tmp.jpg"/>
                          <pic:cNvPicPr>
                            <a:picLocks noChangeAspect="1"/>
                          </pic:cNvPicPr>
                        </pic:nvPicPr>
                        <pic:blipFill>
                          <a:blip r:embed="rId29"/>
                          <a:stretch>
                            <a:fillRect/>
                          </a:stretch>
                        </pic:blipFill>
                        <pic:spPr>
                          <a:xfrm>
                            <a:off x="0" y="0"/>
                            <a:ext cx="1228725" cy="266700"/>
                          </a:xfrm>
                          <a:prstGeom prst="rect">
                            <a:avLst/>
                          </a:prstGeom>
                          <a:noFill/>
                          <a:ln>
                            <a:noFill/>
                          </a:ln>
                        </pic:spPr>
                      </pic:pic>
                    </a:graphicData>
                  </a:graphic>
                </wp:inline>
              </w:drawing>
            </w:r>
          </w:p>
          <w:p>
            <w:pPr>
              <w:pStyle w:val="8"/>
              <w:keepNext w:val="0"/>
              <w:keepLines w:val="0"/>
              <w:pageBreakBefore w:val="0"/>
              <w:kinsoku/>
              <w:wordWrap/>
              <w:overflowPunct/>
              <w:topLinePunct w:val="0"/>
              <w:bidi w:val="0"/>
              <w:adjustRightInd w:val="0"/>
              <w:snapToGrid w:val="0"/>
              <w:spacing w:line="360" w:lineRule="auto"/>
              <w:ind w:left="0" w:leftChars="0" w:right="0" w:rightChars="0" w:firstLine="48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预测点的A声级，可利用8个倍频带的声压级按下式计算：</w:t>
            </w:r>
          </w:p>
          <w:p>
            <w:pPr>
              <w:pStyle w:val="8"/>
              <w:keepNext w:val="0"/>
              <w:keepLines w:val="0"/>
              <w:pageBreakBefore w:val="0"/>
              <w:kinsoku/>
              <w:wordWrap/>
              <w:overflowPunct/>
              <w:topLinePunct w:val="0"/>
              <w:bidi w:val="0"/>
              <w:adjustRightInd w:val="0"/>
              <w:snapToGrid w:val="0"/>
              <w:spacing w:line="360" w:lineRule="auto"/>
              <w:ind w:left="0" w:leftChars="0" w:right="0" w:rightChars="0" w:firstLine="480"/>
              <w:jc w:val="center"/>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1933575" cy="466725"/>
                  <wp:effectExtent l="0" t="0" r="9525" b="9525"/>
                  <wp:docPr id="55" name="图片 10" descr="C:\Users\ADMINI~1\AppData\Local\Temp\ksohtml\wps630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descr="C:\Users\ADMINI~1\AppData\Local\Temp\ksohtml\wps630C.tmp.jpg"/>
                          <pic:cNvPicPr>
                            <a:picLocks noChangeAspect="1"/>
                          </pic:cNvPicPr>
                        </pic:nvPicPr>
                        <pic:blipFill>
                          <a:blip r:embed="rId30"/>
                          <a:stretch>
                            <a:fillRect/>
                          </a:stretch>
                        </pic:blipFill>
                        <pic:spPr>
                          <a:xfrm>
                            <a:off x="0" y="0"/>
                            <a:ext cx="1933575" cy="466725"/>
                          </a:xfrm>
                          <a:prstGeom prst="rect">
                            <a:avLst/>
                          </a:prstGeom>
                          <a:noFill/>
                          <a:ln>
                            <a:noFill/>
                          </a:ln>
                        </pic:spPr>
                      </pic:pic>
                    </a:graphicData>
                  </a:graphic>
                </wp:inline>
              </w:drawing>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式中：</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kern w:val="0"/>
                <w:sz w:val="24"/>
                <w:szCs w:val="24"/>
              </w:rPr>
              <w:t>L</w:t>
            </w:r>
            <w:r>
              <w:rPr>
                <w:rFonts w:hint="default" w:ascii="Times New Roman" w:hAnsi="Times New Roman" w:eastAsia="宋体" w:cs="Times New Roman"/>
                <w:i/>
                <w:iCs/>
                <w:kern w:val="0"/>
                <w:sz w:val="24"/>
                <w:szCs w:val="24"/>
                <w:vertAlign w:val="subscript"/>
              </w:rPr>
              <w:t>Pi</w:t>
            </w:r>
            <w:r>
              <w:rPr>
                <w:rFonts w:hint="default" w:ascii="Times New Roman" w:hAnsi="Times New Roman" w:eastAsia="宋体" w:cs="Times New Roman"/>
                <w:i/>
                <w:iCs/>
                <w:kern w:val="0"/>
                <w:sz w:val="24"/>
                <w:szCs w:val="24"/>
              </w:rPr>
              <w:t>(r)</w:t>
            </w:r>
            <w:r>
              <w:rPr>
                <w:rFonts w:hint="default" w:ascii="Times New Roman" w:hAnsi="Times New Roman" w:eastAsia="宋体" w:cs="Times New Roman"/>
                <w:kern w:val="0"/>
                <w:sz w:val="24"/>
                <w:szCs w:val="24"/>
              </w:rPr>
              <w:t>—预测点（r）处，第i倍频带声压级，dB；</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Δ</w:t>
            </w:r>
            <w:r>
              <w:rPr>
                <w:rFonts w:hint="default" w:ascii="Times New Roman" w:hAnsi="Times New Roman" w:eastAsia="宋体" w:cs="Times New Roman"/>
                <w:i/>
                <w:iCs/>
                <w:kern w:val="0"/>
                <w:sz w:val="24"/>
                <w:szCs w:val="24"/>
              </w:rPr>
              <w:t>L</w:t>
            </w:r>
            <w:r>
              <w:rPr>
                <w:rFonts w:hint="default" w:ascii="Times New Roman" w:hAnsi="Times New Roman" w:eastAsia="宋体" w:cs="Times New Roman"/>
                <w:i/>
                <w:iCs/>
                <w:kern w:val="0"/>
                <w:sz w:val="24"/>
                <w:szCs w:val="24"/>
                <w:vertAlign w:val="subscript"/>
              </w:rPr>
              <w:t>i</w:t>
            </w:r>
            <w:r>
              <w:rPr>
                <w:rFonts w:hint="default" w:ascii="Times New Roman" w:hAnsi="Times New Roman" w:eastAsia="宋体" w:cs="Times New Roman"/>
                <w:kern w:val="0"/>
                <w:sz w:val="24"/>
                <w:szCs w:val="24"/>
              </w:rPr>
              <w:t>—i倍频带A计权网络修正值，dB（见导则附录B）。</w:t>
            </w:r>
          </w:p>
          <w:p>
            <w:pPr>
              <w:pStyle w:val="8"/>
              <w:keepNext w:val="0"/>
              <w:keepLines w:val="0"/>
              <w:pageBreakBefore w:val="0"/>
              <w:kinsoku/>
              <w:wordWrap/>
              <w:overflowPunct/>
              <w:topLinePunct w:val="0"/>
              <w:bidi w:val="0"/>
              <w:adjustRightInd w:val="0"/>
              <w:snapToGrid w:val="0"/>
              <w:spacing w:line="360" w:lineRule="auto"/>
              <w:ind w:left="0" w:leftChars="0" w:right="0" w:rightChars="0" w:firstLine="48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在不能取得声源倍频带声功率级或倍频带声压级，只能获得A声功率级或某点的A声级时，可按以下公式作近似计算：</w:t>
            </w:r>
          </w:p>
          <w:p>
            <w:pPr>
              <w:pStyle w:val="8"/>
              <w:keepNext w:val="0"/>
              <w:keepLines w:val="0"/>
              <w:pageBreakBefore w:val="0"/>
              <w:kinsoku/>
              <w:wordWrap/>
              <w:overflowPunct/>
              <w:topLinePunct w:val="0"/>
              <w:bidi w:val="0"/>
              <w:adjustRightInd w:val="0"/>
              <w:snapToGrid w:val="0"/>
              <w:spacing w:line="360" w:lineRule="auto"/>
              <w:ind w:left="0" w:leftChars="0" w:right="0" w:rightChars="0" w:firstLine="2835" w:firstLineChars="105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1295400" cy="238125"/>
                  <wp:effectExtent l="0" t="0" r="0" b="9525"/>
                  <wp:docPr id="4" name="图片 11" descr="C:\Users\ADMINI~1\AppData\Local\Temp\ksohtml\wps630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C:\Users\ADMINI~1\AppData\Local\Temp\ksohtml\wps630D.tmp.jpg"/>
                          <pic:cNvPicPr>
                            <a:picLocks noChangeAspect="1"/>
                          </pic:cNvPicPr>
                        </pic:nvPicPr>
                        <pic:blipFill>
                          <a:blip r:embed="rId31"/>
                          <a:stretch>
                            <a:fillRect/>
                          </a:stretch>
                        </pic:blipFill>
                        <pic:spPr>
                          <a:xfrm>
                            <a:off x="0" y="0"/>
                            <a:ext cx="1295400" cy="238125"/>
                          </a:xfrm>
                          <a:prstGeom prst="rect">
                            <a:avLst/>
                          </a:prstGeom>
                          <a:noFill/>
                          <a:ln>
                            <a:noFill/>
                          </a:ln>
                        </pic:spPr>
                      </pic:pic>
                    </a:graphicData>
                  </a:graphic>
                </wp:inline>
              </w:drawing>
            </w:r>
          </w:p>
          <w:p>
            <w:pPr>
              <w:pStyle w:val="8"/>
              <w:keepNext w:val="0"/>
              <w:keepLines w:val="0"/>
              <w:pageBreakBefore w:val="0"/>
              <w:kinsoku/>
              <w:wordWrap/>
              <w:overflowPunct/>
              <w:topLinePunct w:val="0"/>
              <w:bidi w:val="0"/>
              <w:adjustRightInd w:val="0"/>
              <w:snapToGrid w:val="0"/>
              <w:spacing w:line="360" w:lineRule="auto"/>
              <w:ind w:left="0" w:leftChars="0" w:right="0" w:rightChars="0" w:firstLine="2565" w:firstLineChars="95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或</w:t>
            </w:r>
            <w:r>
              <w:rPr>
                <w:rFonts w:hint="default" w:ascii="Times New Roman" w:hAnsi="Times New Roman" w:eastAsia="宋体" w:cs="Times New Roman"/>
                <w:sz w:val="24"/>
                <w:szCs w:val="24"/>
              </w:rPr>
              <w:drawing>
                <wp:inline distT="0" distB="0" distL="114300" distR="114300">
                  <wp:extent cx="1209675" cy="219075"/>
                  <wp:effectExtent l="0" t="0" r="9525" b="9525"/>
                  <wp:docPr id="56" name="图片 12" descr="C:\Users\ADMINI~1\AppData\Local\Temp\ksohtml\wps630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2" descr="C:\Users\ADMINI~1\AppData\Local\Temp\ksohtml\wps630E.tmp.jpg"/>
                          <pic:cNvPicPr>
                            <a:picLocks noChangeAspect="1"/>
                          </pic:cNvPicPr>
                        </pic:nvPicPr>
                        <pic:blipFill>
                          <a:blip r:embed="rId32"/>
                          <a:stretch>
                            <a:fillRect/>
                          </a:stretch>
                        </pic:blipFill>
                        <pic:spPr>
                          <a:xfrm>
                            <a:off x="0" y="0"/>
                            <a:ext cx="1209675" cy="219075"/>
                          </a:xfrm>
                          <a:prstGeom prst="rect">
                            <a:avLst/>
                          </a:prstGeom>
                          <a:noFill/>
                          <a:ln>
                            <a:noFill/>
                          </a:ln>
                        </pic:spPr>
                      </pic:pic>
                    </a:graphicData>
                  </a:graphic>
                </wp:inline>
              </w:drawing>
            </w:r>
          </w:p>
          <w:p>
            <w:pPr>
              <w:pStyle w:val="8"/>
              <w:keepNext w:val="0"/>
              <w:keepLines w:val="0"/>
              <w:pageBreakBefore w:val="0"/>
              <w:kinsoku/>
              <w:wordWrap/>
              <w:overflowPunct/>
              <w:topLinePunct w:val="0"/>
              <w:bidi w:val="0"/>
              <w:adjustRightInd w:val="0"/>
              <w:snapToGrid w:val="0"/>
              <w:spacing w:line="360" w:lineRule="auto"/>
              <w:ind w:left="0" w:leftChars="0" w:right="0" w:rightChars="0" w:firstLine="48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i/>
                <w:iCs/>
                <w:sz w:val="24"/>
                <w:szCs w:val="24"/>
              </w:rPr>
              <w:t>A</w:t>
            </w:r>
            <w:r>
              <w:rPr>
                <w:rFonts w:hint="default" w:ascii="Times New Roman" w:hAnsi="Times New Roman" w:eastAsia="宋体" w:cs="Times New Roman"/>
                <w:sz w:val="24"/>
                <w:szCs w:val="24"/>
              </w:rPr>
              <w:t>可选择对A声级影响最大的倍频带计算，一般可选中心频率为500Hz的倍频带作估算。</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eastAsia" w:ascii="Times New Roman" w:hAnsi="Times New Roman" w:eastAsia="宋体" w:cs="Times New Roman"/>
                <w:sz w:val="24"/>
                <w:szCs w:val="24"/>
                <w:lang w:val="en-US" w:eastAsia="zh-CN"/>
              </w:rPr>
              <w:t>②</w:t>
            </w:r>
            <w:r>
              <w:rPr>
                <w:rFonts w:hint="default" w:ascii="Times New Roman" w:hAnsi="Times New Roman" w:eastAsia="宋体" w:cs="Times New Roman"/>
                <w:sz w:val="24"/>
                <w:szCs w:val="24"/>
              </w:rPr>
              <w:t>靠近声源处的预测点噪声预测模式</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如预测点在靠近声源处，但不能满足点声源条件时，需按线声源或面声源模式计算。</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③</w:t>
            </w:r>
            <w:r>
              <w:rPr>
                <w:rFonts w:hint="default" w:ascii="Times New Roman" w:hAnsi="Times New Roman" w:eastAsia="宋体" w:cs="Times New Roman"/>
                <w:sz w:val="24"/>
                <w:szCs w:val="24"/>
              </w:rPr>
              <w:t>噪声贡献值计算</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设第</w:t>
            </w:r>
            <w:r>
              <w:rPr>
                <w:rFonts w:hint="default" w:ascii="Times New Roman" w:hAnsi="Times New Roman" w:eastAsia="宋体" w:cs="Times New Roman"/>
                <w:i/>
                <w:iCs/>
                <w:sz w:val="24"/>
                <w:szCs w:val="24"/>
              </w:rPr>
              <w:t>i</w:t>
            </w:r>
            <w:r>
              <w:rPr>
                <w:rFonts w:hint="default" w:ascii="Times New Roman" w:hAnsi="Times New Roman" w:eastAsia="宋体" w:cs="Times New Roman"/>
                <w:sz w:val="24"/>
                <w:szCs w:val="24"/>
              </w:rPr>
              <w:t>个室外声源在预测点产生的A声级为</w:t>
            </w:r>
            <w:r>
              <w:rPr>
                <w:rFonts w:hint="default" w:ascii="Times New Roman" w:hAnsi="Times New Roman" w:eastAsia="宋体" w:cs="Times New Roman"/>
                <w:i/>
                <w:iCs/>
                <w:sz w:val="24"/>
                <w:szCs w:val="24"/>
              </w:rPr>
              <w:t>L</w:t>
            </w:r>
            <w:r>
              <w:rPr>
                <w:rFonts w:hint="default" w:ascii="Times New Roman" w:hAnsi="Times New Roman" w:eastAsia="宋体" w:cs="Times New Roman"/>
                <w:i/>
                <w:iCs/>
                <w:sz w:val="24"/>
                <w:szCs w:val="24"/>
                <w:vertAlign w:val="subscript"/>
              </w:rPr>
              <w:t>Ai</w:t>
            </w:r>
            <w:r>
              <w:rPr>
                <w:rFonts w:hint="default" w:ascii="Times New Roman" w:hAnsi="Times New Roman" w:eastAsia="宋体" w:cs="Times New Roman"/>
                <w:sz w:val="24"/>
                <w:szCs w:val="24"/>
              </w:rPr>
              <w:t>，在</w:t>
            </w:r>
            <w:r>
              <w:rPr>
                <w:rFonts w:hint="default" w:ascii="Times New Roman" w:hAnsi="Times New Roman" w:eastAsia="宋体" w:cs="Times New Roman"/>
                <w:i/>
                <w:iCs/>
                <w:sz w:val="24"/>
                <w:szCs w:val="24"/>
              </w:rPr>
              <w:t xml:space="preserve">T </w:t>
            </w:r>
            <w:r>
              <w:rPr>
                <w:rFonts w:hint="default" w:ascii="Times New Roman" w:hAnsi="Times New Roman" w:eastAsia="宋体" w:cs="Times New Roman"/>
                <w:sz w:val="24"/>
                <w:szCs w:val="24"/>
              </w:rPr>
              <w:t>时间内该声源工作时间为</w:t>
            </w:r>
            <w:r>
              <w:rPr>
                <w:rFonts w:hint="default" w:ascii="Times New Roman" w:hAnsi="Times New Roman" w:eastAsia="宋体" w:cs="Times New Roman"/>
                <w:i/>
                <w:iCs/>
                <w:sz w:val="24"/>
                <w:szCs w:val="24"/>
              </w:rPr>
              <w:t>t</w:t>
            </w:r>
            <w:r>
              <w:rPr>
                <w:rFonts w:hint="default" w:ascii="Times New Roman" w:hAnsi="Times New Roman" w:eastAsia="宋体" w:cs="Times New Roman"/>
                <w:i/>
                <w:iCs/>
                <w:sz w:val="24"/>
                <w:szCs w:val="24"/>
                <w:vertAlign w:val="subscript"/>
              </w:rPr>
              <w:t>i</w:t>
            </w:r>
            <w:r>
              <w:rPr>
                <w:rFonts w:hint="default" w:ascii="Times New Roman" w:hAnsi="Times New Roman" w:eastAsia="宋体" w:cs="Times New Roman"/>
                <w:sz w:val="24"/>
                <w:szCs w:val="24"/>
              </w:rPr>
              <w:t>；第</w:t>
            </w:r>
            <w:r>
              <w:rPr>
                <w:rFonts w:hint="default" w:ascii="Times New Roman" w:hAnsi="Times New Roman" w:eastAsia="宋体" w:cs="Times New Roman"/>
                <w:i/>
                <w:iCs/>
                <w:sz w:val="24"/>
                <w:szCs w:val="24"/>
              </w:rPr>
              <w:t>j</w:t>
            </w:r>
            <w:r>
              <w:rPr>
                <w:rFonts w:hint="default" w:ascii="Times New Roman" w:hAnsi="Times New Roman" w:eastAsia="宋体" w:cs="Times New Roman"/>
                <w:sz w:val="24"/>
                <w:szCs w:val="24"/>
              </w:rPr>
              <w:t>个等效室外声源在预测点产生的A声级为</w:t>
            </w:r>
            <w:r>
              <w:rPr>
                <w:rFonts w:hint="default" w:ascii="Times New Roman" w:hAnsi="Times New Roman" w:eastAsia="宋体" w:cs="Times New Roman"/>
                <w:i/>
                <w:iCs/>
                <w:sz w:val="24"/>
                <w:szCs w:val="24"/>
              </w:rPr>
              <w:t>L</w:t>
            </w:r>
            <w:r>
              <w:rPr>
                <w:rFonts w:hint="default" w:ascii="Times New Roman" w:hAnsi="Times New Roman" w:eastAsia="宋体" w:cs="Times New Roman"/>
                <w:i/>
                <w:iCs/>
                <w:sz w:val="24"/>
                <w:szCs w:val="24"/>
                <w:vertAlign w:val="subscript"/>
              </w:rPr>
              <w:t>Aj</w:t>
            </w:r>
            <w:r>
              <w:rPr>
                <w:rFonts w:hint="default" w:ascii="Times New Roman" w:hAnsi="Times New Roman" w:eastAsia="宋体" w:cs="Times New Roman"/>
                <w:sz w:val="24"/>
                <w:szCs w:val="24"/>
              </w:rPr>
              <w:t>，在</w:t>
            </w:r>
            <w:r>
              <w:rPr>
                <w:rFonts w:hint="default" w:ascii="Times New Roman" w:hAnsi="Times New Roman" w:eastAsia="宋体" w:cs="Times New Roman"/>
                <w:i/>
                <w:iCs/>
                <w:sz w:val="24"/>
                <w:szCs w:val="24"/>
              </w:rPr>
              <w:t xml:space="preserve">T </w:t>
            </w:r>
            <w:r>
              <w:rPr>
                <w:rFonts w:hint="default" w:ascii="Times New Roman" w:hAnsi="Times New Roman" w:eastAsia="宋体" w:cs="Times New Roman"/>
                <w:sz w:val="24"/>
                <w:szCs w:val="24"/>
              </w:rPr>
              <w:t>时间内该声源工作时间为</w:t>
            </w:r>
            <w:r>
              <w:rPr>
                <w:rFonts w:hint="default" w:ascii="Times New Roman" w:hAnsi="Times New Roman" w:eastAsia="宋体" w:cs="Times New Roman"/>
                <w:i/>
                <w:iCs/>
                <w:sz w:val="24"/>
                <w:szCs w:val="24"/>
              </w:rPr>
              <w:t>t</w:t>
            </w:r>
            <w:r>
              <w:rPr>
                <w:rFonts w:hint="default" w:ascii="Times New Roman" w:hAnsi="Times New Roman" w:eastAsia="宋体" w:cs="Times New Roman"/>
                <w:i/>
                <w:iCs/>
                <w:sz w:val="24"/>
                <w:szCs w:val="24"/>
                <w:vertAlign w:val="subscript"/>
              </w:rPr>
              <w:t>j</w:t>
            </w:r>
            <w:r>
              <w:rPr>
                <w:rFonts w:hint="default" w:ascii="Times New Roman" w:hAnsi="Times New Roman" w:eastAsia="宋体" w:cs="Times New Roman"/>
                <w:sz w:val="24"/>
                <w:szCs w:val="24"/>
              </w:rPr>
              <w:t>，则拟建工程声源对预测点产生的贡献值（</w:t>
            </w:r>
            <w:r>
              <w:rPr>
                <w:rFonts w:hint="default" w:ascii="Times New Roman" w:hAnsi="Times New Roman" w:eastAsia="宋体" w:cs="Times New Roman"/>
                <w:i/>
                <w:iCs/>
                <w:sz w:val="24"/>
                <w:szCs w:val="24"/>
              </w:rPr>
              <w:t>Leqg</w:t>
            </w:r>
            <w:r>
              <w:rPr>
                <w:rFonts w:hint="default" w:ascii="Times New Roman" w:hAnsi="Times New Roman" w:eastAsia="宋体" w:cs="Times New Roman"/>
                <w:sz w:val="24"/>
                <w:szCs w:val="24"/>
              </w:rPr>
              <w:t>）为：</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jc w:val="center"/>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drawing>
                <wp:inline distT="0" distB="0" distL="114300" distR="114300">
                  <wp:extent cx="2914650" cy="514350"/>
                  <wp:effectExtent l="0" t="0" r="0" b="0"/>
                  <wp:docPr id="3" name="图片 13" descr="C:\Users\ADMINI~1\AppData\Local\Temp\ksohtml\wps633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C:\Users\ADMINI~1\AppData\Local\Temp\ksohtml\wps6334.tmp.jpg"/>
                          <pic:cNvPicPr>
                            <a:picLocks noChangeAspect="1"/>
                          </pic:cNvPicPr>
                        </pic:nvPicPr>
                        <pic:blipFill>
                          <a:blip r:embed="rId33"/>
                          <a:stretch>
                            <a:fillRect/>
                          </a:stretch>
                        </pic:blipFill>
                        <pic:spPr>
                          <a:xfrm>
                            <a:off x="0" y="0"/>
                            <a:ext cx="2914650" cy="514350"/>
                          </a:xfrm>
                          <a:prstGeom prst="rect">
                            <a:avLst/>
                          </a:prstGeom>
                          <a:noFill/>
                          <a:ln>
                            <a:noFill/>
                          </a:ln>
                        </pic:spPr>
                      </pic:pic>
                    </a:graphicData>
                  </a:graphic>
                </wp:inline>
              </w:drawing>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式中：</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kern w:val="0"/>
                <w:sz w:val="24"/>
                <w:szCs w:val="24"/>
              </w:rPr>
              <w:t>t</w:t>
            </w:r>
            <w:r>
              <w:rPr>
                <w:rFonts w:hint="default" w:ascii="Times New Roman" w:hAnsi="Times New Roman" w:eastAsia="宋体" w:cs="Times New Roman"/>
                <w:i/>
                <w:iCs/>
                <w:kern w:val="0"/>
                <w:sz w:val="24"/>
                <w:szCs w:val="24"/>
                <w:vertAlign w:val="subscript"/>
              </w:rPr>
              <w:t>j</w:t>
            </w:r>
            <w:r>
              <w:rPr>
                <w:rFonts w:hint="default" w:ascii="Times New Roman" w:hAnsi="Times New Roman" w:eastAsia="宋体" w:cs="Times New Roman"/>
                <w:kern w:val="0"/>
                <w:sz w:val="24"/>
                <w:szCs w:val="24"/>
              </w:rPr>
              <w:t>—在T时间内 j声源工作时间，s；</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i/>
                <w:iCs/>
                <w:kern w:val="0"/>
                <w:sz w:val="24"/>
                <w:szCs w:val="24"/>
              </w:rPr>
              <w:t>t</w:t>
            </w:r>
            <w:r>
              <w:rPr>
                <w:rFonts w:hint="default" w:ascii="Times New Roman" w:hAnsi="Times New Roman" w:eastAsia="宋体" w:cs="Times New Roman"/>
                <w:i/>
                <w:iCs/>
                <w:kern w:val="0"/>
                <w:sz w:val="24"/>
                <w:szCs w:val="24"/>
                <w:vertAlign w:val="subscript"/>
              </w:rPr>
              <w:t>i</w:t>
            </w:r>
            <w:r>
              <w:rPr>
                <w:rFonts w:hint="default" w:ascii="Times New Roman" w:hAnsi="Times New Roman" w:eastAsia="宋体" w:cs="Times New Roman"/>
                <w:kern w:val="0"/>
                <w:sz w:val="24"/>
                <w:szCs w:val="24"/>
              </w:rPr>
              <w:t>—在T时间内i声源工作时间，s；</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T—用于计算等效声级的时间，s；</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N—室外声源个数；</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M—等效室外声源个数。</w:t>
            </w:r>
          </w:p>
          <w:p>
            <w:pPr>
              <w:pStyle w:val="8"/>
              <w:keepNext w:val="0"/>
              <w:keepLines w:val="0"/>
              <w:pageBreakBefore w:val="0"/>
              <w:kinsoku/>
              <w:wordWrap/>
              <w:overflowPunct/>
              <w:topLinePunct w:val="0"/>
              <w:bidi w:val="0"/>
              <w:adjustRightInd w:val="0"/>
              <w:snapToGrid w:val="0"/>
              <w:spacing w:line="360" w:lineRule="auto"/>
              <w:ind w:left="0" w:leftChars="0" w:right="0" w:rightChars="0" w:firstLine="480"/>
              <w:textAlignment w:val="auto"/>
              <w:outlineLvl w:val="9"/>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④</w:t>
            </w:r>
            <w:r>
              <w:rPr>
                <w:rFonts w:hint="default" w:ascii="Times New Roman" w:hAnsi="Times New Roman" w:eastAsia="宋体" w:cs="Times New Roman"/>
                <w:sz w:val="24"/>
                <w:szCs w:val="24"/>
              </w:rPr>
              <w:t>预测点的预测等效声级计算</w:t>
            </w:r>
          </w:p>
          <w:p>
            <w:pPr>
              <w:pStyle w:val="8"/>
              <w:keepNext w:val="0"/>
              <w:keepLines w:val="0"/>
              <w:pageBreakBefore w:val="0"/>
              <w:kinsoku/>
              <w:wordWrap/>
              <w:overflowPunct/>
              <w:topLinePunct w:val="0"/>
              <w:bidi w:val="0"/>
              <w:adjustRightInd w:val="0"/>
              <w:snapToGrid w:val="0"/>
              <w:spacing w:line="360" w:lineRule="auto"/>
              <w:ind w:left="0" w:leftChars="0" w:right="0" w:rightChars="0" w:firstLine="48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考虑到背景噪声的影响，受声点声压级预测值L</w:t>
            </w:r>
            <w:r>
              <w:rPr>
                <w:rFonts w:hint="default" w:ascii="Times New Roman" w:hAnsi="Times New Roman" w:eastAsia="宋体" w:cs="Times New Roman"/>
                <w:sz w:val="24"/>
                <w:szCs w:val="24"/>
                <w:vertAlign w:val="subscript"/>
              </w:rPr>
              <w:t>eq</w:t>
            </w:r>
            <w:r>
              <w:rPr>
                <w:rFonts w:hint="default" w:ascii="Times New Roman" w:hAnsi="Times New Roman" w:eastAsia="宋体" w:cs="Times New Roman"/>
                <w:sz w:val="24"/>
                <w:szCs w:val="24"/>
              </w:rPr>
              <w:t>为：</w:t>
            </w:r>
          </w:p>
          <w:p>
            <w:pPr>
              <w:keepNext w:val="0"/>
              <w:keepLines w:val="0"/>
              <w:pageBreakBefore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1790700" cy="266700"/>
                  <wp:effectExtent l="0" t="0" r="0" b="0"/>
                  <wp:docPr id="57" name="图片 14" descr="C:\Users\ADMINI~1\AppData\Local\Temp\ksohtml\wps633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4" descr="C:\Users\ADMINI~1\AppData\Local\Temp\ksohtml\wps6335.tmp.png"/>
                          <pic:cNvPicPr>
                            <a:picLocks noChangeAspect="1"/>
                          </pic:cNvPicPr>
                        </pic:nvPicPr>
                        <pic:blipFill>
                          <a:blip r:embed="rId34"/>
                          <a:stretch>
                            <a:fillRect/>
                          </a:stretch>
                        </pic:blipFill>
                        <pic:spPr>
                          <a:xfrm>
                            <a:off x="0" y="0"/>
                            <a:ext cx="1790700" cy="266700"/>
                          </a:xfrm>
                          <a:prstGeom prst="rect">
                            <a:avLst/>
                          </a:prstGeom>
                          <a:noFill/>
                          <a:ln>
                            <a:noFill/>
                          </a:ln>
                        </pic:spPr>
                      </pic:pic>
                    </a:graphicData>
                  </a:graphic>
                </wp:inline>
              </w:drawing>
            </w:r>
          </w:p>
          <w:p>
            <w:pPr>
              <w:keepNext w:val="0"/>
              <w:keepLines w:val="0"/>
              <w:pageBreakBefore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式中：</w:t>
            </w:r>
          </w:p>
          <w:p>
            <w:pPr>
              <w:keepNext w:val="0"/>
              <w:keepLines w:val="0"/>
              <w:pageBreakBefore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i/>
                <w:iCs/>
                <w:sz w:val="24"/>
                <w:szCs w:val="24"/>
              </w:rPr>
              <w:t>L</w:t>
            </w:r>
            <w:r>
              <w:rPr>
                <w:rFonts w:hint="default" w:ascii="Times New Roman" w:hAnsi="Times New Roman" w:eastAsia="宋体" w:cs="Times New Roman"/>
                <w:i/>
                <w:iCs/>
                <w:sz w:val="24"/>
                <w:szCs w:val="24"/>
                <w:vertAlign w:val="subscript"/>
              </w:rPr>
              <w:t>eq</w:t>
            </w:r>
            <w:r>
              <w:rPr>
                <w:rFonts w:hint="default" w:ascii="Times New Roman" w:hAnsi="Times New Roman" w:eastAsia="宋体" w:cs="Times New Roman"/>
                <w:sz w:val="24"/>
                <w:szCs w:val="24"/>
              </w:rPr>
              <w:t>—建设项目声源在预测点的等效声级贡献值，dB(A)；</w:t>
            </w:r>
          </w:p>
          <w:p>
            <w:pPr>
              <w:keepNext w:val="0"/>
              <w:keepLines w:val="0"/>
              <w:pageBreakBefore w:val="0"/>
              <w:widowControl/>
              <w:kinsoku/>
              <w:wordWrap/>
              <w:overflowPunct/>
              <w:topLinePunct w:val="0"/>
              <w:bidi w:val="0"/>
              <w:adjustRightInd w:val="0"/>
              <w:snapToGrid w:val="0"/>
              <w:spacing w:line="360" w:lineRule="auto"/>
              <w:ind w:left="0" w:leftChars="0" w:right="0" w:rightChars="0" w:firstLine="480" w:firstLineChars="200"/>
              <w:jc w:val="left"/>
              <w:textAlignment w:val="auto"/>
              <w:outlineLvl w:val="9"/>
              <w:rPr>
                <w:rFonts w:hint="default" w:ascii="Times New Roman" w:hAnsi="Times New Roman" w:eastAsia="宋体" w:cs="Times New Roman"/>
                <w:spacing w:val="6"/>
                <w:sz w:val="24"/>
                <w:szCs w:val="24"/>
              </w:rPr>
            </w:pPr>
            <w:r>
              <w:rPr>
                <w:rFonts w:hint="default" w:ascii="Times New Roman" w:hAnsi="Times New Roman" w:eastAsia="宋体" w:cs="Times New Roman"/>
                <w:i/>
                <w:iCs/>
                <w:sz w:val="24"/>
                <w:szCs w:val="24"/>
              </w:rPr>
              <w:t>L</w:t>
            </w:r>
            <w:r>
              <w:rPr>
                <w:rFonts w:hint="default" w:ascii="Times New Roman" w:hAnsi="Times New Roman" w:eastAsia="宋体" w:cs="Times New Roman"/>
                <w:i/>
                <w:iCs/>
                <w:sz w:val="24"/>
                <w:szCs w:val="24"/>
                <w:vertAlign w:val="subscript"/>
              </w:rPr>
              <w:t>eqb</w:t>
            </w:r>
            <w:r>
              <w:rPr>
                <w:rFonts w:hint="default" w:ascii="Times New Roman" w:hAnsi="Times New Roman" w:eastAsia="宋体" w:cs="Times New Roman"/>
                <w:sz w:val="24"/>
                <w:szCs w:val="24"/>
              </w:rPr>
              <w:t>—预测点的背景值，dB(A)。</w:t>
            </w:r>
          </w:p>
          <w:p>
            <w:pPr>
              <w:keepNext w:val="0"/>
              <w:keepLines w:val="0"/>
              <w:pageBreakBefore w:val="0"/>
              <w:kinsoku/>
              <w:wordWrap/>
              <w:overflowPunct/>
              <w:topLinePunct w:val="0"/>
              <w:bidi w:val="0"/>
              <w:adjustRightInd w:val="0"/>
              <w:snapToGrid w:val="0"/>
              <w:spacing w:line="360" w:lineRule="auto"/>
              <w:ind w:left="0" w:leftChars="0" w:right="0" w:rightChars="0" w:firstLine="480" w:firstLineChars="200"/>
              <w:textAlignment w:val="auto"/>
              <w:outlineLvl w:val="9"/>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采用EIAN20噪声预测软件进行预测计算，对</w:t>
            </w:r>
            <w:r>
              <w:rPr>
                <w:rFonts w:hint="default" w:ascii="Times New Roman" w:hAnsi="Times New Roman" w:eastAsia="宋体" w:cs="Times New Roman"/>
                <w:color w:val="000000"/>
                <w:sz w:val="24"/>
                <w:szCs w:val="24"/>
                <w:lang w:eastAsia="zh-CN"/>
              </w:rPr>
              <w:t>项目区</w:t>
            </w:r>
            <w:r>
              <w:rPr>
                <w:rFonts w:hint="default" w:ascii="Times New Roman" w:hAnsi="Times New Roman" w:eastAsia="宋体" w:cs="Times New Roman"/>
                <w:color w:val="000000"/>
                <w:sz w:val="24"/>
                <w:szCs w:val="24"/>
              </w:rPr>
              <w:t>运营期昼间及夜间的厂界噪声进行预测评价，预测结果见表</w:t>
            </w:r>
            <w:r>
              <w:rPr>
                <w:rFonts w:hint="eastAsia" w:ascii="Times New Roman" w:hAnsi="Times New Roman" w:cs="Times New Roman"/>
                <w:color w:val="000000"/>
                <w:sz w:val="24"/>
                <w:szCs w:val="24"/>
                <w:lang w:val="en-US" w:eastAsia="zh-CN"/>
              </w:rPr>
              <w:t>4-1</w:t>
            </w:r>
            <w:r>
              <w:rPr>
                <w:rFonts w:hint="eastAsia" w:cs="Times New Roman"/>
                <w:color w:val="000000"/>
                <w:sz w:val="24"/>
                <w:szCs w:val="24"/>
                <w:lang w:val="en-US" w:eastAsia="zh-CN"/>
              </w:rPr>
              <w:t>4</w:t>
            </w:r>
            <w:r>
              <w:rPr>
                <w:rFonts w:hint="default" w:ascii="Times New Roman" w:hAnsi="Times New Roman" w:eastAsia="宋体" w:cs="Times New Roman"/>
                <w:color w:val="000000"/>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2" w:firstLineChars="200"/>
              <w:jc w:val="center"/>
              <w:textAlignment w:val="auto"/>
              <w:outlineLvl w:val="9"/>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w:t>
            </w:r>
            <w:r>
              <w:rPr>
                <w:rFonts w:hint="eastAsia" w:ascii="Times New Roman" w:hAnsi="Times New Roman" w:cs="Times New Roman"/>
                <w:b/>
                <w:color w:val="000000"/>
                <w:sz w:val="24"/>
                <w:szCs w:val="24"/>
                <w:lang w:val="en-US" w:eastAsia="zh-CN"/>
              </w:rPr>
              <w:t>4-1</w:t>
            </w:r>
            <w:r>
              <w:rPr>
                <w:rFonts w:hint="eastAsia" w:cs="Times New Roman"/>
                <w:b/>
                <w:color w:val="000000"/>
                <w:sz w:val="24"/>
                <w:szCs w:val="24"/>
                <w:lang w:val="en-US" w:eastAsia="zh-CN"/>
              </w:rPr>
              <w:t>4</w:t>
            </w:r>
            <w:r>
              <w:rPr>
                <w:rFonts w:hint="default" w:ascii="Times New Roman" w:hAnsi="Times New Roman" w:eastAsia="宋体" w:cs="Times New Roman"/>
                <w:b/>
                <w:color w:val="000000"/>
                <w:sz w:val="24"/>
                <w:szCs w:val="24"/>
                <w:lang w:val="en-US" w:eastAsia="zh-CN"/>
              </w:rPr>
              <w:t xml:space="preserve">     </w:t>
            </w:r>
            <w:r>
              <w:rPr>
                <w:rFonts w:hint="default" w:ascii="Times New Roman" w:hAnsi="Times New Roman" w:eastAsia="宋体" w:cs="Times New Roman"/>
                <w:b/>
                <w:color w:val="000000"/>
                <w:sz w:val="24"/>
                <w:szCs w:val="24"/>
              </w:rPr>
              <w:t>环境噪声预测结果</w:t>
            </w:r>
            <w:r>
              <w:rPr>
                <w:rFonts w:hint="default" w:ascii="Times New Roman" w:hAnsi="Times New Roman" w:eastAsia="宋体" w:cs="Times New Roman"/>
                <w:b/>
                <w:color w:val="000000"/>
                <w:sz w:val="24"/>
                <w:szCs w:val="24"/>
                <w:lang w:val="en-US" w:eastAsia="zh-CN"/>
              </w:rPr>
              <w:t xml:space="preserve">     </w:t>
            </w:r>
            <w:r>
              <w:rPr>
                <w:rFonts w:hint="default" w:ascii="Times New Roman" w:hAnsi="Times New Roman" w:eastAsia="宋体" w:cs="Times New Roman"/>
                <w:b/>
                <w:color w:val="000000"/>
                <w:sz w:val="24"/>
                <w:szCs w:val="24"/>
              </w:rPr>
              <w:t>单位：dB(A)</w:t>
            </w:r>
          </w:p>
          <w:tbl>
            <w:tblPr>
              <w:tblStyle w:val="28"/>
              <w:tblW w:w="9257" w:type="dxa"/>
              <w:jc w:val="center"/>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108" w:type="dxa"/>
                <w:bottom w:w="0" w:type="dxa"/>
                <w:right w:w="108" w:type="dxa"/>
              </w:tblCellMar>
            </w:tblPr>
            <w:tblGrid>
              <w:gridCol w:w="714"/>
              <w:gridCol w:w="1075"/>
              <w:gridCol w:w="937"/>
              <w:gridCol w:w="1739"/>
              <w:gridCol w:w="1400"/>
              <w:gridCol w:w="877"/>
              <w:gridCol w:w="2515"/>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98" w:hRule="atLeast"/>
                <w:jc w:val="center"/>
              </w:trPr>
              <w:tc>
                <w:tcPr>
                  <w:tcW w:w="178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color w:val="000000"/>
                      <w:sz w:val="21"/>
                      <w:szCs w:val="21"/>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3175</wp:posOffset>
                            </wp:positionV>
                            <wp:extent cx="998855" cy="495300"/>
                            <wp:effectExtent l="1905" t="4445" r="8890" b="14605"/>
                            <wp:wrapNone/>
                            <wp:docPr id="58" name="直接连接符 58"/>
                            <wp:cNvGraphicFramePr/>
                            <a:graphic xmlns:a="http://schemas.openxmlformats.org/drawingml/2006/main">
                              <a:graphicData uri="http://schemas.microsoft.com/office/word/2010/wordprocessingShape">
                                <wps:wsp>
                                  <wps:cNvCnPr/>
                                  <wps:spPr>
                                    <a:xfrm>
                                      <a:off x="0" y="0"/>
                                      <a:ext cx="998855" cy="4953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2pt;margin-top:0.25pt;height:39pt;width:78.65pt;z-index:251665408;mso-width-relative:page;mso-height-relative:page;" filled="f" stroked="t" coordsize="21600,21600" o:gfxdata="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ud9EjWAAAABwEAAA8AAAAAAAAAAQAgAAAAIgAAAGRycy9kb3ducmV2&#10;LnhtbFBLAQIUABQAAAAIAIdO4kAvO/nO/gEAAPgDAAAOAAAAAAAAAAEAIAAAACUBAABkcnMvZTJv&#10;RG9jLnhtbFBLBQYAAAAABgAGAFkBAACVBQAAAAA=&#10;">
                            <v:fill on="f" focussize="0,0"/>
                            <v:stroke color="#000000" joinstyle="round"/>
                            <v:imagedata o:title=""/>
                            <o:lock v:ext="edit" aspectratio="f"/>
                          </v:line>
                        </w:pict>
                      </mc:Fallback>
                    </mc:AlternateContent>
                  </w:r>
                  <w:r>
                    <w:rPr>
                      <w:rFonts w:hint="default" w:ascii="Times New Roman" w:hAnsi="Times New Roman" w:cs="Times New Roman"/>
                      <w:b/>
                      <w:color w:val="000000"/>
                      <w:sz w:val="21"/>
                      <w:szCs w:val="21"/>
                      <w:lang w:val="en-US" w:eastAsia="zh-CN"/>
                    </w:rPr>
                    <w:t xml:space="preserve">      </w:t>
                  </w:r>
                  <w:r>
                    <w:rPr>
                      <w:rFonts w:hint="default" w:ascii="Times New Roman" w:hAnsi="Times New Roman" w:cs="Times New Roman"/>
                      <w:b/>
                      <w:color w:val="000000"/>
                      <w:sz w:val="21"/>
                      <w:szCs w:val="21"/>
                    </w:rPr>
                    <w:t>项目</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cs="Times New Roman"/>
                      <w:b/>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点位</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时间</w:t>
                  </w:r>
                </w:p>
              </w:tc>
              <w:tc>
                <w:tcPr>
                  <w:tcW w:w="1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项目贡献值</w:t>
                  </w:r>
                </w:p>
              </w:tc>
              <w:tc>
                <w:tcPr>
                  <w:tcW w:w="1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超标情况</w:t>
                  </w:r>
                </w:p>
              </w:tc>
              <w:tc>
                <w:tcPr>
                  <w:tcW w:w="339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执行标准</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714"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cs="Times New Roman"/>
                      <w:color w:val="000000"/>
                      <w:sz w:val="21"/>
                      <w:szCs w:val="21"/>
                      <w:lang w:eastAsia="zh-CN"/>
                    </w:rPr>
                    <w:t>采矿区</w:t>
                  </w:r>
                </w:p>
              </w:tc>
              <w:tc>
                <w:tcPr>
                  <w:tcW w:w="10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厂界东</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48</w:t>
                  </w:r>
                  <w:r>
                    <w:rPr>
                      <w:rFonts w:hint="eastAsia"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lang w:val="en-US" w:eastAsia="zh-CN"/>
                    </w:rPr>
                    <w:t>8</w:t>
                  </w:r>
                </w:p>
              </w:tc>
              <w:tc>
                <w:tcPr>
                  <w:tcW w:w="1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8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华文中宋" w:cs="Times New Roman"/>
                      <w:color w:val="000000"/>
                      <w:sz w:val="21"/>
                      <w:szCs w:val="21"/>
                      <w:lang w:val="en-US" w:eastAsia="zh-CN"/>
                    </w:rPr>
                  </w:pPr>
                  <w:r>
                    <w:rPr>
                      <w:rFonts w:hint="default" w:ascii="Times New Roman" w:hAnsi="Times New Roman" w:eastAsia="华文中宋" w:cs="Times New Roman"/>
                      <w:color w:val="000000"/>
                      <w:sz w:val="21"/>
                      <w:szCs w:val="21"/>
                      <w:lang w:val="en-US" w:eastAsia="zh-CN"/>
                    </w:rPr>
                    <w:t>60</w:t>
                  </w:r>
                </w:p>
              </w:tc>
              <w:tc>
                <w:tcPr>
                  <w:tcW w:w="251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《工业企业厂界环境噪声排放标准》（GB12348-2008）</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rPr>
                    <w:t>2类标准</w:t>
                  </w:r>
                  <w:r>
                    <w:rPr>
                      <w:rFonts w:hint="default" w:ascii="Times New Roman" w:hAnsi="Times New Roman" w:cs="Times New Roman"/>
                      <w:color w:val="000000"/>
                      <w:kern w:val="0"/>
                      <w:sz w:val="21"/>
                      <w:szCs w:val="21"/>
                      <w:lang w:eastAsia="zh-CN"/>
                    </w:rPr>
                    <w:t>限值</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华文中宋"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71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c>
                <w:tcPr>
                  <w:tcW w:w="10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厂界南</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eastAsia" w:cs="Times New Roman"/>
                      <w:color w:val="000000"/>
                      <w:sz w:val="21"/>
                      <w:szCs w:val="21"/>
                      <w:lang w:val="en-US" w:eastAsia="zh-CN"/>
                    </w:rPr>
                    <w:t>42</w:t>
                  </w:r>
                  <w:r>
                    <w:rPr>
                      <w:rFonts w:hint="default" w:ascii="Times New Roman" w:hAnsi="Times New Roman" w:cs="Times New Roman"/>
                      <w:color w:val="000000"/>
                      <w:sz w:val="21"/>
                      <w:szCs w:val="21"/>
                      <w:lang w:val="en-US" w:eastAsia="zh-CN"/>
                    </w:rPr>
                    <w:t>.0</w:t>
                  </w:r>
                </w:p>
              </w:tc>
              <w:tc>
                <w:tcPr>
                  <w:tcW w:w="1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8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60</w:t>
                  </w:r>
                </w:p>
              </w:tc>
              <w:tc>
                <w:tcPr>
                  <w:tcW w:w="25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379" w:hRule="atLeast"/>
                <w:jc w:val="center"/>
              </w:trPr>
              <w:tc>
                <w:tcPr>
                  <w:tcW w:w="71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c>
                <w:tcPr>
                  <w:tcW w:w="10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厂界西</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45</w:t>
                  </w:r>
                  <w:r>
                    <w:rPr>
                      <w:rFonts w:hint="default" w:ascii="Times New Roman" w:hAnsi="Times New Roman" w:cs="Times New Roman"/>
                      <w:color w:val="000000"/>
                      <w:sz w:val="21"/>
                      <w:szCs w:val="21"/>
                      <w:lang w:val="en-US" w:eastAsia="zh-CN"/>
                    </w:rPr>
                    <w:t>.3</w:t>
                  </w:r>
                </w:p>
              </w:tc>
              <w:tc>
                <w:tcPr>
                  <w:tcW w:w="1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8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60</w:t>
                  </w:r>
                </w:p>
              </w:tc>
              <w:tc>
                <w:tcPr>
                  <w:tcW w:w="25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1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c>
                <w:tcPr>
                  <w:tcW w:w="10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厂界北</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eastAsia="zh-CN"/>
                    </w:rPr>
                  </w:pPr>
                  <w:r>
                    <w:rPr>
                      <w:rFonts w:hint="eastAsia" w:cs="Times New Roman"/>
                      <w:color w:val="000000"/>
                      <w:sz w:val="21"/>
                      <w:szCs w:val="21"/>
                      <w:lang w:val="en-US" w:eastAsia="zh-CN"/>
                    </w:rPr>
                    <w:t>46</w:t>
                  </w:r>
                  <w:r>
                    <w:rPr>
                      <w:rFonts w:hint="eastAsia"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lang w:val="en-US" w:eastAsia="zh-CN"/>
                    </w:rPr>
                    <w:t>5</w:t>
                  </w:r>
                </w:p>
              </w:tc>
              <w:tc>
                <w:tcPr>
                  <w:tcW w:w="1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8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60</w:t>
                  </w:r>
                </w:p>
              </w:tc>
              <w:tc>
                <w:tcPr>
                  <w:tcW w:w="25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14"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cs="Times New Roman"/>
                      <w:color w:val="000000"/>
                      <w:sz w:val="21"/>
                      <w:szCs w:val="21"/>
                      <w:lang w:eastAsia="zh-CN"/>
                    </w:rPr>
                    <w:t>加工区</w:t>
                  </w:r>
                </w:p>
              </w:tc>
              <w:tc>
                <w:tcPr>
                  <w:tcW w:w="10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厂界东</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sz w:val="21"/>
                      <w:szCs w:val="21"/>
                      <w:lang w:val="en-US" w:eastAsia="zh-CN"/>
                    </w:rPr>
                  </w:pPr>
                  <w:r>
                    <w:rPr>
                      <w:rFonts w:hint="eastAsia" w:cs="Times New Roman"/>
                      <w:color w:val="000000"/>
                      <w:sz w:val="21"/>
                      <w:szCs w:val="21"/>
                      <w:lang w:val="en-US" w:eastAsia="zh-CN"/>
                    </w:rPr>
                    <w:t>4</w:t>
                  </w:r>
                  <w:r>
                    <w:rPr>
                      <w:rFonts w:hint="eastAsia" w:ascii="Times New Roman" w:hAnsi="Times New Roman" w:cs="Times New Roman"/>
                      <w:color w:val="000000"/>
                      <w:sz w:val="21"/>
                      <w:szCs w:val="21"/>
                      <w:lang w:val="en-US" w:eastAsia="zh-CN"/>
                    </w:rPr>
                    <w:t>5.</w:t>
                  </w:r>
                  <w:r>
                    <w:rPr>
                      <w:rFonts w:hint="default" w:ascii="Times New Roman" w:hAnsi="Times New Roman" w:cs="Times New Roman"/>
                      <w:color w:val="000000"/>
                      <w:sz w:val="21"/>
                      <w:szCs w:val="21"/>
                      <w:lang w:val="en-US" w:eastAsia="zh-CN"/>
                    </w:rPr>
                    <w:t>8</w:t>
                  </w:r>
                </w:p>
              </w:tc>
              <w:tc>
                <w:tcPr>
                  <w:tcW w:w="1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8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eastAsia="华文中宋" w:cs="Times New Roman"/>
                      <w:color w:val="000000"/>
                      <w:sz w:val="21"/>
                      <w:szCs w:val="21"/>
                      <w:lang w:val="en-US" w:eastAsia="zh-CN"/>
                    </w:rPr>
                    <w:t>60</w:t>
                  </w:r>
                </w:p>
              </w:tc>
              <w:tc>
                <w:tcPr>
                  <w:tcW w:w="25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1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c>
                <w:tcPr>
                  <w:tcW w:w="10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厂界南</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sz w:val="21"/>
                      <w:szCs w:val="21"/>
                      <w:lang w:val="en-US" w:eastAsia="zh-CN"/>
                    </w:rPr>
                  </w:pPr>
                  <w:r>
                    <w:rPr>
                      <w:rFonts w:hint="eastAsia" w:cs="Times New Roman"/>
                      <w:color w:val="000000"/>
                      <w:sz w:val="21"/>
                      <w:szCs w:val="21"/>
                      <w:lang w:val="en-US" w:eastAsia="zh-CN"/>
                    </w:rPr>
                    <w:t>3</w:t>
                  </w:r>
                  <w:r>
                    <w:rPr>
                      <w:rFonts w:hint="eastAsia" w:ascii="Times New Roman" w:hAnsi="Times New Roman" w:cs="Times New Roman"/>
                      <w:color w:val="000000"/>
                      <w:sz w:val="21"/>
                      <w:szCs w:val="21"/>
                      <w:lang w:val="en-US" w:eastAsia="zh-CN"/>
                    </w:rPr>
                    <w:t>8</w:t>
                  </w:r>
                  <w:r>
                    <w:rPr>
                      <w:rFonts w:hint="default" w:ascii="Times New Roman" w:hAnsi="Times New Roman" w:cs="Times New Roman"/>
                      <w:color w:val="000000"/>
                      <w:sz w:val="21"/>
                      <w:szCs w:val="21"/>
                      <w:lang w:val="en-US" w:eastAsia="zh-CN"/>
                    </w:rPr>
                    <w:t>.0</w:t>
                  </w:r>
                </w:p>
              </w:tc>
              <w:tc>
                <w:tcPr>
                  <w:tcW w:w="1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8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60</w:t>
                  </w:r>
                </w:p>
              </w:tc>
              <w:tc>
                <w:tcPr>
                  <w:tcW w:w="25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1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c>
                <w:tcPr>
                  <w:tcW w:w="10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厂界西</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sz w:val="21"/>
                      <w:szCs w:val="21"/>
                      <w:lang w:val="en-US" w:eastAsia="zh-CN"/>
                    </w:rPr>
                  </w:pPr>
                  <w:r>
                    <w:rPr>
                      <w:rFonts w:hint="eastAsia" w:cs="Times New Roman"/>
                      <w:color w:val="000000"/>
                      <w:sz w:val="21"/>
                      <w:szCs w:val="21"/>
                      <w:lang w:val="en-US" w:eastAsia="zh-CN"/>
                    </w:rPr>
                    <w:t>4</w:t>
                  </w:r>
                  <w:r>
                    <w:rPr>
                      <w:rFonts w:hint="eastAsia" w:ascii="Times New Roman" w:hAnsi="Times New Roman" w:cs="Times New Roman"/>
                      <w:color w:val="000000"/>
                      <w:sz w:val="21"/>
                      <w:szCs w:val="21"/>
                      <w:lang w:val="en-US" w:eastAsia="zh-CN"/>
                    </w:rPr>
                    <w:t>1</w:t>
                  </w:r>
                  <w:r>
                    <w:rPr>
                      <w:rFonts w:hint="default" w:ascii="Times New Roman" w:hAnsi="Times New Roman" w:cs="Times New Roman"/>
                      <w:color w:val="000000"/>
                      <w:sz w:val="21"/>
                      <w:szCs w:val="21"/>
                      <w:lang w:val="en-US" w:eastAsia="zh-CN"/>
                    </w:rPr>
                    <w:t>.3</w:t>
                  </w:r>
                </w:p>
              </w:tc>
              <w:tc>
                <w:tcPr>
                  <w:tcW w:w="1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8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60</w:t>
                  </w:r>
                </w:p>
              </w:tc>
              <w:tc>
                <w:tcPr>
                  <w:tcW w:w="25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14"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c>
                <w:tcPr>
                  <w:tcW w:w="107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厂界北</w:t>
                  </w:r>
                </w:p>
              </w:tc>
              <w:tc>
                <w:tcPr>
                  <w:tcW w:w="9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昼间</w:t>
                  </w:r>
                </w:p>
              </w:tc>
              <w:tc>
                <w:tcPr>
                  <w:tcW w:w="17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sz w:val="21"/>
                      <w:szCs w:val="21"/>
                      <w:lang w:val="en-US" w:eastAsia="zh-CN"/>
                    </w:rPr>
                  </w:pPr>
                  <w:r>
                    <w:rPr>
                      <w:rFonts w:hint="eastAsia" w:cs="Times New Roman"/>
                      <w:color w:val="000000"/>
                      <w:sz w:val="21"/>
                      <w:szCs w:val="21"/>
                      <w:lang w:val="en-US" w:eastAsia="zh-CN"/>
                    </w:rPr>
                    <w:t>43</w:t>
                  </w:r>
                  <w:r>
                    <w:rPr>
                      <w:rFonts w:hint="eastAsia" w:ascii="Times New Roman" w:hAnsi="Times New Roman" w:cs="Times New Roman"/>
                      <w:color w:val="000000"/>
                      <w:sz w:val="21"/>
                      <w:szCs w:val="21"/>
                      <w:lang w:val="en-US" w:eastAsia="zh-CN"/>
                    </w:rPr>
                    <w:t>.</w:t>
                  </w:r>
                  <w:r>
                    <w:rPr>
                      <w:rFonts w:hint="default" w:ascii="Times New Roman" w:hAnsi="Times New Roman" w:cs="Times New Roman"/>
                      <w:color w:val="000000"/>
                      <w:sz w:val="21"/>
                      <w:szCs w:val="21"/>
                      <w:lang w:val="en-US" w:eastAsia="zh-CN"/>
                    </w:rPr>
                    <w:t>5</w:t>
                  </w:r>
                </w:p>
              </w:tc>
              <w:tc>
                <w:tcPr>
                  <w:tcW w:w="1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0</w:t>
                  </w:r>
                </w:p>
              </w:tc>
              <w:tc>
                <w:tcPr>
                  <w:tcW w:w="87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lang w:val="en-US" w:eastAsia="zh-CN"/>
                    </w:rPr>
                    <w:t>60</w:t>
                  </w:r>
                </w:p>
              </w:tc>
              <w:tc>
                <w:tcPr>
                  <w:tcW w:w="251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sz w:val="21"/>
                      <w:szCs w:val="21"/>
                    </w:rPr>
                  </w:pPr>
                </w:p>
              </w:tc>
            </w:tr>
          </w:tbl>
          <w:p>
            <w:pPr>
              <w:adjustRightInd w:val="0"/>
              <w:snapToGrid w:val="0"/>
              <w:spacing w:line="360" w:lineRule="auto"/>
              <w:ind w:firstLine="482"/>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⑶预测结果</w:t>
            </w:r>
          </w:p>
          <w:p>
            <w:pPr>
              <w:autoSpaceDE w:val="0"/>
              <w:autoSpaceDN w:val="0"/>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color w:val="000000"/>
                <w:kern w:val="0"/>
                <w:sz w:val="24"/>
                <w:szCs w:val="24"/>
              </w:rPr>
              <w:t>由</w:t>
            </w:r>
            <w:r>
              <w:rPr>
                <w:rFonts w:hint="default" w:ascii="Times New Roman" w:hAnsi="Times New Roman" w:eastAsia="宋体" w:cs="Times New Roman"/>
                <w:color w:val="000000"/>
                <w:kern w:val="0"/>
                <w:sz w:val="24"/>
                <w:szCs w:val="24"/>
                <w:lang w:eastAsia="zh-CN"/>
              </w:rPr>
              <w:t>上表</w:t>
            </w:r>
            <w:r>
              <w:rPr>
                <w:rFonts w:hint="default" w:ascii="Times New Roman" w:hAnsi="Times New Roman" w:eastAsia="宋体" w:cs="Times New Roman"/>
                <w:color w:val="000000"/>
                <w:kern w:val="0"/>
                <w:sz w:val="24"/>
                <w:szCs w:val="24"/>
              </w:rPr>
              <w:t>可以看出，全厂噪声源对周围声环境影响情况为：厂界昼间噪声贡献值为：</w:t>
            </w:r>
            <w:r>
              <w:rPr>
                <w:rFonts w:hint="eastAsia" w:ascii="Times New Roman" w:hAnsi="Times New Roman" w:eastAsia="宋体" w:cs="Times New Roman"/>
                <w:color w:val="000000"/>
                <w:kern w:val="0"/>
                <w:sz w:val="24"/>
                <w:szCs w:val="24"/>
                <w:lang w:val="en-US" w:eastAsia="zh-CN"/>
              </w:rPr>
              <w:t>38.0</w:t>
            </w:r>
            <w:r>
              <w:rPr>
                <w:rFonts w:hint="default"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lang w:val="en-US" w:eastAsia="zh-CN"/>
              </w:rPr>
              <w:t>4</w:t>
            </w:r>
            <w:r>
              <w:rPr>
                <w:rFonts w:hint="eastAsia" w:cs="Times New Roman"/>
                <w:color w:val="000000"/>
                <w:kern w:val="0"/>
                <w:sz w:val="24"/>
                <w:szCs w:val="24"/>
                <w:lang w:val="en-US" w:eastAsia="zh-CN"/>
              </w:rPr>
              <w:t>8.8</w:t>
            </w:r>
            <w:r>
              <w:rPr>
                <w:rFonts w:hint="default" w:ascii="Times New Roman" w:hAnsi="Times New Roman" w:eastAsia="宋体" w:cs="Times New Roman"/>
                <w:color w:val="000000"/>
                <w:kern w:val="0"/>
                <w:sz w:val="24"/>
                <w:szCs w:val="24"/>
              </w:rPr>
              <w:t>dB(A)，本项目夜间不生产，昼、夜间厂界噪声值均符合《工业企业厂界环境噪声排放标准》（GB12348-2008）2</w:t>
            </w:r>
            <w:r>
              <w:rPr>
                <w:rFonts w:hint="default" w:ascii="Times New Roman" w:hAnsi="Times New Roman" w:eastAsia="宋体" w:cs="Times New Roman"/>
                <w:color w:val="000000"/>
                <w:kern w:val="0"/>
                <w:sz w:val="24"/>
                <w:szCs w:val="24"/>
                <w:lang w:val="en-US" w:eastAsia="zh-CN"/>
              </w:rPr>
              <w:t>类</w:t>
            </w:r>
            <w:r>
              <w:rPr>
                <w:rFonts w:hint="default" w:ascii="Times New Roman" w:hAnsi="Times New Roman" w:eastAsia="宋体" w:cs="Times New Roman"/>
                <w:color w:val="000000"/>
                <w:kern w:val="0"/>
                <w:sz w:val="24"/>
                <w:szCs w:val="24"/>
              </w:rPr>
              <w:t>标准</w:t>
            </w:r>
            <w:r>
              <w:rPr>
                <w:rFonts w:hint="default" w:ascii="Times New Roman" w:hAnsi="Times New Roman" w:eastAsia="宋体" w:cs="Times New Roman"/>
                <w:color w:val="000000"/>
                <w:kern w:val="0"/>
                <w:sz w:val="24"/>
                <w:szCs w:val="24"/>
                <w:lang w:eastAsia="zh-CN"/>
              </w:rPr>
              <w:t>限值要求</w:t>
            </w:r>
            <w:r>
              <w:rPr>
                <w:rFonts w:hint="default" w:ascii="Times New Roman" w:hAnsi="Times New Roman" w:eastAsia="宋体" w:cs="Times New Roman"/>
                <w:color w:val="000000"/>
                <w:kern w:val="0"/>
                <w:sz w:val="24"/>
                <w:szCs w:val="24"/>
              </w:rPr>
              <w:t>。因此，总体来说项目运营后噪声对周围环境影响</w:t>
            </w:r>
            <w:r>
              <w:rPr>
                <w:rFonts w:hint="default" w:ascii="Times New Roman" w:hAnsi="Times New Roman" w:eastAsia="宋体" w:cs="Times New Roman"/>
                <w:color w:val="000000"/>
                <w:kern w:val="0"/>
                <w:sz w:val="24"/>
                <w:szCs w:val="24"/>
                <w:lang w:eastAsia="zh-CN"/>
              </w:rPr>
              <w:t>较小</w:t>
            </w:r>
            <w:r>
              <w:rPr>
                <w:rFonts w:hint="default" w:ascii="Times New Roman" w:hAnsi="Times New Roman" w:eastAsia="宋体" w:cs="Times New Roman"/>
                <w:color w:val="000000"/>
                <w:kern w:val="0"/>
                <w:sz w:val="24"/>
                <w:szCs w:val="24"/>
              </w:rPr>
              <w:t>。</w:t>
            </w:r>
          </w:p>
          <w:p>
            <w:pPr>
              <w:adjustRightInd w:val="0"/>
              <w:snapToGrid w:val="0"/>
              <w:spacing w:line="360" w:lineRule="auto"/>
              <w:ind w:firstLine="482"/>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⑷运输车辆噪声影响分析</w:t>
            </w:r>
          </w:p>
          <w:p>
            <w:pPr>
              <w:adjustRightInd w:val="0"/>
              <w:snapToGrid w:val="0"/>
              <w:spacing w:line="360" w:lineRule="auto"/>
              <w:ind w:firstLine="482"/>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运输噪声的影响大小通常与车辆类型、路面状况、声屏障、鸣笛与否等因素有关。如果路面状况较差，道路两侧无声屏障，车辆经常鸣笛，则影响范围较大。</w:t>
            </w:r>
          </w:p>
          <w:p>
            <w:pPr>
              <w:adjustRightInd w:val="0"/>
              <w:snapToGrid w:val="0"/>
              <w:spacing w:line="360" w:lineRule="auto"/>
              <w:ind w:firstLine="482"/>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①内部运输</w:t>
            </w:r>
          </w:p>
          <w:p>
            <w:pPr>
              <w:adjustRightInd w:val="0"/>
              <w:snapToGrid w:val="0"/>
              <w:spacing w:line="360" w:lineRule="auto"/>
              <w:ind w:firstLine="482"/>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本项目各工业场地之间不经过环境敏感点，对声环境影响较小。</w:t>
            </w:r>
          </w:p>
          <w:p>
            <w:pPr>
              <w:adjustRightInd w:val="0"/>
              <w:snapToGrid w:val="0"/>
              <w:spacing w:line="360" w:lineRule="auto"/>
              <w:ind w:firstLine="482"/>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②外部运输</w:t>
            </w:r>
          </w:p>
          <w:p>
            <w:pPr>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项目产品外运道路依托</w:t>
            </w:r>
            <w:r>
              <w:rPr>
                <w:rFonts w:hint="default" w:ascii="Times New Roman" w:hAnsi="Times New Roman" w:eastAsia="宋体" w:cs="Times New Roman"/>
                <w:color w:val="auto"/>
                <w:sz w:val="24"/>
                <w:highlight w:val="none"/>
                <w:lang w:eastAsia="zh-CN"/>
              </w:rPr>
              <w:t>兰海高速</w:t>
            </w:r>
            <w:r>
              <w:rPr>
                <w:rFonts w:hint="default" w:ascii="Times New Roman" w:hAnsi="Times New Roman" w:eastAsia="宋体" w:cs="Times New Roman"/>
                <w:color w:val="auto"/>
                <w:sz w:val="24"/>
                <w:highlight w:val="none"/>
              </w:rPr>
              <w:t>，且不经过环境敏感点，对环境影响较小。</w:t>
            </w:r>
          </w:p>
          <w:p>
            <w:pPr>
              <w:pStyle w:val="12"/>
              <w:keepNext w:val="0"/>
              <w:keepLines w:val="0"/>
              <w:pageBreakBefore w:val="0"/>
              <w:widowControl w:val="0"/>
              <w:kinsoku/>
              <w:wordWrap/>
              <w:overflowPunct/>
              <w:topLinePunct w:val="0"/>
              <w:autoSpaceDE w:val="0"/>
              <w:autoSpaceDN w:val="0"/>
              <w:bidi w:val="0"/>
              <w:adjustRightInd w:val="0"/>
              <w:snapToGrid w:val="0"/>
              <w:spacing w:before="0" w:after="0" w:line="360" w:lineRule="auto"/>
              <w:ind w:right="0"/>
              <w:jc w:val="both"/>
              <w:textAlignment w:val="auto"/>
              <w:rPr>
                <w:rFonts w:hint="default"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6、</w:t>
            </w:r>
            <w:r>
              <w:rPr>
                <w:rFonts w:hint="default" w:ascii="Times New Roman" w:hAnsi="Times New Roman" w:eastAsia="宋体" w:cs="Times New Roman"/>
                <w:b/>
                <w:bCs/>
                <w:color w:val="auto"/>
                <w:sz w:val="24"/>
                <w:szCs w:val="24"/>
                <w:highlight w:val="none"/>
                <w:lang w:val="en-US" w:eastAsia="zh-CN"/>
              </w:rPr>
              <w:t xml:space="preserve"> 固体废物</w:t>
            </w:r>
            <w:r>
              <w:rPr>
                <w:rFonts w:hint="eastAsia" w:ascii="Times New Roman" w:hAnsi="Times New Roman" w:eastAsia="宋体" w:cs="Times New Roman"/>
                <w:b/>
                <w:bCs/>
                <w:color w:val="auto"/>
                <w:sz w:val="24"/>
                <w:szCs w:val="24"/>
                <w:highlight w:val="none"/>
                <w:lang w:val="en-US" w:eastAsia="zh-CN"/>
              </w:rPr>
              <w:t>环境影响评价</w:t>
            </w:r>
          </w:p>
          <w:p>
            <w:pPr>
              <w:pStyle w:val="12"/>
              <w:widowControl w:val="0"/>
              <w:autoSpaceDE w:val="0"/>
              <w:autoSpaceDN w:val="0"/>
              <w:adjustRightInd w:val="0"/>
              <w:spacing w:before="0" w:after="0" w:line="360" w:lineRule="auto"/>
              <w:ind w:right="0" w:firstLine="480" w:firstLineChars="200"/>
              <w:rPr>
                <w:color w:val="auto"/>
                <w:spacing w:val="-2"/>
                <w:sz w:val="24"/>
                <w:szCs w:val="24"/>
                <w:highlight w:val="none"/>
              </w:rPr>
            </w:pPr>
            <w:r>
              <w:rPr>
                <w:color w:val="auto"/>
                <w:sz w:val="24"/>
                <w:szCs w:val="24"/>
                <w:highlight w:val="none"/>
              </w:rPr>
              <w:t>本项目运营期间固体废物主要</w:t>
            </w:r>
            <w:r>
              <w:rPr>
                <w:rFonts w:hint="eastAsia"/>
                <w:color w:val="auto"/>
                <w:sz w:val="24"/>
                <w:szCs w:val="24"/>
                <w:highlight w:val="none"/>
              </w:rPr>
              <w:t>包括</w:t>
            </w:r>
            <w:r>
              <w:rPr>
                <w:rFonts w:hint="eastAsia"/>
                <w:color w:val="auto"/>
                <w:sz w:val="24"/>
                <w:szCs w:val="24"/>
                <w:highlight w:val="none"/>
                <w:lang w:eastAsia="zh-CN"/>
              </w:rPr>
              <w:t>采矿区的表土、</w:t>
            </w:r>
            <w:r>
              <w:rPr>
                <w:rFonts w:hint="eastAsia"/>
                <w:color w:val="auto"/>
                <w:sz w:val="24"/>
                <w:szCs w:val="24"/>
                <w:highlight w:val="none"/>
              </w:rPr>
              <w:t>沉淀池产生的底泥</w:t>
            </w:r>
            <w:r>
              <w:rPr>
                <w:rFonts w:hint="eastAsia"/>
                <w:color w:val="auto"/>
                <w:sz w:val="24"/>
                <w:szCs w:val="24"/>
                <w:highlight w:val="none"/>
                <w:lang w:eastAsia="zh-CN"/>
              </w:rPr>
              <w:t>、</w:t>
            </w:r>
            <w:r>
              <w:rPr>
                <w:rFonts w:hint="eastAsia"/>
                <w:color w:val="auto"/>
                <w:sz w:val="24"/>
                <w:szCs w:val="24"/>
                <w:highlight w:val="none"/>
              </w:rPr>
              <w:t>设备维护产生的废机油、</w:t>
            </w:r>
            <w:r>
              <w:rPr>
                <w:color w:val="auto"/>
                <w:sz w:val="24"/>
                <w:szCs w:val="24"/>
                <w:highlight w:val="none"/>
              </w:rPr>
              <w:t>废</w:t>
            </w:r>
            <w:r>
              <w:rPr>
                <w:rFonts w:hint="eastAsia"/>
                <w:color w:val="auto"/>
                <w:sz w:val="24"/>
                <w:szCs w:val="24"/>
                <w:highlight w:val="none"/>
              </w:rPr>
              <w:t>旧</w:t>
            </w:r>
            <w:r>
              <w:rPr>
                <w:color w:val="auto"/>
                <w:sz w:val="24"/>
                <w:szCs w:val="24"/>
                <w:highlight w:val="none"/>
              </w:rPr>
              <w:t>传输皮带及生活垃圾。</w:t>
            </w:r>
          </w:p>
          <w:p>
            <w:pPr>
              <w:spacing w:line="360" w:lineRule="auto"/>
              <w:ind w:firstLine="480"/>
              <w:rPr>
                <w:rFonts w:hint="eastAsia"/>
                <w:color w:val="auto"/>
                <w:sz w:val="24"/>
                <w:szCs w:val="24"/>
                <w:highlight w:val="none"/>
                <w:lang w:eastAsia="zh-CN"/>
              </w:rPr>
            </w:pPr>
            <w:r>
              <w:rPr>
                <w:color w:val="auto"/>
                <w:sz w:val="24"/>
                <w:highlight w:val="none"/>
              </w:rPr>
              <w:fldChar w:fldCharType="begin"/>
            </w:r>
            <w:r>
              <w:rPr>
                <w:color w:val="auto"/>
                <w:sz w:val="24"/>
                <w:highlight w:val="none"/>
              </w:rPr>
              <w:instrText xml:space="preserve"> = 1 \* GB3 \* MERGEFORMAT </w:instrText>
            </w:r>
            <w:r>
              <w:rPr>
                <w:color w:val="auto"/>
                <w:sz w:val="24"/>
                <w:highlight w:val="none"/>
              </w:rPr>
              <w:fldChar w:fldCharType="separate"/>
            </w:r>
            <w:r>
              <w:rPr>
                <w:color w:val="auto"/>
                <w:sz w:val="24"/>
                <w:highlight w:val="none"/>
              </w:rPr>
              <w:t>①</w:t>
            </w:r>
            <w:r>
              <w:rPr>
                <w:color w:val="auto"/>
                <w:sz w:val="24"/>
                <w:highlight w:val="none"/>
              </w:rPr>
              <w:fldChar w:fldCharType="end"/>
            </w:r>
            <w:r>
              <w:rPr>
                <w:rFonts w:hint="eastAsia"/>
                <w:color w:val="auto"/>
                <w:sz w:val="24"/>
                <w:szCs w:val="24"/>
                <w:highlight w:val="none"/>
                <w:lang w:eastAsia="zh-CN"/>
              </w:rPr>
              <w:t>采矿区的剥离废土</w:t>
            </w:r>
          </w:p>
          <w:p>
            <w:pPr>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本项目产生含杂草的表土做为</w:t>
            </w:r>
            <w:r>
              <w:rPr>
                <w:rFonts w:hint="eastAsia" w:ascii="Times New Roman" w:hAnsi="Times New Roman" w:eastAsia="宋体" w:cs="Times New Roman"/>
                <w:sz w:val="24"/>
                <w:vertAlign w:val="baseline"/>
                <w:lang w:val="en-US" w:eastAsia="zh-CN"/>
              </w:rPr>
              <w:t>厂区绿化用土，其余剥离废土外买，作为场地平整、道路建设用土。</w:t>
            </w:r>
          </w:p>
          <w:p>
            <w:pPr>
              <w:pStyle w:val="12"/>
              <w:widowControl w:val="0"/>
              <w:autoSpaceDE w:val="0"/>
              <w:autoSpaceDN w:val="0"/>
              <w:adjustRightInd w:val="0"/>
              <w:spacing w:before="0" w:after="0" w:line="360" w:lineRule="auto"/>
              <w:ind w:right="0" w:firstLine="480" w:firstLineChars="200"/>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 2 \* GB3 \* MERGEFORMAT </w:instrText>
            </w:r>
            <w:r>
              <w:rPr>
                <w:color w:val="auto"/>
                <w:sz w:val="24"/>
                <w:szCs w:val="24"/>
                <w:highlight w:val="none"/>
              </w:rPr>
              <w:fldChar w:fldCharType="separate"/>
            </w:r>
            <w:r>
              <w:rPr>
                <w:color w:val="auto"/>
                <w:sz w:val="24"/>
                <w:szCs w:val="24"/>
                <w:highlight w:val="none"/>
              </w:rPr>
              <w:t>②</w:t>
            </w:r>
            <w:r>
              <w:rPr>
                <w:color w:val="auto"/>
                <w:sz w:val="24"/>
                <w:szCs w:val="24"/>
                <w:highlight w:val="none"/>
              </w:rPr>
              <w:fldChar w:fldCharType="end"/>
            </w:r>
            <w:r>
              <w:rPr>
                <w:color w:val="auto"/>
                <w:sz w:val="24"/>
                <w:szCs w:val="24"/>
                <w:highlight w:val="none"/>
              </w:rPr>
              <w:t>废机油</w:t>
            </w:r>
          </w:p>
          <w:p>
            <w:pPr>
              <w:pStyle w:val="12"/>
              <w:widowControl w:val="0"/>
              <w:autoSpaceDE w:val="0"/>
              <w:autoSpaceDN w:val="0"/>
              <w:adjustRightInd w:val="0"/>
              <w:spacing w:before="0" w:after="0" w:line="360" w:lineRule="auto"/>
              <w:ind w:right="0" w:firstLine="480" w:firstLineChars="200"/>
              <w:rPr>
                <w:color w:val="auto"/>
                <w:sz w:val="24"/>
                <w:szCs w:val="24"/>
                <w:highlight w:val="none"/>
              </w:rPr>
            </w:pPr>
            <w:r>
              <w:rPr>
                <w:color w:val="auto"/>
                <w:sz w:val="24"/>
                <w:highlight w:val="none"/>
              </w:rPr>
              <w:t>本项目各类机械设备需要进行维护保养，会产生一定量的废机油。本项目机油的使用量为</w:t>
            </w:r>
            <w:r>
              <w:rPr>
                <w:rFonts w:hint="eastAsia"/>
                <w:color w:val="auto"/>
                <w:sz w:val="24"/>
                <w:highlight w:val="none"/>
              </w:rPr>
              <w:t>0.5</w:t>
            </w:r>
            <w:r>
              <w:rPr>
                <w:color w:val="auto"/>
                <w:sz w:val="24"/>
                <w:highlight w:val="none"/>
              </w:rPr>
              <w:t>t/a，废润滑油产生量按40%计，则废润滑油的产生量为0.</w:t>
            </w:r>
            <w:r>
              <w:rPr>
                <w:rFonts w:hint="eastAsia"/>
                <w:color w:val="auto"/>
                <w:sz w:val="24"/>
                <w:highlight w:val="none"/>
              </w:rPr>
              <w:t>2</w:t>
            </w:r>
            <w:r>
              <w:rPr>
                <w:color w:val="auto"/>
                <w:sz w:val="24"/>
                <w:highlight w:val="none"/>
              </w:rPr>
              <w:t>t/a。根据《国家危险废物名录》（20</w:t>
            </w:r>
            <w:r>
              <w:rPr>
                <w:rFonts w:hint="eastAsia"/>
                <w:color w:val="auto"/>
                <w:sz w:val="24"/>
                <w:highlight w:val="none"/>
              </w:rPr>
              <w:t>21</w:t>
            </w:r>
            <w:r>
              <w:rPr>
                <w:color w:val="auto"/>
                <w:sz w:val="24"/>
                <w:highlight w:val="none"/>
              </w:rPr>
              <w:t>年版）可知，废机油属于“HW08废矿物油与含矿物油废物”，危险废物代码为900-214-08，集中收集后暂存于项目区设置的危废暂存间，定期委托有资质单位处理。</w:t>
            </w:r>
          </w:p>
          <w:p>
            <w:pPr>
              <w:pStyle w:val="12"/>
              <w:widowControl w:val="0"/>
              <w:autoSpaceDE w:val="0"/>
              <w:autoSpaceDN w:val="0"/>
              <w:adjustRightInd w:val="0"/>
              <w:spacing w:before="0" w:after="0" w:line="360" w:lineRule="auto"/>
              <w:ind w:right="0" w:firstLine="480" w:firstLineChars="200"/>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 3 \* GB3 \* MERGEFORMAT </w:instrText>
            </w:r>
            <w:r>
              <w:rPr>
                <w:color w:val="auto"/>
                <w:sz w:val="24"/>
                <w:szCs w:val="24"/>
                <w:highlight w:val="none"/>
              </w:rPr>
              <w:fldChar w:fldCharType="separate"/>
            </w:r>
            <w:r>
              <w:rPr>
                <w:color w:val="auto"/>
                <w:sz w:val="24"/>
                <w:szCs w:val="24"/>
                <w:highlight w:val="none"/>
              </w:rPr>
              <w:t>③</w:t>
            </w:r>
            <w:r>
              <w:rPr>
                <w:color w:val="auto"/>
                <w:sz w:val="24"/>
                <w:szCs w:val="24"/>
                <w:highlight w:val="none"/>
              </w:rPr>
              <w:fldChar w:fldCharType="end"/>
            </w:r>
            <w:r>
              <w:rPr>
                <w:color w:val="auto"/>
                <w:sz w:val="24"/>
                <w:szCs w:val="24"/>
                <w:highlight w:val="none"/>
              </w:rPr>
              <w:t>废旧传输皮带</w:t>
            </w:r>
          </w:p>
          <w:p>
            <w:pPr>
              <w:pStyle w:val="12"/>
              <w:widowControl w:val="0"/>
              <w:autoSpaceDE w:val="0"/>
              <w:autoSpaceDN w:val="0"/>
              <w:adjustRightInd w:val="0"/>
              <w:spacing w:before="0" w:after="0" w:line="360" w:lineRule="auto"/>
              <w:ind w:right="0" w:firstLine="480" w:firstLineChars="200"/>
              <w:rPr>
                <w:color w:val="auto"/>
                <w:sz w:val="24"/>
                <w:szCs w:val="24"/>
                <w:highlight w:val="none"/>
              </w:rPr>
            </w:pPr>
            <w:r>
              <w:rPr>
                <w:color w:val="auto"/>
                <w:sz w:val="24"/>
                <w:szCs w:val="24"/>
                <w:highlight w:val="none"/>
              </w:rPr>
              <w:t>本项目传输带属易耗品，需定期进行更换，废旧皮带产生量约为</w:t>
            </w:r>
            <w:r>
              <w:rPr>
                <w:rFonts w:eastAsia="Times New Roman"/>
                <w:color w:val="auto"/>
                <w:sz w:val="24"/>
                <w:szCs w:val="24"/>
                <w:highlight w:val="none"/>
              </w:rPr>
              <w:t>0.</w:t>
            </w:r>
            <w:r>
              <w:rPr>
                <w:rFonts w:hint="eastAsia"/>
                <w:color w:val="auto"/>
                <w:sz w:val="24"/>
                <w:szCs w:val="24"/>
                <w:highlight w:val="none"/>
              </w:rPr>
              <w:t>5</w:t>
            </w:r>
            <w:r>
              <w:rPr>
                <w:rFonts w:eastAsia="Times New Roman"/>
                <w:color w:val="auto"/>
                <w:sz w:val="24"/>
                <w:szCs w:val="24"/>
                <w:highlight w:val="none"/>
              </w:rPr>
              <w:t>t/a</w:t>
            </w:r>
            <w:r>
              <w:rPr>
                <w:color w:val="auto"/>
                <w:sz w:val="24"/>
                <w:szCs w:val="24"/>
                <w:highlight w:val="none"/>
              </w:rPr>
              <w:t>，集中收集后出售给废品回收单位。</w:t>
            </w:r>
          </w:p>
          <w:p>
            <w:pPr>
              <w:pStyle w:val="12"/>
              <w:widowControl w:val="0"/>
              <w:autoSpaceDE w:val="0"/>
              <w:autoSpaceDN w:val="0"/>
              <w:adjustRightInd w:val="0"/>
              <w:spacing w:before="0" w:after="0" w:line="360" w:lineRule="auto"/>
              <w:ind w:right="0" w:firstLine="480" w:firstLineChars="200"/>
              <w:rPr>
                <w:color w:val="auto"/>
                <w:sz w:val="24"/>
                <w:szCs w:val="24"/>
                <w:highlight w:val="none"/>
              </w:rPr>
            </w:pPr>
            <w:r>
              <w:rPr>
                <w:color w:val="auto"/>
                <w:sz w:val="24"/>
                <w:szCs w:val="24"/>
                <w:highlight w:val="none"/>
              </w:rPr>
              <w:fldChar w:fldCharType="begin"/>
            </w:r>
            <w:r>
              <w:rPr>
                <w:color w:val="auto"/>
                <w:sz w:val="24"/>
                <w:szCs w:val="24"/>
                <w:highlight w:val="none"/>
              </w:rPr>
              <w:instrText xml:space="preserve"> = 4 \* GB3 \* MERGEFORMAT </w:instrText>
            </w:r>
            <w:r>
              <w:rPr>
                <w:color w:val="auto"/>
                <w:sz w:val="24"/>
                <w:szCs w:val="24"/>
                <w:highlight w:val="none"/>
              </w:rPr>
              <w:fldChar w:fldCharType="separate"/>
            </w:r>
            <w:r>
              <w:rPr>
                <w:color w:val="auto"/>
                <w:sz w:val="24"/>
                <w:szCs w:val="24"/>
                <w:highlight w:val="none"/>
              </w:rPr>
              <w:t>④</w:t>
            </w:r>
            <w:r>
              <w:rPr>
                <w:color w:val="auto"/>
                <w:sz w:val="24"/>
                <w:szCs w:val="24"/>
                <w:highlight w:val="none"/>
              </w:rPr>
              <w:fldChar w:fldCharType="end"/>
            </w:r>
            <w:r>
              <w:rPr>
                <w:color w:val="auto"/>
                <w:sz w:val="24"/>
                <w:szCs w:val="24"/>
                <w:highlight w:val="none"/>
              </w:rPr>
              <w:t>生活垃圾</w:t>
            </w:r>
          </w:p>
          <w:p>
            <w:pPr>
              <w:pStyle w:val="12"/>
              <w:widowControl w:val="0"/>
              <w:autoSpaceDE w:val="0"/>
              <w:autoSpaceDN w:val="0"/>
              <w:adjustRightInd w:val="0"/>
              <w:spacing w:before="0" w:after="0" w:line="360" w:lineRule="auto"/>
              <w:ind w:right="0" w:firstLine="480" w:firstLineChars="200"/>
              <w:rPr>
                <w:color w:val="auto"/>
                <w:sz w:val="24"/>
                <w:szCs w:val="24"/>
                <w:highlight w:val="none"/>
              </w:rPr>
            </w:pPr>
            <w:r>
              <w:rPr>
                <w:color w:val="auto"/>
                <w:sz w:val="24"/>
                <w:szCs w:val="24"/>
                <w:highlight w:val="none"/>
              </w:rPr>
              <w:t>本项目运营期间生活区产生的固体废物主要为职工生活垃圾。本项目运营期劳</w:t>
            </w:r>
            <w:r>
              <w:rPr>
                <w:color w:val="auto"/>
                <w:spacing w:val="-13"/>
                <w:sz w:val="24"/>
                <w:szCs w:val="24"/>
                <w:highlight w:val="none"/>
              </w:rPr>
              <w:t>动定员</w:t>
            </w:r>
            <w:r>
              <w:rPr>
                <w:rFonts w:hint="eastAsia"/>
                <w:color w:val="auto"/>
                <w:sz w:val="24"/>
                <w:szCs w:val="24"/>
                <w:highlight w:val="none"/>
                <w:lang w:val="en-US" w:eastAsia="zh-CN"/>
              </w:rPr>
              <w:t>10</w:t>
            </w:r>
            <w:r>
              <w:rPr>
                <w:color w:val="auto"/>
                <w:spacing w:val="-4"/>
                <w:sz w:val="24"/>
                <w:szCs w:val="24"/>
                <w:highlight w:val="none"/>
              </w:rPr>
              <w:t>人，生活垃圾的产生量按</w:t>
            </w:r>
            <w:r>
              <w:rPr>
                <w:rFonts w:hint="eastAsia" w:eastAsia="宋体"/>
                <w:color w:val="auto"/>
                <w:sz w:val="24"/>
                <w:szCs w:val="24"/>
                <w:highlight w:val="none"/>
                <w:lang w:val="en-US" w:eastAsia="zh-CN"/>
              </w:rPr>
              <w:t>1.0</w:t>
            </w:r>
            <w:r>
              <w:rPr>
                <w:rFonts w:eastAsia="Times New Roman"/>
                <w:color w:val="auto"/>
                <w:sz w:val="24"/>
                <w:szCs w:val="24"/>
                <w:highlight w:val="none"/>
              </w:rPr>
              <w:t>kg/</w:t>
            </w:r>
            <w:r>
              <w:rPr>
                <w:color w:val="auto"/>
                <w:spacing w:val="4"/>
                <w:sz w:val="24"/>
                <w:szCs w:val="24"/>
                <w:highlight w:val="none"/>
              </w:rPr>
              <w:t>人</w:t>
            </w:r>
            <w:r>
              <w:rPr>
                <w:rFonts w:eastAsia="Times New Roman"/>
                <w:color w:val="auto"/>
                <w:spacing w:val="-28"/>
                <w:sz w:val="24"/>
                <w:szCs w:val="24"/>
                <w:highlight w:val="none"/>
              </w:rPr>
              <w:t xml:space="preserve">·d </w:t>
            </w:r>
            <w:r>
              <w:rPr>
                <w:color w:val="auto"/>
                <w:spacing w:val="-4"/>
                <w:sz w:val="24"/>
                <w:szCs w:val="24"/>
                <w:highlight w:val="none"/>
              </w:rPr>
              <w:t>计算，则生活垃圾产生量约为</w:t>
            </w:r>
            <w:r>
              <w:rPr>
                <w:rFonts w:hint="eastAsia"/>
                <w:color w:val="auto"/>
                <w:spacing w:val="-4"/>
                <w:sz w:val="24"/>
                <w:szCs w:val="24"/>
                <w:highlight w:val="none"/>
                <w:lang w:val="en-US" w:eastAsia="zh-CN"/>
              </w:rPr>
              <w:t>5.0</w:t>
            </w:r>
            <w:r>
              <w:rPr>
                <w:rFonts w:eastAsia="Times New Roman"/>
                <w:color w:val="auto"/>
                <w:spacing w:val="-3"/>
                <w:sz w:val="24"/>
                <w:szCs w:val="24"/>
                <w:highlight w:val="none"/>
              </w:rPr>
              <w:t>kg/d</w:t>
            </w:r>
            <w:r>
              <w:rPr>
                <w:color w:val="auto"/>
                <w:sz w:val="24"/>
                <w:szCs w:val="24"/>
                <w:highlight w:val="none"/>
              </w:rPr>
              <w:t>（</w:t>
            </w:r>
            <w:r>
              <w:rPr>
                <w:rFonts w:hint="eastAsia"/>
                <w:color w:val="auto"/>
                <w:sz w:val="24"/>
                <w:szCs w:val="24"/>
                <w:highlight w:val="none"/>
                <w:lang w:val="en-US" w:eastAsia="zh-CN"/>
              </w:rPr>
              <w:t>1.5</w:t>
            </w:r>
            <w:r>
              <w:rPr>
                <w:rFonts w:eastAsia="Times New Roman"/>
                <w:color w:val="auto"/>
                <w:sz w:val="24"/>
                <w:szCs w:val="24"/>
                <w:highlight w:val="none"/>
              </w:rPr>
              <w:t>t/</w:t>
            </w:r>
            <w:r>
              <w:rPr>
                <w:rFonts w:eastAsia="Times New Roman"/>
                <w:color w:val="auto"/>
                <w:spacing w:val="-1"/>
                <w:sz w:val="24"/>
                <w:szCs w:val="24"/>
                <w:highlight w:val="none"/>
              </w:rPr>
              <w:t>a</w:t>
            </w:r>
            <w:r>
              <w:rPr>
                <w:color w:val="auto"/>
                <w:spacing w:val="-1"/>
                <w:sz w:val="24"/>
                <w:szCs w:val="24"/>
                <w:highlight w:val="none"/>
              </w:rPr>
              <w:t>），厂区设置生活垃圾收集桶，</w:t>
            </w:r>
            <w:r>
              <w:rPr>
                <w:color w:val="auto"/>
                <w:sz w:val="24"/>
                <w:szCs w:val="24"/>
                <w:highlight w:val="none"/>
              </w:rPr>
              <w:t>集中收集后，定期运往环卫部门指定的生活垃圾收集点处置。</w:t>
            </w:r>
          </w:p>
          <w:p>
            <w:pPr>
              <w:spacing w:line="360" w:lineRule="auto"/>
              <w:ind w:firstLine="480"/>
              <w:rPr>
                <w:color w:val="auto"/>
                <w:sz w:val="24"/>
                <w:highlight w:val="none"/>
              </w:rPr>
            </w:pPr>
            <w:r>
              <w:rPr>
                <w:rFonts w:hint="eastAsia"/>
                <w:color w:val="auto"/>
                <w:sz w:val="24"/>
                <w:szCs w:val="24"/>
                <w:highlight w:val="none"/>
                <w:lang w:eastAsia="zh-CN"/>
              </w:rPr>
              <w:t>⑤</w:t>
            </w:r>
            <w:r>
              <w:rPr>
                <w:rFonts w:hint="eastAsia"/>
                <w:color w:val="auto"/>
                <w:sz w:val="24"/>
                <w:highlight w:val="none"/>
              </w:rPr>
              <w:t>沉淀池产生的底泥</w:t>
            </w:r>
          </w:p>
          <w:p>
            <w:pPr>
              <w:pStyle w:val="2"/>
              <w:snapToGrid w:val="0"/>
              <w:spacing w:line="360" w:lineRule="auto"/>
              <w:ind w:firstLine="480" w:firstLineChars="200"/>
              <w:jc w:val="both"/>
              <w:rPr>
                <w:rFonts w:hint="eastAsia" w:eastAsia="宋体"/>
                <w:lang w:eastAsia="zh-CN"/>
              </w:rPr>
            </w:pPr>
            <w:r>
              <w:rPr>
                <w:rFonts w:hint="eastAsia" w:ascii="Times New Roman" w:cs="Times New Roman"/>
                <w:color w:val="auto"/>
                <w:highlight w:val="none"/>
              </w:rPr>
              <w:t>本项目沉淀池产生的底泥</w:t>
            </w:r>
            <w:r>
              <w:rPr>
                <w:rFonts w:hint="eastAsia" w:ascii="Times New Roman" w:cs="Times New Roman"/>
                <w:color w:val="auto"/>
                <w:highlight w:val="none"/>
                <w:lang w:eastAsia="zh-CN"/>
              </w:rPr>
              <w:t>在干化池自然晾干后，干化底泥</w:t>
            </w:r>
            <w:r>
              <w:rPr>
                <w:rFonts w:hint="eastAsia" w:ascii="Times New Roman" w:cs="Times New Roman"/>
                <w:color w:val="auto"/>
                <w:highlight w:val="none"/>
              </w:rPr>
              <w:t>量</w:t>
            </w:r>
            <w:r>
              <w:rPr>
                <w:rFonts w:ascii="Times New Roman" w:cs="Times New Roman"/>
                <w:color w:val="auto"/>
                <w:highlight w:val="none"/>
              </w:rPr>
              <w:t>约为</w:t>
            </w:r>
            <w:r>
              <w:rPr>
                <w:rFonts w:hint="eastAsia" w:ascii="Times New Roman" w:cs="Times New Roman"/>
                <w:color w:val="auto"/>
                <w:highlight w:val="none"/>
                <w:lang w:val="en-US" w:eastAsia="zh-CN"/>
              </w:rPr>
              <w:t>320</w:t>
            </w:r>
            <w:r>
              <w:rPr>
                <w:rFonts w:ascii="Times New Roman" w:eastAsia="Times New Roman" w:cs="Times New Roman"/>
                <w:color w:val="auto"/>
                <w:highlight w:val="none"/>
              </w:rPr>
              <w:t>t/a</w:t>
            </w:r>
            <w:r>
              <w:rPr>
                <w:rFonts w:hint="eastAsia" w:ascii="Times New Roman" w:cs="Times New Roman"/>
                <w:color w:val="auto"/>
                <w:highlight w:val="none"/>
              </w:rPr>
              <w:t>，</w:t>
            </w:r>
            <w:r>
              <w:rPr>
                <w:rFonts w:hint="eastAsia" w:ascii="Times New Roman" w:cs="Times New Roman"/>
                <w:color w:val="auto"/>
                <w:highlight w:val="none"/>
                <w:lang w:eastAsia="zh-CN"/>
              </w:rPr>
              <w:t>综合利用</w:t>
            </w:r>
            <w:r>
              <w:rPr>
                <w:rFonts w:hint="eastAsia" w:ascii="Times New Roman" w:cs="Times New Roman"/>
                <w:color w:val="auto"/>
                <w:highlight w:val="none"/>
              </w:rPr>
              <w:t>。</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项目运</w:t>
            </w:r>
            <w:r>
              <w:rPr>
                <w:rFonts w:hint="eastAsia" w:ascii="Times New Roman" w:hAnsi="Times New Roman" w:cs="Times New Roman"/>
                <w:color w:val="auto"/>
                <w:sz w:val="24"/>
                <w:szCs w:val="24"/>
                <w:highlight w:val="none"/>
                <w:lang w:eastAsia="zh-CN"/>
              </w:rPr>
              <w:t>营期</w:t>
            </w:r>
            <w:r>
              <w:rPr>
                <w:rFonts w:hint="default" w:ascii="Times New Roman" w:hAnsi="Times New Roman" w:cs="Times New Roman"/>
                <w:color w:val="auto"/>
                <w:sz w:val="24"/>
                <w:szCs w:val="24"/>
                <w:highlight w:val="none"/>
              </w:rPr>
              <w:t>固体废物产生</w:t>
            </w:r>
            <w:r>
              <w:rPr>
                <w:rFonts w:hint="eastAsia" w:ascii="Times New Roman" w:hAnsi="Times New Roman" w:cs="Times New Roman"/>
                <w:color w:val="auto"/>
                <w:sz w:val="24"/>
                <w:szCs w:val="24"/>
                <w:highlight w:val="none"/>
                <w:lang w:eastAsia="zh-CN"/>
              </w:rPr>
              <w:t>及处置</w:t>
            </w:r>
            <w:r>
              <w:rPr>
                <w:rFonts w:hint="default" w:ascii="Times New Roman" w:hAnsi="Times New Roman" w:cs="Times New Roman"/>
                <w:color w:val="auto"/>
                <w:sz w:val="24"/>
                <w:szCs w:val="24"/>
                <w:highlight w:val="none"/>
              </w:rPr>
              <w:t>情况见表</w:t>
            </w:r>
            <w:r>
              <w:rPr>
                <w:rFonts w:hint="eastAsia" w:cs="Times New Roman"/>
                <w:color w:val="auto"/>
                <w:sz w:val="24"/>
                <w:szCs w:val="24"/>
                <w:highlight w:val="none"/>
                <w:lang w:val="en-US" w:eastAsia="zh-CN"/>
              </w:rPr>
              <w:t>4-15</w:t>
            </w:r>
            <w:r>
              <w:rPr>
                <w:rFonts w:hint="default" w:ascii="Times New Roman" w:hAnsi="Times New Roman" w:cs="Times New Roman"/>
                <w:color w:val="auto"/>
                <w:sz w:val="24"/>
                <w:szCs w:val="24"/>
                <w:highlight w:val="none"/>
              </w:rPr>
              <w:t>。</w:t>
            </w:r>
          </w:p>
          <w:p>
            <w:pPr>
              <w:spacing w:line="360" w:lineRule="auto"/>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sz w:val="24"/>
                <w:szCs w:val="24"/>
                <w:highlight w:val="none"/>
              </w:rPr>
              <w:t>表</w:t>
            </w:r>
            <w:r>
              <w:rPr>
                <w:rFonts w:hint="eastAsia" w:cs="Times New Roman"/>
                <w:b/>
                <w:bCs/>
                <w:color w:val="auto"/>
                <w:sz w:val="24"/>
                <w:szCs w:val="24"/>
                <w:highlight w:val="none"/>
                <w:lang w:val="en-US" w:eastAsia="zh-CN"/>
              </w:rPr>
              <w:t>4-15</w:t>
            </w:r>
            <w:r>
              <w:rPr>
                <w:rFonts w:hint="default" w:ascii="Times New Roman" w:hAnsi="Times New Roman" w:cs="Times New Roman"/>
                <w:b/>
                <w:bCs/>
                <w:color w:val="auto"/>
                <w:sz w:val="24"/>
                <w:szCs w:val="24"/>
                <w:highlight w:val="none"/>
              </w:rPr>
              <w:t xml:space="preserve">  </w:t>
            </w:r>
            <w:r>
              <w:rPr>
                <w:rFonts w:hint="default" w:ascii="Times New Roman" w:hAnsi="Times New Roman" w:cs="Times New Roman"/>
                <w:b/>
                <w:bCs/>
                <w:color w:val="auto"/>
                <w:sz w:val="24"/>
                <w:szCs w:val="24"/>
                <w:highlight w:val="none"/>
                <w:lang w:val="en-US" w:eastAsia="zh-CN"/>
              </w:rPr>
              <w:t xml:space="preserve">    </w:t>
            </w:r>
            <w:r>
              <w:rPr>
                <w:rFonts w:hint="default" w:ascii="Times New Roman" w:hAnsi="Times New Roman" w:cs="Times New Roman"/>
                <w:b/>
                <w:bCs/>
                <w:color w:val="auto"/>
                <w:sz w:val="24"/>
                <w:szCs w:val="24"/>
                <w:highlight w:val="none"/>
              </w:rPr>
              <w:t>项目固体废物产生量一览表</w:t>
            </w:r>
          </w:p>
          <w:tbl>
            <w:tblPr>
              <w:tblStyle w:val="29"/>
              <w:tblW w:w="9256" w:type="dxa"/>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330"/>
              <w:gridCol w:w="1398"/>
              <w:gridCol w:w="1114"/>
              <w:gridCol w:w="1114"/>
              <w:gridCol w:w="1114"/>
              <w:gridCol w:w="1114"/>
              <w:gridCol w:w="103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36" w:type="dxa"/>
                  <w:tcBorders>
                    <w:top w:val="single" w:color="auto" w:sz="4" w:space="0"/>
                    <w:left w:val="single" w:color="auto" w:sz="0"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产生环节</w:t>
                  </w:r>
                </w:p>
              </w:tc>
              <w:tc>
                <w:tcPr>
                  <w:tcW w:w="1330" w:type="dxa"/>
                  <w:tcBorders>
                    <w:top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固废名称</w:t>
                  </w:r>
                </w:p>
              </w:tc>
              <w:tc>
                <w:tcPr>
                  <w:tcW w:w="1398" w:type="dxa"/>
                  <w:tcBorders>
                    <w:top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固废属性</w:t>
                  </w:r>
                </w:p>
              </w:tc>
              <w:tc>
                <w:tcPr>
                  <w:tcW w:w="1114" w:type="dxa"/>
                  <w:tcBorders>
                    <w:top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环境危险特性</w:t>
                  </w:r>
                </w:p>
              </w:tc>
              <w:tc>
                <w:tcPr>
                  <w:tcW w:w="1114" w:type="dxa"/>
                  <w:tcBorders>
                    <w:top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产生量（t/a）</w:t>
                  </w:r>
                </w:p>
              </w:tc>
              <w:tc>
                <w:tcPr>
                  <w:tcW w:w="1114" w:type="dxa"/>
                  <w:tcBorders>
                    <w:top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贮存方式</w:t>
                  </w:r>
                </w:p>
              </w:tc>
              <w:tc>
                <w:tcPr>
                  <w:tcW w:w="1114" w:type="dxa"/>
                  <w:tcBorders>
                    <w:top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利用处置方式或去向</w:t>
                  </w:r>
                </w:p>
              </w:tc>
              <w:tc>
                <w:tcPr>
                  <w:tcW w:w="1036" w:type="dxa"/>
                  <w:tcBorders>
                    <w:top w:val="single" w:color="auto" w:sz="4" w:space="0"/>
                    <w:right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利用或处置量</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036" w:type="dxa"/>
                  <w:tcBorders>
                    <w:left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沉淀池</w:t>
                  </w:r>
                </w:p>
              </w:tc>
              <w:tc>
                <w:tcPr>
                  <w:tcW w:w="1330" w:type="dxa"/>
                  <w:tcBorders>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lang w:eastAsia="zh-CN"/>
                    </w:rPr>
                    <w:t>干化后</w:t>
                  </w:r>
                  <w:r>
                    <w:rPr>
                      <w:rFonts w:hint="default" w:ascii="Times New Roman" w:hAnsi="Times New Roman" w:cs="Times New Roman"/>
                      <w:color w:val="auto"/>
                      <w:sz w:val="21"/>
                      <w:szCs w:val="21"/>
                      <w:highlight w:val="none"/>
                    </w:rPr>
                    <w:t>底泥</w:t>
                  </w:r>
                </w:p>
              </w:tc>
              <w:tc>
                <w:tcPr>
                  <w:tcW w:w="1398"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一般固废</w:t>
                  </w:r>
                </w:p>
              </w:tc>
              <w:tc>
                <w:tcPr>
                  <w:tcW w:w="1114" w:type="dxa"/>
                  <w:tcBorders>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w:t>
                  </w:r>
                </w:p>
              </w:tc>
              <w:tc>
                <w:tcPr>
                  <w:tcW w:w="1114"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lang w:val="en-US" w:eastAsia="zh-CN"/>
                    </w:rPr>
                    <w:t>320</w:t>
                  </w:r>
                </w:p>
              </w:tc>
              <w:tc>
                <w:tcPr>
                  <w:tcW w:w="1114"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沉淀池</w:t>
                  </w:r>
                  <w:r>
                    <w:rPr>
                      <w:rFonts w:hint="default" w:ascii="Times New Roman" w:hAnsi="Times New Roman" w:cs="Times New Roman"/>
                      <w:color w:val="auto"/>
                      <w:sz w:val="21"/>
                      <w:szCs w:val="21"/>
                      <w:highlight w:val="none"/>
                      <w:lang w:val="en-US" w:eastAsia="zh-CN"/>
                    </w:rPr>
                    <w:t>旁</w:t>
                  </w:r>
                </w:p>
              </w:tc>
              <w:tc>
                <w:tcPr>
                  <w:tcW w:w="1114" w:type="dxa"/>
                  <w:tcBorders>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lang w:eastAsia="zh-CN"/>
                    </w:rPr>
                    <w:t>综合利用</w:t>
                  </w:r>
                </w:p>
              </w:tc>
              <w:tc>
                <w:tcPr>
                  <w:tcW w:w="1036" w:type="dxa"/>
                  <w:tcBorders>
                    <w:right w:val="single" w:color="auto" w:sz="4" w:space="0"/>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lang w:val="en-US" w:eastAsia="zh-CN"/>
                    </w:rPr>
                    <w:t>320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36" w:type="dxa"/>
                  <w:tcBorders>
                    <w:left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传送带更换</w:t>
                  </w:r>
                </w:p>
              </w:tc>
              <w:tc>
                <w:tcPr>
                  <w:tcW w:w="1330" w:type="dxa"/>
                  <w:tcBorders>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废传送带</w:t>
                  </w:r>
                </w:p>
              </w:tc>
              <w:tc>
                <w:tcPr>
                  <w:tcW w:w="1398"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一般固废</w:t>
                  </w:r>
                </w:p>
              </w:tc>
              <w:tc>
                <w:tcPr>
                  <w:tcW w:w="1114" w:type="dxa"/>
                  <w:tcBorders>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w:t>
                  </w:r>
                </w:p>
              </w:tc>
              <w:tc>
                <w:tcPr>
                  <w:tcW w:w="1114"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0.5</w:t>
                  </w:r>
                </w:p>
              </w:tc>
              <w:tc>
                <w:tcPr>
                  <w:tcW w:w="1114"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仓库</w:t>
                  </w:r>
                </w:p>
              </w:tc>
              <w:tc>
                <w:tcPr>
                  <w:tcW w:w="1114" w:type="dxa"/>
                  <w:tcBorders>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外售废品回收单位</w:t>
                  </w:r>
                </w:p>
              </w:tc>
              <w:tc>
                <w:tcPr>
                  <w:tcW w:w="1036" w:type="dxa"/>
                  <w:tcBorders>
                    <w:right w:val="single" w:color="auto" w:sz="4" w:space="0"/>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0.5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trHeight w:val="577" w:hRule="atLeast"/>
                <w:jc w:val="center"/>
              </w:trPr>
              <w:tc>
                <w:tcPr>
                  <w:tcW w:w="1036" w:type="dxa"/>
                  <w:tcBorders>
                    <w:left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设备维护</w:t>
                  </w:r>
                </w:p>
              </w:tc>
              <w:tc>
                <w:tcPr>
                  <w:tcW w:w="1330" w:type="dxa"/>
                  <w:tcBorders>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废机油</w:t>
                  </w:r>
                </w:p>
              </w:tc>
              <w:tc>
                <w:tcPr>
                  <w:tcW w:w="1398" w:type="dxa"/>
                  <w:tcBorders>
                    <w:tl2br w:val="nil"/>
                    <w:tr2bl w:val="nil"/>
                  </w:tcBorders>
                  <w:noWrap w:val="0"/>
                  <w:vAlign w:val="center"/>
                </w:tcPr>
                <w:p>
                  <w:pPr>
                    <w:widowControl/>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危险固废900-214-08</w:t>
                  </w:r>
                </w:p>
              </w:tc>
              <w:tc>
                <w:tcPr>
                  <w:tcW w:w="1114" w:type="dxa"/>
                  <w:tcBorders>
                    <w:tl2br w:val="nil"/>
                    <w:tr2bl w:val="nil"/>
                  </w:tcBorders>
                  <w:noWrap w:val="0"/>
                  <w:vAlign w:val="center"/>
                </w:tcPr>
                <w:p>
                  <w:pPr>
                    <w:widowControl/>
                    <w:adjustRightInd w:val="0"/>
                    <w:snapToGrid w:val="0"/>
                    <w:spacing w:line="240" w:lineRule="auto"/>
                    <w:ind w:left="-105" w:leftChars="-50" w:right="-105" w:rightChars="-50"/>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cs="Times New Roman"/>
                      <w:color w:val="auto"/>
                      <w:kern w:val="0"/>
                      <w:sz w:val="21"/>
                      <w:szCs w:val="21"/>
                      <w:highlight w:val="none"/>
                      <w:lang w:bidi="ar"/>
                    </w:rPr>
                    <w:t>T，I</w:t>
                  </w:r>
                </w:p>
              </w:tc>
              <w:tc>
                <w:tcPr>
                  <w:tcW w:w="1114"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0.2</w:t>
                  </w:r>
                </w:p>
              </w:tc>
              <w:tc>
                <w:tcPr>
                  <w:tcW w:w="1114" w:type="dxa"/>
                  <w:tcBorders>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危废暂存间</w:t>
                  </w:r>
                </w:p>
              </w:tc>
              <w:tc>
                <w:tcPr>
                  <w:tcW w:w="1114" w:type="dxa"/>
                  <w:tcBorders>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有资质单位处理</w:t>
                  </w:r>
                </w:p>
              </w:tc>
              <w:tc>
                <w:tcPr>
                  <w:tcW w:w="1036" w:type="dxa"/>
                  <w:tcBorders>
                    <w:right w:val="single" w:color="auto" w:sz="4" w:space="0"/>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0.2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PrEx>
              <w:trPr>
                <w:trHeight w:val="587" w:hRule="atLeast"/>
                <w:jc w:val="center"/>
              </w:trPr>
              <w:tc>
                <w:tcPr>
                  <w:tcW w:w="1036" w:type="dxa"/>
                  <w:tcBorders>
                    <w:left w:val="single" w:color="auto" w:sz="4" w:space="0"/>
                    <w:bottom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办公生活</w:t>
                  </w:r>
                </w:p>
              </w:tc>
              <w:tc>
                <w:tcPr>
                  <w:tcW w:w="1330" w:type="dxa"/>
                  <w:tcBorders>
                    <w:bottom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生活垃圾</w:t>
                  </w:r>
                </w:p>
              </w:tc>
              <w:tc>
                <w:tcPr>
                  <w:tcW w:w="1398" w:type="dxa"/>
                  <w:tcBorders>
                    <w:bottom w:val="single" w:color="auto" w:sz="4" w:space="0"/>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一般固废</w:t>
                  </w:r>
                </w:p>
              </w:tc>
              <w:tc>
                <w:tcPr>
                  <w:tcW w:w="1114" w:type="dxa"/>
                  <w:tcBorders>
                    <w:bottom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w:t>
                  </w:r>
                </w:p>
              </w:tc>
              <w:tc>
                <w:tcPr>
                  <w:tcW w:w="1114" w:type="dxa"/>
                  <w:tcBorders>
                    <w:bottom w:val="single" w:color="auto" w:sz="4" w:space="0"/>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lang w:val="en-US" w:eastAsia="zh-CN"/>
                    </w:rPr>
                    <w:t>1.5</w:t>
                  </w:r>
                </w:p>
              </w:tc>
              <w:tc>
                <w:tcPr>
                  <w:tcW w:w="1114" w:type="dxa"/>
                  <w:tcBorders>
                    <w:bottom w:val="single" w:color="auto" w:sz="4" w:space="0"/>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生活垃圾桶</w:t>
                  </w:r>
                </w:p>
              </w:tc>
              <w:tc>
                <w:tcPr>
                  <w:tcW w:w="1114" w:type="dxa"/>
                  <w:tcBorders>
                    <w:bottom w:val="single" w:color="auto" w:sz="4" w:space="0"/>
                    <w:tl2br w:val="nil"/>
                    <w:tr2bl w:val="nil"/>
                  </w:tcBorders>
                  <w:noWrap w:val="0"/>
                  <w:vAlign w:val="center"/>
                </w:tcPr>
                <w:p>
                  <w:pPr>
                    <w:pStyle w:val="9"/>
                    <w:adjustRightInd w:val="0"/>
                    <w:snapToGrid w:val="0"/>
                    <w:spacing w:after="0" w:line="240" w:lineRule="auto"/>
                    <w:ind w:left="-105" w:leftChars="-50" w:right="-105" w:rightChars="-50" w:firstLine="0" w:firstLineChars="0"/>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rPr>
                    <w:t>交环卫部门处理</w:t>
                  </w:r>
                </w:p>
              </w:tc>
              <w:tc>
                <w:tcPr>
                  <w:tcW w:w="1036" w:type="dxa"/>
                  <w:tcBorders>
                    <w:bottom w:val="single" w:color="auto" w:sz="4" w:space="0"/>
                    <w:right w:val="single" w:color="auto" w:sz="4" w:space="0"/>
                    <w:tl2br w:val="nil"/>
                    <w:tr2bl w:val="nil"/>
                  </w:tcBorders>
                  <w:noWrap w:val="0"/>
                  <w:vAlign w:val="center"/>
                </w:tcPr>
                <w:p>
                  <w:pPr>
                    <w:adjustRightInd w:val="0"/>
                    <w:snapToGrid w:val="0"/>
                    <w:spacing w:line="240" w:lineRule="auto"/>
                    <w:ind w:left="-105" w:leftChars="-50" w:right="-105" w:rightChars="-50"/>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lang w:val="en-US" w:eastAsia="zh-CN"/>
                    </w:rPr>
                    <w:t>1.5</w:t>
                  </w:r>
                </w:p>
              </w:tc>
            </w:tr>
          </w:tbl>
          <w:p>
            <w:pPr>
              <w:pStyle w:val="12"/>
              <w:widowControl w:val="0"/>
              <w:autoSpaceDE w:val="0"/>
              <w:autoSpaceDN w:val="0"/>
              <w:adjustRightInd w:val="0"/>
              <w:spacing w:before="0" w:after="0" w:line="360" w:lineRule="auto"/>
              <w:ind w:right="0"/>
              <w:rPr>
                <w:rFonts w:hint="eastAsia" w:ascii="Times New Roman" w:hAnsi="Times New Roman" w:cs="Times New Roman"/>
                <w:b/>
                <w:bCs/>
                <w:color w:val="auto"/>
                <w:sz w:val="24"/>
                <w:szCs w:val="24"/>
                <w:highlight w:val="yellow"/>
              </w:rPr>
            </w:pPr>
            <w:r>
              <w:rPr>
                <w:rFonts w:hint="eastAsia" w:cs="Times New Roman"/>
                <w:b/>
                <w:bCs/>
                <w:color w:val="auto"/>
                <w:sz w:val="24"/>
                <w:szCs w:val="24"/>
                <w:highlight w:val="none"/>
                <w:lang w:val="en-US" w:eastAsia="zh-CN"/>
              </w:rPr>
              <w:t>7、</w:t>
            </w:r>
            <w:r>
              <w:rPr>
                <w:rFonts w:hint="eastAsia" w:ascii="Times New Roman" w:hAnsi="Times New Roman" w:cs="Times New Roman"/>
                <w:b/>
                <w:bCs/>
                <w:color w:val="auto"/>
                <w:sz w:val="24"/>
                <w:szCs w:val="24"/>
                <w:highlight w:val="none"/>
                <w:lang w:val="en-US" w:eastAsia="zh-CN"/>
              </w:rPr>
              <w:t>地下水</w:t>
            </w:r>
            <w:r>
              <w:rPr>
                <w:rFonts w:hint="eastAsia" w:ascii="Times New Roman" w:hAnsi="Times New Roman" w:cs="Times New Roman"/>
                <w:b/>
                <w:bCs/>
                <w:color w:val="auto"/>
                <w:sz w:val="24"/>
                <w:szCs w:val="24"/>
                <w:highlight w:val="none"/>
              </w:rPr>
              <w:t>环境影响评价</w:t>
            </w:r>
          </w:p>
          <w:p>
            <w:pPr>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项目可能对地下水环境造成影响的环节主要包括：危险废物暂存间渗漏</w:t>
            </w:r>
            <w:r>
              <w:rPr>
                <w:rFonts w:hint="eastAsia" w:cs="Times New Roman"/>
                <w:color w:val="auto"/>
                <w:sz w:val="24"/>
                <w:highlight w:val="none"/>
                <w:lang w:eastAsia="zh-CN"/>
              </w:rPr>
              <w:t>和车辆油箱储存柴油泄漏</w:t>
            </w:r>
            <w:r>
              <w:rPr>
                <w:rFonts w:hint="default" w:ascii="Times New Roman" w:hAnsi="Times New Roman" w:eastAsia="宋体" w:cs="Times New Roman"/>
                <w:color w:val="auto"/>
                <w:sz w:val="24"/>
                <w:highlight w:val="none"/>
              </w:rPr>
              <w:t>等产生的地下水污染。</w:t>
            </w:r>
          </w:p>
          <w:p>
            <w:pPr>
              <w:pStyle w:val="25"/>
              <w:adjustRightInd w:val="0"/>
              <w:snapToGrid w:val="0"/>
              <w:spacing w:before="0" w:beforeAutospacing="0" w:after="0" w:afterAutospacing="0" w:line="360" w:lineRule="auto"/>
              <w:ind w:firstLine="480" w:firstLineChars="200"/>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highlight w:val="none"/>
              </w:rPr>
              <w:t>针对可能对地下水造成影响的各环节，按照“源头控制，分区防渗”的原则，简单防渗区采用水泥硬化地面；一般防渗区防渗层至少1.5m厚粘土层，渗透系数≤10</w:t>
            </w:r>
            <w:r>
              <w:rPr>
                <w:rFonts w:hint="default" w:ascii="Times New Roman" w:hAnsi="Times New Roman" w:eastAsia="宋体" w:cs="Times New Roman"/>
                <w:color w:val="auto"/>
                <w:sz w:val="24"/>
                <w:highlight w:val="none"/>
                <w:vertAlign w:val="superscript"/>
              </w:rPr>
              <w:t>-7</w:t>
            </w:r>
            <w:r>
              <w:rPr>
                <w:rFonts w:hint="default" w:ascii="Times New Roman" w:hAnsi="Times New Roman" w:eastAsia="宋体" w:cs="Times New Roman"/>
                <w:color w:val="auto"/>
                <w:sz w:val="24"/>
                <w:highlight w:val="none"/>
              </w:rPr>
              <w:t>cm/s；危废暂存间</w:t>
            </w:r>
            <w:r>
              <w:rPr>
                <w:rFonts w:hint="default" w:ascii="Times New Roman" w:hAnsi="Times New Roman" w:eastAsia="宋体" w:cs="Times New Roman"/>
                <w:color w:val="auto"/>
                <w:kern w:val="0"/>
                <w:sz w:val="24"/>
                <w:highlight w:val="none"/>
                <w:lang w:val="zh-CN" w:bidi="zh-CN"/>
              </w:rPr>
              <w:t>按照《危险废物贮存污染控制标准》（GB18597-2001）及2013年修改单要求，基础必须防渗，防渗层为至少1m后粘土层（渗</w:t>
            </w:r>
            <w:r>
              <w:rPr>
                <w:rFonts w:hint="default" w:ascii="Times New Roman" w:hAnsi="Times New Roman" w:eastAsia="宋体" w:cs="Times New Roman"/>
                <w:color w:val="auto"/>
                <w:sz w:val="24"/>
                <w:highlight w:val="none"/>
              </w:rPr>
              <w:t>透系数≤1.0×10</w:t>
            </w:r>
            <w:r>
              <w:rPr>
                <w:rFonts w:hint="default" w:ascii="Times New Roman" w:hAnsi="Times New Roman" w:eastAsia="宋体" w:cs="Times New Roman"/>
                <w:color w:val="auto"/>
                <w:sz w:val="24"/>
                <w:highlight w:val="none"/>
                <w:vertAlign w:val="superscript"/>
              </w:rPr>
              <w:t>-7</w:t>
            </w:r>
            <w:r>
              <w:rPr>
                <w:rFonts w:hint="default" w:ascii="Times New Roman" w:hAnsi="Times New Roman" w:eastAsia="宋体" w:cs="Times New Roman"/>
                <w:color w:val="auto"/>
                <w:sz w:val="24"/>
                <w:highlight w:val="none"/>
              </w:rPr>
              <w:t>cm/s），或2mm厚高密度聚乙烯，或至少2mm厚的其它人工材料，渗透系数≤1.0×10</w:t>
            </w:r>
            <w:r>
              <w:rPr>
                <w:rFonts w:hint="default" w:ascii="Times New Roman" w:hAnsi="Times New Roman" w:eastAsia="宋体" w:cs="Times New Roman"/>
                <w:color w:val="auto"/>
                <w:sz w:val="24"/>
                <w:highlight w:val="none"/>
                <w:vertAlign w:val="superscript"/>
              </w:rPr>
              <w:t>-10</w:t>
            </w:r>
            <w:r>
              <w:rPr>
                <w:rFonts w:hint="default" w:ascii="Times New Roman" w:hAnsi="Times New Roman" w:eastAsia="宋体" w:cs="Times New Roman"/>
                <w:color w:val="auto"/>
                <w:sz w:val="24"/>
                <w:highlight w:val="none"/>
              </w:rPr>
              <w:t>cm/s，</w:t>
            </w:r>
            <w:r>
              <w:rPr>
                <w:rFonts w:hint="default" w:ascii="Times New Roman" w:hAnsi="Times New Roman" w:eastAsia="宋体" w:cs="Times New Roman"/>
                <w:color w:val="auto"/>
                <w:sz w:val="24"/>
                <w:szCs w:val="22"/>
                <w:highlight w:val="none"/>
              </w:rPr>
              <w:t>达到防渗的目的。</w:t>
            </w:r>
            <w:r>
              <w:rPr>
                <w:rFonts w:hint="eastAsia" w:ascii="Times New Roman" w:hAnsi="Times New Roman" w:eastAsia="宋体" w:cs="Times New Roman"/>
                <w:color w:val="auto"/>
                <w:kern w:val="2"/>
                <w:sz w:val="24"/>
                <w:szCs w:val="24"/>
                <w:highlight w:val="none"/>
                <w:lang w:val="en-US" w:eastAsia="zh-CN" w:bidi="ar-SA"/>
              </w:rPr>
              <w:t>地面</w:t>
            </w:r>
            <w:r>
              <w:rPr>
                <w:rFonts w:hint="eastAsia" w:ascii="Times New Roman" w:hAnsi="Times New Roman" w:cs="Times New Roman"/>
                <w:color w:val="auto"/>
                <w:kern w:val="2"/>
                <w:sz w:val="24"/>
                <w:szCs w:val="24"/>
                <w:highlight w:val="none"/>
                <w:lang w:val="en-US" w:eastAsia="zh-CN" w:bidi="ar-SA"/>
              </w:rPr>
              <w:t>按照标准</w:t>
            </w:r>
            <w:r>
              <w:rPr>
                <w:rFonts w:hint="eastAsia" w:ascii="Times New Roman" w:hAnsi="Times New Roman" w:eastAsia="宋体" w:cs="Times New Roman"/>
                <w:color w:val="auto"/>
                <w:kern w:val="2"/>
                <w:sz w:val="24"/>
                <w:szCs w:val="24"/>
                <w:highlight w:val="none"/>
                <w:lang w:val="en-US" w:eastAsia="zh-CN" w:bidi="ar-SA"/>
              </w:rPr>
              <w:t>防腐防渗处理，故危废储存过程中对地下水影响较小。</w:t>
            </w:r>
          </w:p>
          <w:p>
            <w:pPr>
              <w:pStyle w:val="12"/>
              <w:widowControl w:val="0"/>
              <w:autoSpaceDE w:val="0"/>
              <w:autoSpaceDN w:val="0"/>
              <w:adjustRightInd w:val="0"/>
              <w:spacing w:before="0" w:after="0" w:line="360" w:lineRule="auto"/>
              <w:ind w:right="0" w:firstLine="480" w:firstLineChars="200"/>
              <w:rPr>
                <w:rFonts w:hint="eastAsia" w:ascii="Times New Roman" w:hAnsi="Times New Roman" w:eastAsia="宋体" w:cs="Times New Roman"/>
                <w:bCs/>
                <w:snapToGrid w:val="0"/>
                <w:color w:val="auto"/>
                <w:kern w:val="0"/>
                <w:sz w:val="24"/>
                <w:szCs w:val="24"/>
                <w:lang w:eastAsia="zh-CN"/>
              </w:rPr>
            </w:pPr>
            <w:r>
              <w:rPr>
                <w:rFonts w:hint="default" w:ascii="Times New Roman" w:hAnsi="Times New Roman" w:eastAsia="宋体" w:cs="Times New Roman"/>
                <w:bCs/>
                <w:snapToGrid w:val="0"/>
                <w:color w:val="auto"/>
                <w:kern w:val="0"/>
                <w:sz w:val="24"/>
                <w:szCs w:val="24"/>
              </w:rPr>
              <w:t>项目区</w:t>
            </w:r>
            <w:r>
              <w:rPr>
                <w:rFonts w:hint="eastAsia" w:cs="Times New Roman"/>
                <w:bCs/>
                <w:snapToGrid w:val="0"/>
                <w:color w:val="auto"/>
                <w:kern w:val="0"/>
                <w:sz w:val="24"/>
                <w:szCs w:val="24"/>
                <w:lang w:eastAsia="zh-CN"/>
              </w:rPr>
              <w:t>使用车辆</w:t>
            </w:r>
            <w:r>
              <w:rPr>
                <w:rFonts w:hint="default" w:ascii="Times New Roman" w:hAnsi="Times New Roman" w:eastAsia="宋体" w:cs="Times New Roman"/>
                <w:bCs/>
                <w:snapToGrid w:val="0"/>
                <w:color w:val="auto"/>
                <w:kern w:val="0"/>
                <w:sz w:val="24"/>
                <w:szCs w:val="24"/>
              </w:rPr>
              <w:t>的柴油</w:t>
            </w:r>
            <w:r>
              <w:rPr>
                <w:rFonts w:hint="eastAsia" w:cs="Times New Roman"/>
                <w:bCs/>
                <w:snapToGrid w:val="0"/>
                <w:color w:val="auto"/>
                <w:kern w:val="0"/>
                <w:sz w:val="24"/>
                <w:szCs w:val="24"/>
                <w:lang w:eastAsia="zh-CN"/>
              </w:rPr>
              <w:t>油箱</w:t>
            </w:r>
            <w:r>
              <w:rPr>
                <w:rFonts w:hint="default" w:ascii="Times New Roman" w:hAnsi="Times New Roman" w:eastAsia="宋体" w:cs="Times New Roman"/>
                <w:bCs/>
                <w:snapToGrid w:val="0"/>
                <w:color w:val="auto"/>
                <w:kern w:val="0"/>
                <w:sz w:val="24"/>
                <w:szCs w:val="24"/>
              </w:rPr>
              <w:t>，要做到经常检查</w:t>
            </w:r>
            <w:r>
              <w:rPr>
                <w:rFonts w:hint="eastAsia" w:cs="Times New Roman"/>
                <w:bCs/>
                <w:snapToGrid w:val="0"/>
                <w:color w:val="auto"/>
                <w:kern w:val="0"/>
                <w:sz w:val="24"/>
                <w:szCs w:val="24"/>
                <w:lang w:eastAsia="zh-CN"/>
              </w:rPr>
              <w:t>，防止泄漏，其</w:t>
            </w:r>
            <w:r>
              <w:rPr>
                <w:rFonts w:hint="eastAsia" w:ascii="Times New Roman" w:hAnsi="Times New Roman" w:eastAsia="宋体" w:cs="Times New Roman"/>
                <w:color w:val="auto"/>
                <w:kern w:val="2"/>
                <w:sz w:val="24"/>
                <w:szCs w:val="24"/>
                <w:highlight w:val="none"/>
                <w:lang w:val="en-US" w:eastAsia="zh-CN" w:bidi="ar-SA"/>
              </w:rPr>
              <w:t>地下水影响较小。</w:t>
            </w:r>
          </w:p>
          <w:p>
            <w:pPr>
              <w:pStyle w:val="12"/>
              <w:widowControl w:val="0"/>
              <w:autoSpaceDE w:val="0"/>
              <w:autoSpaceDN w:val="0"/>
              <w:adjustRightInd w:val="0"/>
              <w:spacing w:before="0" w:after="0" w:line="360" w:lineRule="auto"/>
              <w:ind w:right="0"/>
              <w:rPr>
                <w:rFonts w:hint="eastAsia" w:ascii="Times New Roman" w:hAnsi="Times New Roman" w:eastAsia="宋体" w:cs="Times New Roman"/>
                <w:b/>
                <w:bCs/>
                <w:color w:val="auto"/>
                <w:sz w:val="24"/>
                <w:szCs w:val="24"/>
                <w:highlight w:val="none"/>
                <w:lang w:val="en-US" w:eastAsia="zh-CN"/>
              </w:rPr>
            </w:pPr>
            <w:r>
              <w:rPr>
                <w:rFonts w:hint="eastAsia" w:cs="Times New Roman"/>
                <w:b/>
                <w:bCs/>
                <w:color w:val="auto"/>
                <w:sz w:val="24"/>
                <w:szCs w:val="24"/>
                <w:highlight w:val="none"/>
                <w:lang w:val="en-US" w:eastAsia="zh-CN"/>
              </w:rPr>
              <w:t>8、</w:t>
            </w:r>
            <w:r>
              <w:rPr>
                <w:rFonts w:hint="eastAsia" w:ascii="Times New Roman" w:hAnsi="Times New Roman" w:eastAsia="宋体" w:cs="Times New Roman"/>
                <w:b/>
                <w:bCs/>
                <w:color w:val="auto"/>
                <w:sz w:val="24"/>
                <w:szCs w:val="24"/>
                <w:highlight w:val="none"/>
                <w:lang w:val="en-US" w:eastAsia="zh-CN"/>
              </w:rPr>
              <w:t>土壤环境影响评价</w:t>
            </w:r>
          </w:p>
          <w:p>
            <w:pPr>
              <w:pStyle w:val="12"/>
              <w:widowControl w:val="0"/>
              <w:autoSpaceDE w:val="0"/>
              <w:autoSpaceDN w:val="0"/>
              <w:adjustRightInd w:val="0"/>
              <w:spacing w:before="0" w:after="0" w:line="360" w:lineRule="auto"/>
              <w:ind w:right="0" w:firstLine="480" w:firstLineChars="200"/>
              <w:rPr>
                <w:rFonts w:hint="default" w:ascii="Times New Roman" w:hAnsi="Times New Roman" w:eastAsia="宋体" w:cs="Times New Roman"/>
                <w:color w:val="auto"/>
                <w:sz w:val="24"/>
                <w:szCs w:val="22"/>
                <w:highlight w:val="none"/>
              </w:rPr>
            </w:pPr>
            <w:r>
              <w:rPr>
                <w:rFonts w:hint="default" w:ascii="Times New Roman" w:hAnsi="Times New Roman" w:eastAsia="宋体" w:cs="Times New Roman"/>
                <w:color w:val="auto"/>
                <w:sz w:val="24"/>
                <w:highlight w:val="none"/>
              </w:rPr>
              <w:t>项目</w:t>
            </w:r>
            <w:r>
              <w:rPr>
                <w:rFonts w:hint="default" w:ascii="Times New Roman" w:hAnsi="Times New Roman" w:eastAsia="宋体" w:cs="Times New Roman"/>
                <w:color w:val="auto"/>
                <w:sz w:val="24"/>
                <w:szCs w:val="22"/>
                <w:highlight w:val="none"/>
              </w:rPr>
              <w:t>对土壤的影响主要表现在</w:t>
            </w:r>
            <w:r>
              <w:rPr>
                <w:rFonts w:hint="eastAsia" w:ascii="Times New Roman" w:hAnsi="Times New Roman" w:eastAsia="宋体" w:cs="Times New Roman"/>
                <w:color w:val="auto"/>
                <w:sz w:val="24"/>
                <w:szCs w:val="22"/>
                <w:highlight w:val="none"/>
                <w:lang w:val="en-US" w:eastAsia="zh-CN"/>
              </w:rPr>
              <w:t>危废暂存间渗漏</w:t>
            </w:r>
            <w:r>
              <w:rPr>
                <w:rFonts w:hint="default" w:ascii="Times New Roman" w:hAnsi="Times New Roman" w:eastAsia="宋体" w:cs="Times New Roman"/>
                <w:color w:val="auto"/>
                <w:sz w:val="24"/>
                <w:szCs w:val="22"/>
                <w:highlight w:val="none"/>
              </w:rPr>
              <w:t>对土壤性质的影响。</w:t>
            </w:r>
            <w:r>
              <w:rPr>
                <w:rFonts w:hint="eastAsia" w:ascii="Times New Roman" w:hAnsi="Times New Roman" w:eastAsia="宋体" w:cs="Times New Roman"/>
                <w:color w:val="auto"/>
                <w:sz w:val="24"/>
                <w:szCs w:val="22"/>
                <w:highlight w:val="none"/>
                <w:lang w:val="en-US" w:eastAsia="zh-CN"/>
              </w:rPr>
              <w:t>危废进入</w:t>
            </w:r>
            <w:r>
              <w:rPr>
                <w:rFonts w:hint="default" w:ascii="Times New Roman" w:hAnsi="Times New Roman" w:eastAsia="宋体" w:cs="Times New Roman"/>
                <w:color w:val="auto"/>
                <w:sz w:val="24"/>
                <w:szCs w:val="22"/>
                <w:highlight w:val="none"/>
              </w:rPr>
              <w:t>到</w:t>
            </w:r>
            <w:r>
              <w:rPr>
                <w:rFonts w:hint="eastAsia" w:ascii="Times New Roman" w:hAnsi="Times New Roman" w:eastAsia="宋体" w:cs="Times New Roman"/>
                <w:color w:val="auto"/>
                <w:sz w:val="24"/>
                <w:szCs w:val="22"/>
                <w:highlight w:val="none"/>
                <w:lang w:val="en-US" w:eastAsia="zh-CN"/>
              </w:rPr>
              <w:t>土壤中</w:t>
            </w:r>
            <w:r>
              <w:rPr>
                <w:rFonts w:hint="default" w:ascii="Times New Roman" w:hAnsi="Times New Roman" w:eastAsia="宋体" w:cs="Times New Roman"/>
                <w:color w:val="auto"/>
                <w:sz w:val="24"/>
                <w:szCs w:val="22"/>
                <w:highlight w:val="none"/>
              </w:rPr>
              <w:t>，</w:t>
            </w:r>
            <w:r>
              <w:rPr>
                <w:rFonts w:hint="eastAsia" w:ascii="Times New Roman" w:hAnsi="Times New Roman" w:eastAsia="宋体" w:cs="Times New Roman"/>
                <w:color w:val="auto"/>
                <w:sz w:val="24"/>
                <w:szCs w:val="22"/>
                <w:highlight w:val="none"/>
                <w:lang w:val="en-US" w:eastAsia="zh-CN"/>
              </w:rPr>
              <w:t>会</w:t>
            </w:r>
            <w:r>
              <w:rPr>
                <w:rFonts w:hint="default" w:ascii="Times New Roman" w:hAnsi="Times New Roman" w:eastAsia="宋体" w:cs="Times New Roman"/>
                <w:color w:val="auto"/>
                <w:sz w:val="24"/>
                <w:szCs w:val="22"/>
                <w:highlight w:val="none"/>
              </w:rPr>
              <w:t>明显改变土壤的pH值</w:t>
            </w:r>
            <w:r>
              <w:rPr>
                <w:rFonts w:hint="eastAsia" w:ascii="Times New Roman" w:hAnsi="Times New Roman" w:eastAsia="宋体" w:cs="Times New Roman"/>
                <w:color w:val="auto"/>
                <w:sz w:val="24"/>
                <w:szCs w:val="22"/>
                <w:highlight w:val="none"/>
                <w:lang w:val="en-US" w:eastAsia="zh-CN"/>
              </w:rPr>
              <w:t>等</w:t>
            </w:r>
            <w:r>
              <w:rPr>
                <w:rFonts w:hint="default" w:ascii="Times New Roman" w:hAnsi="Times New Roman" w:eastAsia="宋体" w:cs="Times New Roman"/>
                <w:color w:val="auto"/>
                <w:sz w:val="24"/>
                <w:szCs w:val="22"/>
                <w:highlight w:val="none"/>
              </w:rPr>
              <w:t>，</w:t>
            </w:r>
            <w:r>
              <w:rPr>
                <w:rFonts w:hint="eastAsia" w:ascii="Times New Roman" w:hAnsi="Times New Roman" w:eastAsia="宋体" w:cs="Times New Roman"/>
                <w:color w:val="auto"/>
                <w:sz w:val="24"/>
                <w:szCs w:val="22"/>
                <w:highlight w:val="none"/>
                <w:lang w:val="en-US" w:eastAsia="zh-CN"/>
              </w:rPr>
              <w:t>持续渗透会</w:t>
            </w:r>
            <w:r>
              <w:rPr>
                <w:rFonts w:hint="default" w:ascii="Times New Roman" w:hAnsi="Times New Roman" w:eastAsia="宋体" w:cs="Times New Roman"/>
                <w:color w:val="auto"/>
                <w:sz w:val="24"/>
                <w:szCs w:val="22"/>
                <w:highlight w:val="none"/>
              </w:rPr>
              <w:t>使土壤</w:t>
            </w:r>
            <w:r>
              <w:rPr>
                <w:rFonts w:hint="eastAsia" w:ascii="Times New Roman" w:hAnsi="Times New Roman" w:eastAsia="宋体" w:cs="Times New Roman"/>
                <w:color w:val="auto"/>
                <w:sz w:val="24"/>
                <w:szCs w:val="22"/>
                <w:highlight w:val="none"/>
                <w:lang w:val="en-US" w:eastAsia="zh-CN"/>
              </w:rPr>
              <w:t>各种性质发生变化，使其受不利影响</w:t>
            </w:r>
            <w:r>
              <w:rPr>
                <w:rFonts w:hint="default" w:ascii="Times New Roman" w:hAnsi="Times New Roman" w:eastAsia="宋体" w:cs="Times New Roman"/>
                <w:color w:val="auto"/>
                <w:sz w:val="24"/>
                <w:szCs w:val="22"/>
                <w:highlight w:val="none"/>
              </w:rPr>
              <w:t>。本项目</w:t>
            </w:r>
            <w:r>
              <w:rPr>
                <w:rFonts w:hint="eastAsia" w:ascii="Times New Roman" w:hAnsi="Times New Roman" w:eastAsia="宋体" w:cs="Times New Roman"/>
                <w:color w:val="auto"/>
                <w:sz w:val="24"/>
                <w:szCs w:val="22"/>
                <w:highlight w:val="none"/>
                <w:lang w:val="en-US" w:eastAsia="zh-CN"/>
              </w:rPr>
              <w:t>将危废间</w:t>
            </w:r>
            <w:r>
              <w:rPr>
                <w:rFonts w:hint="default" w:ascii="Times New Roman" w:hAnsi="Times New Roman" w:eastAsia="宋体" w:cs="Times New Roman"/>
                <w:color w:val="auto"/>
                <w:sz w:val="24"/>
                <w:szCs w:val="22"/>
                <w:highlight w:val="none"/>
              </w:rPr>
              <w:t>采取了防渗措施，有限的减少了</w:t>
            </w:r>
            <w:r>
              <w:rPr>
                <w:rFonts w:hint="eastAsia" w:ascii="Times New Roman" w:hAnsi="Times New Roman" w:eastAsia="宋体" w:cs="Times New Roman"/>
                <w:color w:val="auto"/>
                <w:sz w:val="24"/>
                <w:szCs w:val="22"/>
                <w:highlight w:val="none"/>
                <w:lang w:val="en-US" w:eastAsia="zh-CN"/>
              </w:rPr>
              <w:t>危废泄露及进入土壤</w:t>
            </w:r>
            <w:r>
              <w:rPr>
                <w:rFonts w:hint="default" w:ascii="Times New Roman" w:hAnsi="Times New Roman" w:eastAsia="宋体" w:cs="Times New Roman"/>
                <w:color w:val="auto"/>
                <w:sz w:val="24"/>
                <w:szCs w:val="22"/>
                <w:highlight w:val="none"/>
              </w:rPr>
              <w:t>。</w:t>
            </w:r>
            <w:r>
              <w:rPr>
                <w:rFonts w:hint="default" w:ascii="Times New Roman" w:hAnsi="Times New Roman" w:eastAsia="宋体" w:cs="Times New Roman"/>
                <w:bCs/>
                <w:snapToGrid w:val="0"/>
                <w:color w:val="auto"/>
                <w:kern w:val="0"/>
                <w:sz w:val="24"/>
                <w:szCs w:val="24"/>
              </w:rPr>
              <w:t>项目区</w:t>
            </w:r>
            <w:r>
              <w:rPr>
                <w:rFonts w:hint="eastAsia" w:cs="Times New Roman"/>
                <w:bCs/>
                <w:snapToGrid w:val="0"/>
                <w:color w:val="auto"/>
                <w:kern w:val="0"/>
                <w:sz w:val="24"/>
                <w:szCs w:val="24"/>
                <w:lang w:eastAsia="zh-CN"/>
              </w:rPr>
              <w:t>使用车辆</w:t>
            </w:r>
            <w:r>
              <w:rPr>
                <w:rFonts w:hint="default" w:ascii="Times New Roman" w:hAnsi="Times New Roman" w:eastAsia="宋体" w:cs="Times New Roman"/>
                <w:bCs/>
                <w:snapToGrid w:val="0"/>
                <w:color w:val="auto"/>
                <w:kern w:val="0"/>
                <w:sz w:val="24"/>
                <w:szCs w:val="24"/>
              </w:rPr>
              <w:t>的柴油</w:t>
            </w:r>
            <w:r>
              <w:rPr>
                <w:rFonts w:hint="eastAsia" w:cs="Times New Roman"/>
                <w:bCs/>
                <w:snapToGrid w:val="0"/>
                <w:color w:val="auto"/>
                <w:kern w:val="0"/>
                <w:sz w:val="24"/>
                <w:szCs w:val="24"/>
                <w:lang w:eastAsia="zh-CN"/>
              </w:rPr>
              <w:t>油箱</w:t>
            </w:r>
            <w:r>
              <w:rPr>
                <w:rFonts w:hint="default" w:ascii="Times New Roman" w:hAnsi="Times New Roman" w:eastAsia="宋体" w:cs="Times New Roman"/>
                <w:bCs/>
                <w:snapToGrid w:val="0"/>
                <w:color w:val="auto"/>
                <w:kern w:val="0"/>
                <w:sz w:val="24"/>
                <w:szCs w:val="24"/>
              </w:rPr>
              <w:t>，要做到经常检查</w:t>
            </w:r>
            <w:r>
              <w:rPr>
                <w:rFonts w:hint="eastAsia" w:cs="Times New Roman"/>
                <w:bCs/>
                <w:snapToGrid w:val="0"/>
                <w:color w:val="auto"/>
                <w:kern w:val="0"/>
                <w:sz w:val="24"/>
                <w:szCs w:val="24"/>
                <w:lang w:eastAsia="zh-CN"/>
              </w:rPr>
              <w:t>，防止泄漏。</w:t>
            </w:r>
          </w:p>
          <w:p>
            <w:pPr>
              <w:pStyle w:val="25"/>
              <w:adjustRightInd w:val="0"/>
              <w:snapToGrid w:val="0"/>
              <w:spacing w:before="0" w:beforeAutospacing="0" w:after="0" w:afterAutospacing="0" w:line="360" w:lineRule="auto"/>
              <w:ind w:firstLine="480" w:firstLineChars="200"/>
              <w:rPr>
                <w:rFonts w:hint="default" w:ascii="Times New Roman" w:hAnsi="Times New Roman" w:eastAsia="宋体" w:cs="Times New Roman"/>
                <w:color w:val="auto"/>
                <w:position w:val="2"/>
                <w:sz w:val="24"/>
                <w:szCs w:val="24"/>
                <w:highlight w:val="none"/>
              </w:rPr>
            </w:pPr>
            <w:r>
              <w:rPr>
                <w:rFonts w:hint="default" w:ascii="Times New Roman" w:hAnsi="Times New Roman" w:eastAsia="宋体" w:cs="Times New Roman"/>
                <w:color w:val="auto"/>
                <w:position w:val="2"/>
                <w:sz w:val="24"/>
                <w:szCs w:val="24"/>
                <w:highlight w:val="none"/>
              </w:rPr>
              <w:t>因此，只要企业严格落实本报告提出的污染防治措施，项目对区域土壤环境影响是可接受的。</w:t>
            </w:r>
          </w:p>
          <w:p>
            <w:pPr>
              <w:pStyle w:val="82"/>
              <w:numPr>
                <w:ilvl w:val="0"/>
                <w:numId w:val="0"/>
              </w:numPr>
              <w:rPr>
                <w:color w:val="auto"/>
              </w:rPr>
            </w:pPr>
            <w:r>
              <w:rPr>
                <w:rFonts w:hint="eastAsia"/>
                <w:color w:val="auto"/>
                <w:lang w:val="en-US" w:eastAsia="zh-CN"/>
              </w:rPr>
              <w:t>9、</w:t>
            </w:r>
            <w:r>
              <w:rPr>
                <w:color w:val="auto"/>
              </w:rPr>
              <w:t>生态环境影响分析</w:t>
            </w:r>
          </w:p>
          <w:p>
            <w:pPr>
              <w:adjustRightInd w:val="0"/>
              <w:snapToGrid w:val="0"/>
              <w:spacing w:line="360" w:lineRule="auto"/>
              <w:ind w:firstLine="496" w:firstLineChars="200"/>
              <w:rPr>
                <w:rFonts w:hint="default" w:ascii="Times New Roman" w:hAnsi="Times New Roman" w:eastAsia="宋体" w:cs="Times New Roman"/>
                <w:spacing w:val="4"/>
                <w:sz w:val="24"/>
                <w:highlight w:val="none"/>
              </w:rPr>
            </w:pPr>
            <w:r>
              <w:rPr>
                <w:rFonts w:hint="default" w:ascii="Times New Roman" w:hAnsi="Times New Roman" w:eastAsia="宋体" w:cs="Times New Roman"/>
                <w:spacing w:val="4"/>
                <w:sz w:val="24"/>
                <w:highlight w:val="none"/>
              </w:rPr>
              <w:t>（1）土地占用对植被的影响</w:t>
            </w:r>
          </w:p>
          <w:p>
            <w:pPr>
              <w:adjustRightInd w:val="0"/>
              <w:snapToGrid w:val="0"/>
              <w:spacing w:line="360" w:lineRule="auto"/>
              <w:ind w:firstLine="480" w:firstLineChars="200"/>
              <w:rPr>
                <w:rFonts w:hint="eastAsia" w:ascii="Times New Roman" w:hAnsi="Times New Roman" w:eastAsia="宋体" w:cs="Times New Roman"/>
                <w:sz w:val="24"/>
                <w:highlight w:val="none"/>
                <w:lang w:eastAsia="zh-CN"/>
              </w:rPr>
            </w:pPr>
            <w:r>
              <w:rPr>
                <w:rFonts w:hint="default" w:ascii="Times New Roman" w:hAnsi="Times New Roman" w:eastAsia="宋体" w:cs="Times New Roman"/>
                <w:sz w:val="24"/>
                <w:highlight w:val="none"/>
              </w:rPr>
              <w:t>本项目</w:t>
            </w:r>
            <w:r>
              <w:rPr>
                <w:rFonts w:hint="eastAsia" w:cs="Times New Roman"/>
                <w:sz w:val="24"/>
                <w:highlight w:val="none"/>
                <w:lang w:eastAsia="zh-CN"/>
              </w:rPr>
              <w:t>采矿区</w:t>
            </w:r>
            <w:r>
              <w:rPr>
                <w:rFonts w:hint="default" w:ascii="Times New Roman" w:hAnsi="Times New Roman" w:eastAsia="宋体" w:cs="Times New Roman"/>
                <w:sz w:val="24"/>
                <w:highlight w:val="none"/>
              </w:rPr>
              <w:t>占地</w:t>
            </w:r>
            <w:r>
              <w:rPr>
                <w:rFonts w:hint="eastAsia" w:cs="Times New Roman"/>
                <w:sz w:val="24"/>
                <w:highlight w:val="none"/>
                <w:lang w:eastAsia="zh-CN"/>
              </w:rPr>
              <w:t>大部分是草丛</w:t>
            </w:r>
            <w:r>
              <w:rPr>
                <w:rFonts w:hint="default" w:ascii="Times New Roman" w:hAnsi="Times New Roman" w:eastAsia="宋体" w:cs="Times New Roman"/>
                <w:sz w:val="24"/>
                <w:highlight w:val="none"/>
              </w:rPr>
              <w:t>，将对原地形地貌、植被产生一定程度的破坏，但这部分影响是暂时的，待开采结束后通过采取水土保持等植被恢复措施，后期可恢复到原有水平。</w:t>
            </w:r>
            <w:r>
              <w:rPr>
                <w:rFonts w:hint="eastAsia" w:cs="Times New Roman"/>
                <w:sz w:val="24"/>
                <w:highlight w:val="none"/>
                <w:lang w:eastAsia="zh-CN"/>
              </w:rPr>
              <w:t>加工区占地为裸地，没有植物。</w:t>
            </w:r>
          </w:p>
          <w:p>
            <w:pPr>
              <w:adjustRightInd w:val="0"/>
              <w:snapToGrid w:val="0"/>
              <w:spacing w:line="360" w:lineRule="auto"/>
              <w:ind w:firstLine="480" w:firstLineChars="200"/>
              <w:rPr>
                <w:rFonts w:hint="default" w:ascii="Times New Roman" w:hAnsi="Times New Roman" w:eastAsia="宋体" w:cs="Times New Roman"/>
                <w:spacing w:val="4"/>
                <w:sz w:val="24"/>
                <w:highlight w:val="none"/>
              </w:rPr>
            </w:pPr>
            <w:r>
              <w:rPr>
                <w:rFonts w:hint="default" w:ascii="Times New Roman" w:hAnsi="Times New Roman" w:eastAsia="宋体" w:cs="Times New Roman"/>
                <w:sz w:val="24"/>
                <w:highlight w:val="none"/>
              </w:rPr>
              <w:t>（2）</w:t>
            </w:r>
            <w:r>
              <w:rPr>
                <w:rFonts w:hint="default" w:ascii="Times New Roman" w:hAnsi="Times New Roman" w:eastAsia="宋体" w:cs="Times New Roman"/>
                <w:spacing w:val="4"/>
                <w:sz w:val="24"/>
                <w:highlight w:val="none"/>
              </w:rPr>
              <w:t>对野生陆生动物的影响</w:t>
            </w:r>
          </w:p>
          <w:p>
            <w:pPr>
              <w:adjustRightInd w:val="0"/>
              <w:snapToGrid w:val="0"/>
              <w:spacing w:line="360" w:lineRule="auto"/>
              <w:ind w:firstLine="480" w:firstLineChars="200"/>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项目所在区域由于长期受人类活动的干扰，野生动物较少，项目建设对野生陆生动物的影响较小。</w:t>
            </w:r>
          </w:p>
          <w:p>
            <w:pPr>
              <w:keepNext w:val="0"/>
              <w:keepLines w:val="0"/>
              <w:widowControl/>
              <w:suppressLineNumbers w:val="0"/>
              <w:spacing w:line="360" w:lineRule="auto"/>
              <w:ind w:firstLine="496" w:firstLineChars="200"/>
              <w:jc w:val="left"/>
              <w:rPr>
                <w:highlight w:val="none"/>
              </w:rPr>
            </w:pPr>
            <w:r>
              <w:rPr>
                <w:rFonts w:hint="default" w:ascii="Times New Roman" w:hAnsi="Times New Roman" w:eastAsia="宋体" w:cs="Times New Roman"/>
                <w:spacing w:val="4"/>
                <w:sz w:val="24"/>
                <w:highlight w:val="none"/>
              </w:rPr>
              <w:t>（3）</w:t>
            </w:r>
            <w:r>
              <w:rPr>
                <w:rFonts w:hint="eastAsia" w:ascii="宋体" w:hAnsi="宋体" w:eastAsia="宋体" w:cs="宋体"/>
                <w:color w:val="000000"/>
                <w:kern w:val="0"/>
                <w:sz w:val="24"/>
                <w:szCs w:val="24"/>
                <w:highlight w:val="none"/>
                <w:lang w:val="en-US" w:eastAsia="zh-CN" w:bidi="ar"/>
              </w:rPr>
              <w:t xml:space="preserve">对植被影响 </w:t>
            </w:r>
          </w:p>
          <w:p>
            <w:pPr>
              <w:adjustRightInd w:val="0"/>
              <w:snapToGrid w:val="0"/>
              <w:spacing w:line="360" w:lineRule="auto"/>
              <w:ind w:firstLine="480" w:firstLineChars="200"/>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lang w:val="en-US" w:eastAsia="zh-CN"/>
              </w:rPr>
              <w:t>矿山开采过程中主要植被破坏因素有露天开采剥离、表土运出堆存及人为活动。矿山开采使评价区内植被面积减少，使一定范围内的植被遭到分散的线状或带状破坏和隔离。破坏的</w:t>
            </w:r>
            <w:r>
              <w:rPr>
                <w:rFonts w:hint="eastAsia" w:cs="Times New Roman"/>
                <w:sz w:val="24"/>
                <w:highlight w:val="none"/>
                <w:lang w:val="en-US" w:eastAsia="zh-CN"/>
              </w:rPr>
              <w:t>多为</w:t>
            </w:r>
            <w:r>
              <w:rPr>
                <w:rFonts w:hint="eastAsia"/>
                <w:sz w:val="24"/>
                <w:highlight w:val="none"/>
              </w:rPr>
              <w:t>短柄草、蒿草杂类</w:t>
            </w:r>
            <w:r>
              <w:rPr>
                <w:rFonts w:hint="eastAsia"/>
                <w:sz w:val="24"/>
                <w:highlight w:val="none"/>
                <w:lang w:eastAsia="zh-CN"/>
              </w:rPr>
              <w:t>等</w:t>
            </w:r>
            <w:r>
              <w:rPr>
                <w:rFonts w:hint="eastAsia" w:ascii="Times New Roman" w:hAnsi="Times New Roman" w:eastAsia="宋体" w:cs="Times New Roman"/>
                <w:sz w:val="24"/>
                <w:highlight w:val="none"/>
                <w:lang w:val="en-US" w:eastAsia="zh-CN"/>
              </w:rPr>
              <w:t>。</w:t>
            </w:r>
          </w:p>
          <w:p>
            <w:pPr>
              <w:adjustRightInd w:val="0"/>
              <w:snapToGrid w:val="0"/>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矿山生产期表土废石堆放要占用与覆盖裸地，使局部地段植被遭到破坏，主要影响草种</w:t>
            </w:r>
            <w:r>
              <w:rPr>
                <w:rFonts w:hint="eastAsia"/>
                <w:sz w:val="24"/>
              </w:rPr>
              <w:t>长芒草、短话针茅</w:t>
            </w:r>
            <w:r>
              <w:rPr>
                <w:rFonts w:hint="eastAsia"/>
                <w:sz w:val="24"/>
                <w:lang w:eastAsia="zh-CN"/>
              </w:rPr>
              <w:t>和</w:t>
            </w:r>
            <w:r>
              <w:rPr>
                <w:rFonts w:hint="eastAsia"/>
                <w:sz w:val="24"/>
              </w:rPr>
              <w:t>短柄草、蒿草杂类</w:t>
            </w:r>
            <w:r>
              <w:rPr>
                <w:rFonts w:hint="eastAsia" w:ascii="Times New Roman" w:hAnsi="Times New Roman" w:eastAsia="宋体" w:cs="Times New Roman"/>
                <w:sz w:val="24"/>
                <w:lang w:val="en-US" w:eastAsia="zh-CN"/>
              </w:rPr>
              <w:t>等</w:t>
            </w:r>
            <w:r>
              <w:rPr>
                <w:rFonts w:hint="eastAsia" w:cs="Times New Roman"/>
                <w:sz w:val="24"/>
                <w:lang w:val="en-US" w:eastAsia="zh-CN"/>
              </w:rPr>
              <w:t>草丛</w:t>
            </w:r>
            <w:r>
              <w:rPr>
                <w:rFonts w:hint="eastAsia" w:ascii="Times New Roman" w:hAnsi="Times New Roman" w:eastAsia="宋体" w:cs="Times New Roman"/>
                <w:sz w:val="24"/>
                <w:lang w:val="en-US" w:eastAsia="zh-CN"/>
              </w:rPr>
              <w:t>。矿山活动会践踏、破坏一定范围内的植被覆盖，破坏区域主要集中在矿山周围</w:t>
            </w:r>
            <w:r>
              <w:rPr>
                <w:rFonts w:hint="default" w:ascii="Times New Roman" w:hAnsi="Times New Roman" w:eastAsia="宋体" w:cs="Times New Roman"/>
                <w:sz w:val="24"/>
                <w:lang w:val="en-US" w:eastAsia="zh-CN"/>
              </w:rPr>
              <w:t>30m</w:t>
            </w:r>
            <w:r>
              <w:rPr>
                <w:rFonts w:hint="eastAsia" w:ascii="Times New Roman" w:hAnsi="Times New Roman" w:eastAsia="宋体" w:cs="Times New Roman"/>
                <w:sz w:val="24"/>
                <w:lang w:val="en-US" w:eastAsia="zh-CN"/>
              </w:rPr>
              <w:t>范围，主要破坏植被的生长，造成植被等生长不良和死亡，从而影响到区域生物多样性和生态系统多样性，但项目占地面积较小，生产期破坏面积均在征地范围之内，不再增加，因而影响范围也较小。</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开采结束后对采空区进行植被恢复，具有良好的生态效益，在采取一系列生态环境保护措施后，其对地表植被的影响也将逐步降低。同时采矿活动破坏和影响的植物无珍稀物种，也没有保护物种，不会造成某一物种的灭绝。</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此外，随着本项目区生态恢复工程的实施，扰动范围内被破坏的植被将得到逐步恢复，使区域内植被状况向着良好方向发展，如盖度、种类和生产量等均会大幅度增加，因此对植被影响小。</w:t>
            </w:r>
          </w:p>
          <w:p>
            <w:pPr>
              <w:autoSpaceDE w:val="0"/>
              <w:autoSpaceDN w:val="0"/>
              <w:adjustRightInd w:val="0"/>
              <w:snapToGrid w:val="0"/>
              <w:spacing w:line="360" w:lineRule="auto"/>
              <w:ind w:firstLine="480" w:firstLineChars="200"/>
              <w:rPr>
                <w:rFonts w:hint="eastAsia"/>
                <w:sz w:val="24"/>
              </w:rPr>
            </w:pPr>
            <w:r>
              <w:rPr>
                <w:rFonts w:hint="eastAsia" w:ascii="宋体" w:hAnsi="宋体" w:cs="宋体"/>
                <w:color w:val="000000"/>
                <w:kern w:val="0"/>
                <w:sz w:val="24"/>
                <w:szCs w:val="24"/>
                <w:lang w:val="en-US" w:eastAsia="zh-CN" w:bidi="ar"/>
              </w:rPr>
              <w:t>（4）</w:t>
            </w:r>
            <w:r>
              <w:rPr>
                <w:rFonts w:hint="eastAsia"/>
                <w:sz w:val="24"/>
              </w:rPr>
              <w:t>对土壤环境的影响分析</w:t>
            </w:r>
          </w:p>
          <w:p>
            <w:pPr>
              <w:autoSpaceDE w:val="0"/>
              <w:autoSpaceDN w:val="0"/>
              <w:adjustRightInd w:val="0"/>
              <w:snapToGrid w:val="0"/>
              <w:spacing w:line="360" w:lineRule="auto"/>
              <w:ind w:firstLine="480" w:firstLineChars="200"/>
              <w:rPr>
                <w:rFonts w:hint="eastAsia"/>
                <w:lang w:val="en-US" w:eastAsia="zh-CN"/>
              </w:rPr>
            </w:pPr>
            <w:r>
              <w:rPr>
                <w:rFonts w:hint="eastAsia"/>
                <w:sz w:val="24"/>
              </w:rPr>
              <w:t>本矿对矿山</w:t>
            </w:r>
            <w:r>
              <w:rPr>
                <w:rFonts w:hint="eastAsia"/>
                <w:sz w:val="24"/>
                <w:lang w:val="en-US" w:eastAsia="zh-CN"/>
              </w:rPr>
              <w:t>废水</w:t>
            </w:r>
            <w:r>
              <w:rPr>
                <w:rFonts w:hint="eastAsia"/>
                <w:sz w:val="24"/>
              </w:rPr>
              <w:t>采取了相应的处理处置措施，采矿</w:t>
            </w:r>
            <w:r>
              <w:rPr>
                <w:rFonts w:hint="eastAsia"/>
                <w:sz w:val="24"/>
                <w:lang w:eastAsia="zh-CN"/>
              </w:rPr>
              <w:t>区</w:t>
            </w:r>
            <w:r>
              <w:rPr>
                <w:rFonts w:hint="eastAsia"/>
                <w:sz w:val="24"/>
              </w:rPr>
              <w:t>采取集排水措施，不会降低土壤生产力，土壤自身具有自净能力，能够同化和代谢外界环境进入土壤的物质。另外，通过加强管理、对露天开采区及时复垦，不会对周围土壤环境造成大的影响。</w:t>
            </w:r>
          </w:p>
          <w:p>
            <w:pPr>
              <w:pStyle w:val="35"/>
              <w:numPr>
                <w:ilvl w:val="0"/>
                <w:numId w:val="0"/>
              </w:numPr>
              <w:ind w:leftChars="200"/>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（5）对景观环境影响</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矿区开发将改变矿区原有的地形地貌和生态系统的结构功能，使原有的景观局部发生较大的变化。主要景观变化为：项目的开发建设使原有山地景观改变为一个较大的露天采空区，以及暂时生活区和辅助区域、人为活动等，这些人为景观组分的增加将破坏原有自然景观的功能结构，景观组分间的廊道有可能遭到临时堵塞或不畅，影响生态系统功能和结构。从区域景观来看，项目区表现为以灌丛为主的山地景观，区域景观表现比较单一。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虽为露天开采，地表破坏严重，表土堆存占压地表植被，但占地面积小，且露天采场依山而建，表土堆存于沟谷之中，仅对局地小范围景观有所影响，由于山系的阻挡作用对矿区范围外的景观不会产生影响，闭矿后进行生态植被恢复，同时本项目位于山区，因此本项目建设对当地区域生态景观的影响轻微。</w:t>
            </w:r>
          </w:p>
          <w:p>
            <w:pPr>
              <w:pStyle w:val="35"/>
              <w:spacing w:line="360" w:lineRule="auto"/>
            </w:pPr>
            <w:r>
              <w:rPr>
                <w:rFonts w:hint="eastAsia" w:ascii="宋体" w:hAnsi="宋体" w:eastAsia="宋体" w:cs="宋体"/>
                <w:color w:val="000000"/>
                <w:kern w:val="0"/>
                <w:sz w:val="24"/>
                <w:szCs w:val="24"/>
                <w:lang w:val="en-US" w:eastAsia="zh-CN" w:bidi="ar"/>
              </w:rPr>
              <w:t xml:space="preserve">（6）对生态系统的影响分析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本工程开采方式为露天开采，对环境影响的主要因素是采矿工程表层土壤的清理过程中扰动地表土层，造成矿区地段植被破坏，对生态环境产生干扰与影响，项目影响区附近无保护物种，分布植被大部分为低矮灌草等常见物种，不会造成植物多样性的损失。 </w:t>
            </w:r>
          </w:p>
          <w:p>
            <w:pPr>
              <w:keepNext w:val="0"/>
              <w:keepLines w:val="0"/>
              <w:widowControl/>
              <w:suppressLineNumbers w:val="0"/>
              <w:spacing w:line="360" w:lineRule="auto"/>
              <w:ind w:firstLine="480" w:firstLineChars="200"/>
              <w:jc w:val="left"/>
              <w:rPr>
                <w:rFonts w:hint="default" w:ascii="宋体" w:hAnsi="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依据本项目区的自然环境、水文及植被条件，该地区未分布保护动物。综上所述，采矿扰动范围无需要保护的珍稀濒危动物、植物分布，采矿活动不破坏特殊生境、不会使保护物种受到影响，只会对当地的生物量产生一定的不利影响，但由于扰动范围面积较整个区域较小，不会影响到区域物种的多样性。</w:t>
            </w:r>
          </w:p>
          <w:p>
            <w:pPr>
              <w:pStyle w:val="82"/>
              <w:numPr>
                <w:ilvl w:val="0"/>
                <w:numId w:val="0"/>
              </w:numPr>
              <w:rPr>
                <w:rFonts w:hint="default"/>
              </w:rPr>
            </w:pPr>
            <w:r>
              <w:rPr>
                <w:rFonts w:hint="eastAsia"/>
                <w:lang w:val="en-US" w:eastAsia="zh-CN"/>
              </w:rPr>
              <w:t>10、</w:t>
            </w:r>
            <w:r>
              <w:rPr>
                <w:rFonts w:hint="default"/>
              </w:rPr>
              <w:t>退役期主要环境问题</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项目服务期满后，环境空气、水体、噪声、固体废物等污染源停止排污，对环境的影响也会逐渐消失。但是，由于露天开采引起的地表裸露延续的时间较长，因此项目服务期满后，开采造成的地表裸露等对生态环境还存在一些潜在影响，主要表现在以下两个方面：</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（1）局部的地表岩移和垮落在一定程度上加剧地表岩土侵蚀速度，增加边坡泻溜发生的危险性。</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（2）服务期满后至复垦完成期间，地表裸露面积较大，残留的碎石碎土在车辆通行及大风天易产生较大扬尘，影响周边植被生长。此外，雨季时雨水冲刷整治复垦的土地，可造成新的水土流失。</w:t>
            </w:r>
          </w:p>
          <w:p>
            <w:pPr>
              <w:adjustRightInd w:val="0"/>
              <w:snapToGrid w:val="0"/>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开采区开采活动结束后，应采取相应的植被恢复措施，以尽快恢复开采区生态环境，使矿山及其周围的生态环境影响降到最低。可采取以下几点防治措施：</w:t>
            </w:r>
          </w:p>
          <w:p>
            <w:pPr>
              <w:adjustRightInd w:val="0"/>
              <w:snapToGrid w:val="0"/>
              <w:spacing w:line="360" w:lineRule="auto"/>
              <w:ind w:firstLine="480"/>
              <w:rPr>
                <w:rFonts w:hint="default" w:ascii="Times New Roman" w:hAnsi="Times New Roman" w:eastAsia="宋体" w:cs="Times New Roman"/>
                <w:sz w:val="24"/>
              </w:rPr>
            </w:pPr>
            <w:r>
              <w:rPr>
                <w:rFonts w:hint="default" w:ascii="Times New Roman" w:hAnsi="Times New Roman" w:eastAsia="宋体" w:cs="Times New Roman"/>
                <w:sz w:val="24"/>
              </w:rPr>
              <w:t>⑴开采结束后，对场地进行清理，拆除基础设施。</w:t>
            </w:r>
          </w:p>
          <w:p>
            <w:pPr>
              <w:adjustRightInd w:val="0"/>
              <w:snapToGrid w:val="0"/>
              <w:spacing w:line="360" w:lineRule="auto"/>
              <w:ind w:firstLine="480" w:firstLineChars="200"/>
              <w:rPr>
                <w:rFonts w:hint="eastAsia"/>
                <w:sz w:val="24"/>
              </w:rPr>
            </w:pPr>
            <w:r>
              <w:rPr>
                <w:sz w:val="24"/>
              </w:rPr>
              <w:t>⑵回填覆土，设置相应的水保措施，撒播草种及种植相应的绿化植被等。</w:t>
            </w:r>
          </w:p>
          <w:p>
            <w:pPr>
              <w:autoSpaceDE w:val="0"/>
              <w:autoSpaceDN w:val="0"/>
              <w:adjustRightInd w:val="0"/>
              <w:snapToGrid w:val="0"/>
              <w:spacing w:line="360" w:lineRule="auto"/>
              <w:ind w:firstLine="480" w:firstLineChars="200"/>
              <w:rPr>
                <w:sz w:val="24"/>
              </w:rPr>
            </w:pPr>
            <w:r>
              <w:rPr>
                <w:sz w:val="24"/>
              </w:rPr>
              <w:t>⑶临时占地设施按植被恢复方案恢复相应地类。</w:t>
            </w:r>
          </w:p>
          <w:p>
            <w:pPr>
              <w:pStyle w:val="8"/>
              <w:adjustRightInd w:val="0"/>
              <w:snapToGrid w:val="0"/>
              <w:ind w:left="0" w:leftChars="0" w:firstLine="0" w:firstLineChars="0"/>
              <w:rPr>
                <w:rFonts w:hint="eastAsia" w:ascii="Times New Roman"/>
                <w:b/>
                <w:bCs/>
                <w:color w:val="000000"/>
                <w:sz w:val="24"/>
                <w:szCs w:val="24"/>
                <w:lang w:eastAsia="zh-CN"/>
              </w:rPr>
            </w:pPr>
            <w:r>
              <w:rPr>
                <w:rFonts w:hint="eastAsia" w:ascii="Times New Roman"/>
                <w:b/>
                <w:bCs/>
                <w:color w:val="000000"/>
                <w:sz w:val="24"/>
                <w:szCs w:val="24"/>
                <w:lang w:val="en-US" w:eastAsia="zh-CN"/>
              </w:rPr>
              <w:t>11、</w:t>
            </w:r>
            <w:r>
              <w:rPr>
                <w:rFonts w:hint="eastAsia" w:ascii="Times New Roman"/>
                <w:b/>
                <w:bCs/>
                <w:color w:val="000000"/>
                <w:sz w:val="24"/>
                <w:szCs w:val="24"/>
                <w:lang w:eastAsia="zh-CN"/>
              </w:rPr>
              <w:t>环境风险</w:t>
            </w:r>
          </w:p>
          <w:p>
            <w:pPr>
              <w:adjustRightInd w:val="0"/>
              <w:snapToGrid w:val="0"/>
              <w:spacing w:line="360" w:lineRule="auto"/>
              <w:ind w:firstLine="480" w:firstLineChars="200"/>
              <w:rPr>
                <w:rFonts w:hint="default" w:ascii="Times New Roman" w:hAnsi="Times New Roman" w:eastAsia="宋体" w:cs="Times New Roman"/>
                <w:b w:val="0"/>
                <w:bCs w:val="0"/>
                <w:sz w:val="24"/>
                <w:szCs w:val="24"/>
              </w:rPr>
            </w:pPr>
            <w:bookmarkStart w:id="33" w:name="_Toc23551439"/>
            <w:r>
              <w:rPr>
                <w:rFonts w:hint="default" w:ascii="Times New Roman" w:hAnsi="Times New Roman" w:eastAsia="宋体" w:cs="Times New Roman"/>
                <w:b w:val="0"/>
                <w:bCs w:val="0"/>
                <w:sz w:val="24"/>
                <w:szCs w:val="24"/>
              </w:rPr>
              <w:t>环境风险评价的目的是分析和预测建设项目存在的潜在危险、有害因素，项目建设和运营期间可能发生的突发性事件和事故，引起有毒有害和易燃易爆等物质泄漏，所造成的人身安全与环境影响及损害程度，提出合理可行的防范、应急与减缓措施，以使建设项目事故率、损失和环境影响达到可接受的水平。</w:t>
            </w:r>
          </w:p>
          <w:p>
            <w:pPr>
              <w:pStyle w:val="88"/>
              <w:adjustRightInd w:val="0"/>
              <w:snapToGrid w:val="0"/>
              <w:spacing w:line="360" w:lineRule="auto"/>
              <w:ind w:firstLine="480" w:firstLineChars="200"/>
              <w:rPr>
                <w:rFonts w:hint="eastAsia"/>
                <w:bCs/>
                <w:color w:val="000000"/>
                <w:sz w:val="24"/>
              </w:rPr>
            </w:pPr>
            <w:r>
              <w:rPr>
                <w:rFonts w:hint="default" w:ascii="Times New Roman" w:hAnsi="Times New Roman" w:eastAsia="宋体" w:cs="Times New Roman"/>
                <w:b w:val="0"/>
                <w:bCs w:val="0"/>
                <w:sz w:val="24"/>
                <w:szCs w:val="24"/>
              </w:rPr>
              <w:t>本章遵照国家环保总局环发[2012]77号文《关于进一步加强环境影响评价管理防范环境风险的通知》中的精神，以《建设项目环境风险评价技术导则》（HJ169-2018）为指导，通过对本项目进行风险识别和源项分析，进行风险评价，提出减缓风险的措施和应急预案，为环境管理提供资料和依据，达到降低危险、减少</w:t>
            </w:r>
            <w:r>
              <w:rPr>
                <w:rFonts w:hint="default" w:ascii="Times New Roman" w:hAnsi="Times New Roman" w:eastAsia="宋体" w:cs="Times New Roman"/>
                <w:b w:val="0"/>
                <w:bCs w:val="0"/>
                <w:color w:val="000000"/>
                <w:sz w:val="24"/>
                <w:szCs w:val="24"/>
              </w:rPr>
              <w:t>危害的目的。</w:t>
            </w:r>
            <w:r>
              <w:rPr>
                <w:rFonts w:hint="default" w:ascii="Times New Roman" w:hAnsi="Times New Roman" w:eastAsia="宋体" w:cs="Times New Roman"/>
                <w:b w:val="0"/>
                <w:bCs w:val="0"/>
                <w:color w:val="000000"/>
                <w:sz w:val="24"/>
              </w:rPr>
              <w:t xml:space="preserve"> </w:t>
            </w:r>
            <w:r>
              <w:rPr>
                <w:rFonts w:hint="eastAsia"/>
                <w:bCs/>
                <w:color w:val="000000"/>
                <w:sz w:val="24"/>
              </w:rPr>
              <w:t xml:space="preserve">  </w:t>
            </w:r>
          </w:p>
          <w:bookmarkEnd w:id="33"/>
          <w:p>
            <w:pPr>
              <w:pStyle w:val="88"/>
              <w:adjustRightInd w:val="0"/>
              <w:snapToGrid w:val="0"/>
              <w:spacing w:line="360" w:lineRule="auto"/>
              <w:ind w:firstLine="482" w:firstLineChars="200"/>
              <w:rPr>
                <w:bCs/>
                <w:color w:val="000000"/>
                <w:sz w:val="24"/>
              </w:rPr>
            </w:pPr>
            <w:r>
              <w:rPr>
                <w:rFonts w:hint="eastAsia"/>
                <w:bCs/>
                <w:color w:val="000000"/>
                <w:sz w:val="24"/>
                <w:lang w:val="en-US" w:eastAsia="zh-CN"/>
              </w:rPr>
              <w:t>11.1</w:t>
            </w:r>
            <w:r>
              <w:rPr>
                <w:color w:val="000000"/>
                <w:sz w:val="24"/>
              </w:rPr>
              <w:t>风险潜势初判</w:t>
            </w:r>
          </w:p>
          <w:p>
            <w:pPr>
              <w:adjustRightInd w:val="0"/>
              <w:snapToGrid w:val="0"/>
              <w:spacing w:line="360" w:lineRule="auto"/>
              <w:ind w:firstLine="480" w:firstLineChars="200"/>
              <w:rPr>
                <w:bCs/>
                <w:color w:val="000000"/>
                <w:sz w:val="24"/>
              </w:rPr>
            </w:pPr>
            <w:r>
              <w:rPr>
                <w:bCs/>
                <w:color w:val="000000"/>
                <w:sz w:val="24"/>
              </w:rPr>
              <w:t>⑴</w:t>
            </w:r>
            <w:r>
              <w:rPr>
                <w:rFonts w:hint="eastAsia"/>
                <w:bCs/>
                <w:color w:val="000000"/>
                <w:sz w:val="24"/>
              </w:rPr>
              <w:t xml:space="preserve"> </w:t>
            </w:r>
            <w:r>
              <w:rPr>
                <w:bCs/>
                <w:color w:val="000000"/>
                <w:sz w:val="24"/>
              </w:rPr>
              <w:t>Q值的确定</w:t>
            </w:r>
          </w:p>
          <w:p>
            <w:pPr>
              <w:adjustRightInd w:val="0"/>
              <w:snapToGrid w:val="0"/>
              <w:spacing w:line="360" w:lineRule="auto"/>
              <w:ind w:firstLine="480" w:firstLineChars="200"/>
              <w:rPr>
                <w:bCs/>
                <w:color w:val="000000"/>
                <w:sz w:val="24"/>
              </w:rPr>
            </w:pPr>
            <w:r>
              <w:rPr>
                <w:bCs/>
                <w:color w:val="000000"/>
                <w:sz w:val="24"/>
              </w:rPr>
              <w:t>根据《建设项目环境风险评价技术导则》（HJ169－2018）附录C，Q按下式进行计算：</w:t>
            </w:r>
          </w:p>
          <w:p>
            <w:pPr>
              <w:adjustRightInd w:val="0"/>
              <w:snapToGrid w:val="0"/>
              <w:spacing w:line="360" w:lineRule="auto"/>
              <w:ind w:firstLine="480" w:firstLineChars="200"/>
              <w:rPr>
                <w:bCs/>
                <w:color w:val="000000"/>
                <w:sz w:val="24"/>
              </w:rPr>
            </w:pPr>
            <w:r>
              <w:rPr>
                <w:bCs/>
                <w:color w:val="000000"/>
                <w:sz w:val="24"/>
              </w:rPr>
              <w:drawing>
                <wp:inline distT="0" distB="0" distL="114300" distR="114300">
                  <wp:extent cx="2085340" cy="457200"/>
                  <wp:effectExtent l="0" t="0" r="10160" b="0"/>
                  <wp:docPr id="5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9"/>
                          <pic:cNvPicPr>
                            <a:picLocks noChangeAspect="1"/>
                          </pic:cNvPicPr>
                        </pic:nvPicPr>
                        <pic:blipFill>
                          <a:blip r:embed="rId35"/>
                          <a:stretch>
                            <a:fillRect/>
                          </a:stretch>
                        </pic:blipFill>
                        <pic:spPr>
                          <a:xfrm>
                            <a:off x="0" y="0"/>
                            <a:ext cx="2085340" cy="457200"/>
                          </a:xfrm>
                          <a:prstGeom prst="rect">
                            <a:avLst/>
                          </a:prstGeom>
                          <a:noFill/>
                          <a:ln>
                            <a:noFill/>
                          </a:ln>
                        </pic:spPr>
                      </pic:pic>
                    </a:graphicData>
                  </a:graphic>
                </wp:inline>
              </w:drawing>
            </w:r>
          </w:p>
          <w:p>
            <w:pPr>
              <w:adjustRightInd w:val="0"/>
              <w:snapToGrid w:val="0"/>
              <w:spacing w:line="360" w:lineRule="auto"/>
              <w:ind w:firstLine="480"/>
              <w:rPr>
                <w:bCs/>
                <w:color w:val="000000"/>
                <w:sz w:val="24"/>
              </w:rPr>
            </w:pPr>
            <w:r>
              <w:rPr>
                <w:rFonts w:hint="eastAsia"/>
                <w:bCs/>
                <w:color w:val="000000"/>
                <w:sz w:val="24"/>
              </w:rPr>
              <w:t>式中：</w:t>
            </w:r>
            <w:r>
              <w:rPr>
                <w:bCs/>
                <w:color w:val="000000"/>
                <w:sz w:val="24"/>
              </w:rPr>
              <w:t xml:space="preserve">q1 </w:t>
            </w:r>
            <w:r>
              <w:rPr>
                <w:rFonts w:hint="eastAsia"/>
                <w:bCs/>
                <w:color w:val="000000"/>
                <w:sz w:val="24"/>
              </w:rPr>
              <w:t>，</w:t>
            </w:r>
            <w:r>
              <w:rPr>
                <w:bCs/>
                <w:color w:val="000000"/>
                <w:sz w:val="24"/>
              </w:rPr>
              <w:t xml:space="preserve">q2 </w:t>
            </w:r>
            <w:r>
              <w:rPr>
                <w:rFonts w:hint="eastAsia"/>
                <w:bCs/>
                <w:color w:val="000000"/>
                <w:sz w:val="24"/>
              </w:rPr>
              <w:t>，</w:t>
            </w:r>
            <w:r>
              <w:rPr>
                <w:bCs/>
                <w:color w:val="000000"/>
                <w:sz w:val="24"/>
              </w:rPr>
              <w:t>...</w:t>
            </w:r>
            <w:r>
              <w:rPr>
                <w:rFonts w:hint="eastAsia"/>
                <w:bCs/>
                <w:color w:val="000000"/>
                <w:sz w:val="24"/>
              </w:rPr>
              <w:t>，</w:t>
            </w:r>
            <w:r>
              <w:rPr>
                <w:bCs/>
                <w:color w:val="000000"/>
                <w:sz w:val="24"/>
              </w:rPr>
              <w:t>qn——</w:t>
            </w:r>
            <w:r>
              <w:rPr>
                <w:rFonts w:hint="eastAsia"/>
                <w:bCs/>
                <w:color w:val="000000"/>
                <w:sz w:val="24"/>
              </w:rPr>
              <w:t>每种危险物质的最大存在总量，</w:t>
            </w:r>
            <w:r>
              <w:rPr>
                <w:bCs/>
                <w:color w:val="000000"/>
                <w:sz w:val="24"/>
              </w:rPr>
              <w:t>t</w:t>
            </w:r>
            <w:r>
              <w:rPr>
                <w:rFonts w:hint="eastAsia"/>
                <w:bCs/>
                <w:color w:val="000000"/>
                <w:sz w:val="24"/>
              </w:rPr>
              <w:t>；</w:t>
            </w:r>
          </w:p>
          <w:p>
            <w:pPr>
              <w:adjustRightInd w:val="0"/>
              <w:snapToGrid w:val="0"/>
              <w:spacing w:line="360" w:lineRule="auto"/>
              <w:ind w:firstLine="480"/>
              <w:rPr>
                <w:bCs/>
                <w:color w:val="000000"/>
                <w:sz w:val="24"/>
              </w:rPr>
            </w:pPr>
            <w:r>
              <w:rPr>
                <w:bCs/>
                <w:color w:val="000000"/>
                <w:sz w:val="24"/>
              </w:rPr>
              <w:t>Q1 ， Q2 ， ...， Qn——</w:t>
            </w:r>
            <w:r>
              <w:rPr>
                <w:rFonts w:hint="eastAsia"/>
                <w:bCs/>
                <w:color w:val="000000"/>
                <w:sz w:val="24"/>
              </w:rPr>
              <w:t>每种危险物质的临界量，</w:t>
            </w:r>
            <w:r>
              <w:rPr>
                <w:bCs/>
                <w:color w:val="000000"/>
                <w:sz w:val="24"/>
              </w:rPr>
              <w:t>t</w:t>
            </w:r>
            <w:r>
              <w:rPr>
                <w:rFonts w:hint="eastAsia"/>
                <w:bCs/>
                <w:color w:val="000000"/>
                <w:sz w:val="24"/>
              </w:rPr>
              <w:t>。</w:t>
            </w:r>
          </w:p>
          <w:p>
            <w:pPr>
              <w:adjustRightInd w:val="0"/>
              <w:snapToGrid w:val="0"/>
              <w:spacing w:line="360" w:lineRule="auto"/>
              <w:ind w:firstLine="480"/>
              <w:rPr>
                <w:bCs/>
                <w:color w:val="000000"/>
                <w:sz w:val="24"/>
              </w:rPr>
            </w:pPr>
            <w:r>
              <w:rPr>
                <w:rFonts w:hint="eastAsia"/>
                <w:bCs/>
                <w:color w:val="000000"/>
                <w:sz w:val="24"/>
              </w:rPr>
              <w:t>当</w:t>
            </w:r>
            <w:r>
              <w:rPr>
                <w:bCs/>
                <w:color w:val="000000"/>
                <w:sz w:val="24"/>
              </w:rPr>
              <w:t xml:space="preserve"> Q</w:t>
            </w:r>
            <w:r>
              <w:rPr>
                <w:rFonts w:hint="eastAsia"/>
                <w:bCs/>
                <w:color w:val="000000"/>
                <w:sz w:val="24"/>
              </w:rPr>
              <w:t>＜</w:t>
            </w:r>
            <w:r>
              <w:rPr>
                <w:bCs/>
                <w:color w:val="000000"/>
                <w:sz w:val="24"/>
              </w:rPr>
              <w:t xml:space="preserve">1 </w:t>
            </w:r>
            <w:r>
              <w:rPr>
                <w:rFonts w:hint="eastAsia"/>
                <w:bCs/>
                <w:color w:val="000000"/>
                <w:sz w:val="24"/>
              </w:rPr>
              <w:t>时，该项目环境风险潜势为Ⅰ。当</w:t>
            </w:r>
            <w:r>
              <w:rPr>
                <w:bCs/>
                <w:color w:val="000000"/>
                <w:sz w:val="24"/>
              </w:rPr>
              <w:t>Q≥1</w:t>
            </w:r>
            <w:r>
              <w:rPr>
                <w:rFonts w:hint="eastAsia"/>
                <w:bCs/>
                <w:color w:val="000000"/>
                <w:sz w:val="24"/>
              </w:rPr>
              <w:t>时，将</w:t>
            </w:r>
            <w:r>
              <w:rPr>
                <w:bCs/>
                <w:color w:val="000000"/>
                <w:sz w:val="24"/>
              </w:rPr>
              <w:t>Q</w:t>
            </w:r>
            <w:r>
              <w:rPr>
                <w:rFonts w:hint="eastAsia"/>
                <w:bCs/>
                <w:color w:val="000000"/>
                <w:sz w:val="24"/>
              </w:rPr>
              <w:t>值划分为：（</w:t>
            </w:r>
            <w:r>
              <w:rPr>
                <w:bCs/>
                <w:color w:val="000000"/>
                <w:sz w:val="24"/>
              </w:rPr>
              <w:t>1</w:t>
            </w:r>
            <w:r>
              <w:rPr>
                <w:rFonts w:hint="eastAsia"/>
                <w:bCs/>
                <w:color w:val="000000"/>
                <w:sz w:val="24"/>
              </w:rPr>
              <w:t>）</w:t>
            </w:r>
            <w:r>
              <w:rPr>
                <w:bCs/>
                <w:color w:val="000000"/>
                <w:sz w:val="24"/>
              </w:rPr>
              <w:t>1≤Q</w:t>
            </w:r>
            <w:r>
              <w:rPr>
                <w:rFonts w:hint="eastAsia"/>
                <w:bCs/>
                <w:color w:val="000000"/>
                <w:sz w:val="24"/>
              </w:rPr>
              <w:t>＜</w:t>
            </w:r>
            <w:r>
              <w:rPr>
                <w:bCs/>
                <w:color w:val="000000"/>
                <w:sz w:val="24"/>
              </w:rPr>
              <w:t>10</w:t>
            </w:r>
            <w:r>
              <w:rPr>
                <w:rFonts w:hint="eastAsia"/>
                <w:bCs/>
                <w:color w:val="000000"/>
                <w:sz w:val="24"/>
              </w:rPr>
              <w:t>；（</w:t>
            </w:r>
            <w:r>
              <w:rPr>
                <w:bCs/>
                <w:color w:val="000000"/>
                <w:sz w:val="24"/>
              </w:rPr>
              <w:t>2</w:t>
            </w:r>
            <w:r>
              <w:rPr>
                <w:rFonts w:hint="eastAsia"/>
                <w:bCs/>
                <w:color w:val="000000"/>
                <w:sz w:val="24"/>
              </w:rPr>
              <w:t>）</w:t>
            </w:r>
            <w:r>
              <w:rPr>
                <w:bCs/>
                <w:color w:val="000000"/>
                <w:sz w:val="24"/>
              </w:rPr>
              <w:t>10≤Q</w:t>
            </w:r>
            <w:r>
              <w:rPr>
                <w:rFonts w:hint="eastAsia"/>
                <w:bCs/>
                <w:color w:val="000000"/>
                <w:sz w:val="24"/>
              </w:rPr>
              <w:t>＜</w:t>
            </w:r>
            <w:r>
              <w:rPr>
                <w:bCs/>
                <w:color w:val="000000"/>
                <w:sz w:val="24"/>
              </w:rPr>
              <w:t>100</w:t>
            </w:r>
            <w:r>
              <w:rPr>
                <w:rFonts w:hint="eastAsia"/>
                <w:bCs/>
                <w:color w:val="000000"/>
                <w:sz w:val="24"/>
              </w:rPr>
              <w:t>；（</w:t>
            </w:r>
            <w:r>
              <w:rPr>
                <w:bCs/>
                <w:color w:val="000000"/>
                <w:sz w:val="24"/>
              </w:rPr>
              <w:t>3</w:t>
            </w:r>
            <w:r>
              <w:rPr>
                <w:rFonts w:hint="eastAsia"/>
                <w:bCs/>
                <w:color w:val="000000"/>
                <w:sz w:val="24"/>
              </w:rPr>
              <w:t>）</w:t>
            </w:r>
            <w:r>
              <w:rPr>
                <w:bCs/>
                <w:color w:val="000000"/>
                <w:sz w:val="24"/>
              </w:rPr>
              <w:t>Q≥100</w:t>
            </w:r>
            <w:r>
              <w:rPr>
                <w:rFonts w:hint="eastAsia"/>
                <w:bCs/>
                <w:color w:val="000000"/>
                <w:sz w:val="24"/>
              </w:rPr>
              <w:t>。</w:t>
            </w:r>
          </w:p>
          <w:p>
            <w:pPr>
              <w:adjustRightInd w:val="0"/>
              <w:snapToGrid w:val="0"/>
              <w:spacing w:line="360" w:lineRule="auto"/>
              <w:ind w:firstLine="480" w:firstLineChars="200"/>
              <w:rPr>
                <w:rFonts w:hint="eastAsia" w:eastAsia="宋体"/>
                <w:bCs/>
                <w:color w:val="000000"/>
                <w:sz w:val="24"/>
                <w:lang w:eastAsia="zh-CN"/>
              </w:rPr>
            </w:pPr>
            <w:r>
              <w:rPr>
                <w:bCs/>
                <w:color w:val="000000"/>
                <w:sz w:val="24"/>
              </w:rPr>
              <w:t>根据《建设项目环境风险评价技术导则》（HJ169－2018）附录B及《危险化学品重大危险源辨识》（GB18218-2018）</w:t>
            </w:r>
            <w:r>
              <w:rPr>
                <w:bCs/>
                <w:color w:val="000000"/>
                <w:sz w:val="24"/>
                <w:szCs w:val="24"/>
              </w:rPr>
              <w:t>，本项目涉及的危险物质主要为</w:t>
            </w:r>
            <w:r>
              <w:rPr>
                <w:rFonts w:hint="eastAsia"/>
                <w:bCs/>
                <w:color w:val="000000"/>
                <w:sz w:val="24"/>
                <w:szCs w:val="24"/>
              </w:rPr>
              <w:t>油类</w:t>
            </w:r>
            <w:r>
              <w:rPr>
                <w:rFonts w:hint="eastAsia"/>
                <w:bCs/>
                <w:color w:val="000000"/>
                <w:sz w:val="24"/>
                <w:szCs w:val="24"/>
                <w:lang w:eastAsia="zh-CN"/>
              </w:rPr>
              <w:t>，</w:t>
            </w:r>
            <w:r>
              <w:rPr>
                <w:rFonts w:hint="eastAsia"/>
                <w:color w:val="auto"/>
                <w:sz w:val="24"/>
                <w:szCs w:val="24"/>
                <w:highlight w:val="none"/>
              </w:rPr>
              <w:t>车辆</w:t>
            </w:r>
            <w:r>
              <w:rPr>
                <w:color w:val="auto"/>
                <w:sz w:val="24"/>
                <w:szCs w:val="24"/>
                <w:highlight w:val="none"/>
              </w:rPr>
              <w:t>等油箱内</w:t>
            </w:r>
            <w:r>
              <w:rPr>
                <w:rFonts w:hint="eastAsia"/>
                <w:color w:val="auto"/>
                <w:sz w:val="24"/>
                <w:szCs w:val="24"/>
                <w:highlight w:val="none"/>
                <w:lang w:eastAsia="zh-CN"/>
              </w:rPr>
              <w:t>柴油。</w:t>
            </w:r>
          </w:p>
          <w:p>
            <w:pPr>
              <w:adjustRightInd w:val="0"/>
              <w:snapToGrid w:val="0"/>
              <w:spacing w:line="360" w:lineRule="auto"/>
              <w:ind w:firstLine="482"/>
              <w:rPr>
                <w:bCs/>
                <w:color w:val="000000"/>
                <w:sz w:val="24"/>
              </w:rPr>
            </w:pPr>
            <w:r>
              <w:rPr>
                <w:bCs/>
                <w:color w:val="000000"/>
                <w:sz w:val="24"/>
              </w:rPr>
              <w:t>经计算，本项目Q</w:t>
            </w:r>
            <w:r>
              <w:rPr>
                <w:rFonts w:hint="eastAsia"/>
                <w:bCs/>
                <w:color w:val="000000"/>
                <w:sz w:val="24"/>
              </w:rPr>
              <w:t>=0.</w:t>
            </w:r>
            <w:r>
              <w:rPr>
                <w:rFonts w:hint="eastAsia"/>
                <w:bCs/>
                <w:color w:val="000000"/>
                <w:sz w:val="24"/>
                <w:lang w:val="en-US" w:eastAsia="zh-CN"/>
              </w:rPr>
              <w:t>00016</w:t>
            </w:r>
            <w:r>
              <w:rPr>
                <w:bCs/>
                <w:color w:val="000000"/>
                <w:sz w:val="24"/>
              </w:rPr>
              <w:t>＜1。</w:t>
            </w:r>
          </w:p>
          <w:p>
            <w:pPr>
              <w:adjustRightInd w:val="0"/>
              <w:snapToGrid w:val="0"/>
              <w:spacing w:line="360" w:lineRule="auto"/>
              <w:ind w:firstLine="480" w:firstLineChars="200"/>
              <w:rPr>
                <w:bCs/>
                <w:color w:val="000000"/>
                <w:sz w:val="24"/>
              </w:rPr>
            </w:pPr>
            <w:r>
              <w:rPr>
                <w:rFonts w:hint="eastAsia"/>
                <w:bCs/>
                <w:color w:val="000000"/>
                <w:sz w:val="24"/>
              </w:rPr>
              <w:t>⑵</w:t>
            </w:r>
            <w:r>
              <w:rPr>
                <w:bCs/>
                <w:color w:val="000000"/>
                <w:sz w:val="24"/>
              </w:rPr>
              <w:t>风险潜势判断</w:t>
            </w:r>
          </w:p>
          <w:p>
            <w:pPr>
              <w:adjustRightInd w:val="0"/>
              <w:snapToGrid w:val="0"/>
              <w:spacing w:line="360" w:lineRule="auto"/>
              <w:ind w:firstLine="480"/>
              <w:rPr>
                <w:bCs/>
                <w:color w:val="000000"/>
                <w:sz w:val="24"/>
              </w:rPr>
            </w:pPr>
            <w:r>
              <w:rPr>
                <w:bCs/>
                <w:color w:val="000000"/>
                <w:sz w:val="24"/>
              </w:rPr>
              <w:t>根据《建设项目环境风险评价技术导则》（HJ169－2018）划分依据，直接判定本项目环境风险潜势为I。</w:t>
            </w:r>
          </w:p>
          <w:p>
            <w:pPr>
              <w:pStyle w:val="88"/>
              <w:adjustRightInd w:val="0"/>
              <w:snapToGrid w:val="0"/>
              <w:rPr>
                <w:b w:val="0"/>
                <w:bCs/>
                <w:color w:val="000000"/>
                <w:sz w:val="24"/>
              </w:rPr>
            </w:pPr>
            <w:bookmarkStart w:id="34" w:name="_Toc6489301"/>
            <w:bookmarkStart w:id="35" w:name="_Toc23551441"/>
            <w:r>
              <w:rPr>
                <w:rFonts w:hint="eastAsia"/>
                <w:b w:val="0"/>
                <w:bCs/>
                <w:color w:val="000000"/>
                <w:sz w:val="24"/>
              </w:rPr>
              <w:t xml:space="preserve">  </w:t>
            </w:r>
            <w:r>
              <w:rPr>
                <w:rFonts w:hint="eastAsia"/>
                <w:b w:val="0"/>
                <w:bCs/>
                <w:color w:val="000000"/>
                <w:sz w:val="24"/>
                <w:lang w:val="en-US" w:eastAsia="zh-CN"/>
              </w:rPr>
              <w:t xml:space="preserve"> </w:t>
            </w:r>
            <w:r>
              <w:rPr>
                <w:rFonts w:hint="eastAsia"/>
                <w:bCs/>
                <w:color w:val="000000"/>
                <w:sz w:val="24"/>
              </w:rPr>
              <w:t xml:space="preserve"> </w:t>
            </w:r>
            <w:r>
              <w:rPr>
                <w:rFonts w:hint="eastAsia"/>
                <w:bCs/>
                <w:color w:val="000000"/>
                <w:sz w:val="24"/>
                <w:lang w:val="en-US" w:eastAsia="zh-CN"/>
              </w:rPr>
              <w:t>11</w:t>
            </w:r>
            <w:r>
              <w:rPr>
                <w:rFonts w:hint="eastAsia"/>
                <w:bCs/>
                <w:color w:val="000000"/>
                <w:sz w:val="24"/>
              </w:rPr>
              <w:t>.2</w:t>
            </w:r>
            <w:r>
              <w:rPr>
                <w:bCs/>
                <w:color w:val="000000"/>
                <w:sz w:val="24"/>
              </w:rPr>
              <w:t>风险识别</w:t>
            </w:r>
            <w:bookmarkEnd w:id="34"/>
            <w:bookmarkEnd w:id="3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olor w:val="auto"/>
                <w:sz w:val="24"/>
                <w:szCs w:val="24"/>
              </w:rPr>
            </w:pPr>
            <w:r>
              <w:rPr>
                <w:rFonts w:ascii="Times New Roman" w:hAnsi="Times New Roman"/>
                <w:color w:val="auto"/>
                <w:sz w:val="24"/>
                <w:szCs w:val="24"/>
              </w:rPr>
              <w:t>物质风险识别范围包括：主要原材料及辅助材料、燃料、中间产品、最终产品以及生产过程排放的“三废”污染物等。按照《建设项目环境风险评价技术导则》（以下简称“导则”）和《环境风险评价实用技术和方法》（以下简称“方法”）规定，风险评价首先要评价有害物质，确定项目中哪些物质应该进行危险性评价以及毒物危害程度的分级。根据“导则”和“方法”规定，根据项目主要生产装置、贮运系统、公用工程系统、工程环保设施及辅助生产设施等，本项目的主要风险设施如下：</w:t>
            </w:r>
          </w:p>
          <w:p>
            <w:pPr>
              <w:adjustRightInd w:val="0"/>
              <w:snapToGrid w:val="0"/>
              <w:spacing w:line="360" w:lineRule="auto"/>
              <w:ind w:firstLine="480" w:firstLineChars="200"/>
              <w:rPr>
                <w:rFonts w:hint="eastAsia"/>
                <w:color w:val="auto"/>
                <w:sz w:val="24"/>
                <w:szCs w:val="24"/>
                <w:highlight w:val="none"/>
                <w:lang w:eastAsia="zh-CN"/>
              </w:rPr>
            </w:pPr>
            <w:r>
              <w:rPr>
                <w:rFonts w:hint="eastAsia"/>
                <w:color w:val="auto"/>
                <w:sz w:val="24"/>
                <w:szCs w:val="24"/>
                <w:lang w:eastAsia="zh-CN"/>
              </w:rPr>
              <w:t>⑴柴油泄露风险</w:t>
            </w:r>
          </w:p>
          <w:p>
            <w:pPr>
              <w:adjustRightInd w:val="0"/>
              <w:snapToGrid w:val="0"/>
              <w:spacing w:line="360" w:lineRule="auto"/>
              <w:ind w:firstLine="480" w:firstLineChars="200"/>
              <w:rPr>
                <w:rFonts w:hint="eastAsia" w:ascii="Times New Roman" w:hAnsi="Times New Roman" w:eastAsia="宋体"/>
                <w:bCs/>
                <w:snapToGrid w:val="0"/>
                <w:color w:val="000000"/>
                <w:kern w:val="0"/>
                <w:sz w:val="24"/>
                <w:szCs w:val="24"/>
                <w:highlight w:val="none"/>
                <w:lang w:eastAsia="zh-CN"/>
              </w:rPr>
            </w:pPr>
            <w:r>
              <w:rPr>
                <w:rFonts w:hint="eastAsia"/>
                <w:color w:val="auto"/>
                <w:sz w:val="24"/>
                <w:szCs w:val="24"/>
                <w:highlight w:val="none"/>
                <w:lang w:eastAsia="zh-CN"/>
              </w:rPr>
              <w:t>本项目运输及动力设备燃料均为柴油，项目车辆</w:t>
            </w:r>
            <w:r>
              <w:rPr>
                <w:rFonts w:hint="eastAsia"/>
                <w:color w:val="auto"/>
                <w:sz w:val="24"/>
                <w:szCs w:val="24"/>
                <w:highlight w:val="none"/>
                <w:lang w:val="en-US" w:eastAsia="zh-CN"/>
              </w:rPr>
              <w:t>储存</w:t>
            </w:r>
            <w:r>
              <w:rPr>
                <w:rFonts w:hint="eastAsia"/>
                <w:bCs/>
                <w:snapToGrid w:val="0"/>
                <w:color w:val="auto"/>
                <w:kern w:val="0"/>
                <w:sz w:val="24"/>
                <w:szCs w:val="24"/>
                <w:highlight w:val="none"/>
                <w:lang w:val="en-US" w:eastAsia="zh-CN"/>
              </w:rPr>
              <w:t>0.4</w:t>
            </w:r>
            <w:r>
              <w:rPr>
                <w:rFonts w:ascii="Times New Roman" w:hAnsi="Times New Roman" w:eastAsia="宋体"/>
                <w:bCs/>
                <w:snapToGrid w:val="0"/>
                <w:color w:val="auto"/>
                <w:kern w:val="0"/>
                <w:sz w:val="24"/>
                <w:szCs w:val="24"/>
                <w:highlight w:val="none"/>
              </w:rPr>
              <w:t>t</w:t>
            </w:r>
            <w:r>
              <w:rPr>
                <w:rFonts w:hint="eastAsia" w:ascii="Times New Roman" w:hAnsi="Times New Roman" w:eastAsia="宋体"/>
                <w:bCs/>
                <w:snapToGrid w:val="0"/>
                <w:color w:val="auto"/>
                <w:kern w:val="0"/>
                <w:sz w:val="24"/>
                <w:szCs w:val="24"/>
                <w:highlight w:val="none"/>
                <w:lang w:eastAsia="zh-CN"/>
              </w:rPr>
              <w:t>的</w:t>
            </w:r>
            <w:r>
              <w:rPr>
                <w:rFonts w:ascii="Times New Roman" w:hAnsi="Times New Roman" w:eastAsia="宋体"/>
                <w:bCs/>
                <w:snapToGrid w:val="0"/>
                <w:color w:val="auto"/>
                <w:kern w:val="0"/>
                <w:sz w:val="24"/>
                <w:szCs w:val="24"/>
                <w:highlight w:val="none"/>
              </w:rPr>
              <w:t>柴油，</w:t>
            </w:r>
            <w:r>
              <w:rPr>
                <w:rFonts w:hint="eastAsia" w:ascii="Times New Roman" w:hAnsi="Times New Roman" w:eastAsia="宋体"/>
                <w:bCs/>
                <w:snapToGrid w:val="0"/>
                <w:color w:val="auto"/>
                <w:kern w:val="0"/>
                <w:sz w:val="24"/>
                <w:szCs w:val="24"/>
                <w:highlight w:val="none"/>
                <w:lang w:eastAsia="zh-CN"/>
              </w:rPr>
              <w:t>若柴油</w:t>
            </w:r>
            <w:r>
              <w:rPr>
                <w:rFonts w:hint="eastAsia" w:ascii="Times New Roman" w:hAnsi="Times New Roman" w:eastAsia="宋体"/>
                <w:bCs/>
                <w:snapToGrid w:val="0"/>
                <w:color w:val="000000"/>
                <w:kern w:val="0"/>
                <w:sz w:val="24"/>
                <w:szCs w:val="24"/>
                <w:highlight w:val="none"/>
                <w:lang w:eastAsia="zh-CN"/>
              </w:rPr>
              <w:t>发生泄露，渗入地下会造成地下水的污染</w:t>
            </w:r>
            <w:r>
              <w:rPr>
                <w:rFonts w:ascii="Times New Roman" w:hAnsi="Times New Roman" w:eastAsia="宋体"/>
                <w:bCs/>
                <w:snapToGrid w:val="0"/>
                <w:color w:val="000000"/>
                <w:kern w:val="0"/>
                <w:sz w:val="24"/>
                <w:szCs w:val="24"/>
                <w:highlight w:val="none"/>
              </w:rPr>
              <w:t>。</w:t>
            </w:r>
            <w:r>
              <w:rPr>
                <w:rFonts w:hint="eastAsia" w:ascii="Times New Roman" w:hAnsi="Times New Roman" w:eastAsia="宋体"/>
                <w:bCs/>
                <w:snapToGrid w:val="0"/>
                <w:color w:val="000000"/>
                <w:kern w:val="0"/>
                <w:sz w:val="24"/>
                <w:szCs w:val="24"/>
                <w:highlight w:val="none"/>
                <w:lang w:eastAsia="zh-CN"/>
              </w:rPr>
              <w:t>柴油事故燃烧会使局部环境空气质量降低。</w:t>
            </w:r>
          </w:p>
          <w:p>
            <w:pPr>
              <w:adjustRightInd w:val="0"/>
              <w:snapToGrid w:val="0"/>
              <w:spacing w:line="360" w:lineRule="auto"/>
              <w:ind w:firstLine="480" w:firstLineChars="200"/>
              <w:rPr>
                <w:rFonts w:ascii="Times New Roman" w:hAnsi="Times New Roman"/>
                <w:color w:val="000000"/>
                <w:sz w:val="24"/>
                <w:szCs w:val="24"/>
                <w:highlight w:val="none"/>
              </w:rPr>
            </w:pPr>
            <w:r>
              <w:rPr>
                <w:rFonts w:hint="eastAsia" w:ascii="Times New Roman" w:hAnsi="Times New Roman" w:eastAsia="宋体"/>
                <w:bCs/>
                <w:snapToGrid w:val="0"/>
                <w:color w:val="000000"/>
                <w:kern w:val="0"/>
                <w:sz w:val="24"/>
                <w:szCs w:val="24"/>
                <w:highlight w:val="none"/>
                <w:lang w:eastAsia="zh-CN"/>
              </w:rPr>
              <w:t>⑵</w:t>
            </w:r>
            <w:r>
              <w:rPr>
                <w:rFonts w:ascii="Times New Roman" w:hAnsi="Times New Roman"/>
                <w:color w:val="000000"/>
                <w:sz w:val="24"/>
                <w:szCs w:val="24"/>
                <w:highlight w:val="none"/>
              </w:rPr>
              <w:t>崩塌、滑坡灾害以及泥石流灾害</w:t>
            </w:r>
          </w:p>
          <w:p>
            <w:pPr>
              <w:adjustRightInd w:val="0"/>
              <w:snapToGrid w:val="0"/>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highlight w:val="none"/>
              </w:rPr>
              <w:t>本项目为露天开采</w:t>
            </w:r>
            <w:r>
              <w:rPr>
                <w:rFonts w:hint="eastAsia"/>
                <w:color w:val="000000"/>
                <w:sz w:val="24"/>
                <w:szCs w:val="24"/>
                <w:highlight w:val="none"/>
                <w:lang w:eastAsia="zh-CN"/>
              </w:rPr>
              <w:t>砂石料</w:t>
            </w:r>
            <w:r>
              <w:rPr>
                <w:rFonts w:ascii="Times New Roman" w:hAnsi="Times New Roman"/>
                <w:color w:val="000000"/>
                <w:sz w:val="24"/>
                <w:szCs w:val="24"/>
                <w:highlight w:val="none"/>
              </w:rPr>
              <w:t>矿，开采方式为</w:t>
            </w:r>
            <w:r>
              <w:rPr>
                <w:rFonts w:hint="eastAsia"/>
                <w:color w:val="000000"/>
                <w:sz w:val="24"/>
                <w:szCs w:val="24"/>
                <w:highlight w:val="none"/>
                <w:lang w:val="en-US" w:eastAsia="zh-CN"/>
              </w:rPr>
              <w:t>自上而下</w:t>
            </w:r>
            <w:r>
              <w:rPr>
                <w:rFonts w:hint="eastAsia"/>
                <w:color w:val="000000"/>
                <w:sz w:val="24"/>
                <w:szCs w:val="24"/>
                <w:highlight w:val="none"/>
                <w:lang w:eastAsia="zh-CN"/>
              </w:rPr>
              <w:t>的露天开采方式</w:t>
            </w:r>
            <w:r>
              <w:rPr>
                <w:rFonts w:ascii="Times New Roman" w:hAnsi="Times New Roman"/>
                <w:color w:val="000000"/>
                <w:sz w:val="24"/>
                <w:szCs w:val="24"/>
                <w:highlight w:val="none"/>
              </w:rPr>
              <w:t>，其开采过</w:t>
            </w:r>
            <w:r>
              <w:rPr>
                <w:rFonts w:ascii="Times New Roman" w:hAnsi="Times New Roman"/>
                <w:color w:val="000000"/>
                <w:sz w:val="24"/>
                <w:szCs w:val="24"/>
              </w:rPr>
              <w:t>程中可能会引发一些地质灾害，如崩塌、滑坡等，主要可能引发这些地质灾害的区域为露天采场。</w:t>
            </w:r>
          </w:p>
          <w:p>
            <w:pPr>
              <w:pStyle w:val="88"/>
              <w:adjustRightInd w:val="0"/>
              <w:snapToGrid w:val="0"/>
              <w:rPr>
                <w:bCs/>
                <w:color w:val="000000"/>
                <w:sz w:val="24"/>
              </w:rPr>
            </w:pPr>
            <w:bookmarkStart w:id="36" w:name="_Toc487126003"/>
            <w:bookmarkStart w:id="37" w:name="_Toc23551442"/>
            <w:bookmarkStart w:id="38" w:name="_Toc6489302"/>
            <w:bookmarkStart w:id="39" w:name="_Toc14315"/>
            <w:bookmarkStart w:id="40" w:name="_Toc487126004"/>
            <w:bookmarkStart w:id="41" w:name="_Toc31503"/>
            <w:r>
              <w:rPr>
                <w:rFonts w:hint="eastAsia"/>
                <w:bCs/>
                <w:color w:val="000000"/>
                <w:sz w:val="24"/>
              </w:rPr>
              <w:t xml:space="preserve">   </w:t>
            </w:r>
            <w:r>
              <w:rPr>
                <w:rFonts w:hint="eastAsia"/>
                <w:bCs/>
                <w:color w:val="000000"/>
                <w:sz w:val="24"/>
                <w:lang w:val="en-US" w:eastAsia="zh-CN"/>
              </w:rPr>
              <w:t xml:space="preserve"> 11.3</w:t>
            </w:r>
            <w:r>
              <w:rPr>
                <w:bCs/>
                <w:color w:val="000000"/>
                <w:sz w:val="24"/>
              </w:rPr>
              <w:t>环境风险分析</w:t>
            </w:r>
            <w:bookmarkEnd w:id="36"/>
            <w:bookmarkEnd w:id="37"/>
            <w:bookmarkEnd w:id="38"/>
            <w:bookmarkEnd w:id="39"/>
          </w:p>
          <w:bookmarkEnd w:id="40"/>
          <w:bookmarkEnd w:id="41"/>
          <w:p>
            <w:pPr>
              <w:adjustRightInd w:val="0"/>
              <w:snapToGrid w:val="0"/>
              <w:spacing w:line="360" w:lineRule="auto"/>
              <w:ind w:firstLine="480" w:firstLineChars="200"/>
              <w:jc w:val="left"/>
              <w:rPr>
                <w:bCs/>
                <w:color w:val="000000"/>
                <w:sz w:val="24"/>
              </w:rPr>
            </w:pPr>
            <w:r>
              <w:rPr>
                <w:rFonts w:hint="default" w:ascii="Times New Roman" w:hAnsi="Times New Roman" w:eastAsia="宋体" w:cs="Times New Roman"/>
                <w:bCs/>
                <w:snapToGrid w:val="0"/>
                <w:color w:val="auto"/>
                <w:kern w:val="0"/>
                <w:sz w:val="24"/>
                <w:szCs w:val="24"/>
              </w:rPr>
              <w:t>本项目</w:t>
            </w:r>
            <w:r>
              <w:rPr>
                <w:rFonts w:hint="eastAsia" w:cs="Times New Roman"/>
                <w:bCs/>
                <w:snapToGrid w:val="0"/>
                <w:color w:val="auto"/>
                <w:kern w:val="0"/>
                <w:sz w:val="24"/>
                <w:szCs w:val="24"/>
                <w:lang w:val="en-US" w:eastAsia="zh-CN"/>
              </w:rPr>
              <w:t>车辆内储存的</w:t>
            </w:r>
            <w:r>
              <w:rPr>
                <w:rFonts w:hint="default" w:ascii="Times New Roman" w:hAnsi="Times New Roman" w:eastAsia="宋体" w:cs="Times New Roman"/>
                <w:bCs/>
                <w:snapToGrid w:val="0"/>
                <w:color w:val="auto"/>
                <w:kern w:val="0"/>
                <w:sz w:val="24"/>
                <w:szCs w:val="24"/>
              </w:rPr>
              <w:t>柴油，油品为0#柴油，相对汽油挥发性要小很多，发生火灾爆炸事故可能性较小。只要火灾情况下，及时采取灭火措施，便能避免爆炸事故。</w:t>
            </w:r>
          </w:p>
          <w:p>
            <w:pPr>
              <w:pStyle w:val="88"/>
              <w:adjustRightInd w:val="0"/>
              <w:snapToGrid w:val="0"/>
              <w:ind w:firstLine="482" w:firstLineChars="200"/>
              <w:rPr>
                <w:bCs/>
                <w:color w:val="000000"/>
                <w:sz w:val="24"/>
              </w:rPr>
            </w:pPr>
            <w:bookmarkStart w:id="42" w:name="_Toc487126009"/>
            <w:bookmarkStart w:id="43" w:name="_Toc19339"/>
            <w:bookmarkStart w:id="44" w:name="_Toc23551443"/>
            <w:r>
              <w:rPr>
                <w:rFonts w:hint="eastAsia"/>
                <w:bCs/>
                <w:color w:val="000000"/>
                <w:sz w:val="24"/>
                <w:lang w:val="en-US" w:eastAsia="zh-CN"/>
              </w:rPr>
              <w:t>11.4</w:t>
            </w:r>
            <w:r>
              <w:rPr>
                <w:bCs/>
                <w:color w:val="000000"/>
                <w:sz w:val="24"/>
              </w:rPr>
              <w:t>环境风险防范措施</w:t>
            </w:r>
            <w:bookmarkEnd w:id="42"/>
            <w:bookmarkEnd w:id="43"/>
            <w:bookmarkEnd w:id="44"/>
          </w:p>
          <w:p>
            <w:pPr>
              <w:widowControl/>
              <w:spacing w:before="24" w:line="360" w:lineRule="auto"/>
              <w:ind w:firstLine="480"/>
              <w:jc w:val="left"/>
              <w:rPr>
                <w:color w:val="000000"/>
                <w:sz w:val="24"/>
                <w:highlight w:val="none"/>
              </w:rPr>
            </w:pPr>
            <w:r>
              <w:rPr>
                <w:color w:val="000000"/>
                <w:sz w:val="24"/>
                <w:highlight w:val="none"/>
              </w:rPr>
              <w:t>a.</w:t>
            </w:r>
            <w:r>
              <w:rPr>
                <w:rFonts w:hAnsi="宋体"/>
                <w:color w:val="000000"/>
                <w:sz w:val="24"/>
                <w:highlight w:val="none"/>
              </w:rPr>
              <w:t>柴油储存区泄漏风险防范措施</w:t>
            </w:r>
          </w:p>
          <w:p>
            <w:pPr>
              <w:adjustRightInd w:val="0"/>
              <w:snapToGrid w:val="0"/>
              <w:spacing w:line="360" w:lineRule="auto"/>
              <w:ind w:firstLine="480" w:firstLineChars="200"/>
              <w:jc w:val="left"/>
              <w:rPr>
                <w:rFonts w:hint="default" w:ascii="Times New Roman" w:hAnsi="Times New Roman" w:eastAsia="宋体" w:cs="Times New Roman"/>
                <w:bCs/>
                <w:snapToGrid w:val="0"/>
                <w:color w:val="auto"/>
                <w:kern w:val="0"/>
                <w:sz w:val="24"/>
                <w:szCs w:val="24"/>
              </w:rPr>
            </w:pPr>
            <w:r>
              <w:rPr>
                <w:rFonts w:hint="default" w:ascii="Times New Roman" w:hAnsi="Times New Roman" w:eastAsia="宋体" w:cs="Times New Roman"/>
                <w:bCs/>
                <w:snapToGrid w:val="0"/>
                <w:color w:val="auto"/>
                <w:kern w:val="0"/>
                <w:sz w:val="24"/>
                <w:szCs w:val="24"/>
              </w:rPr>
              <w:t>⑴泄漏风险防范措施</w:t>
            </w:r>
          </w:p>
          <w:p>
            <w:pPr>
              <w:adjustRightInd w:val="0"/>
              <w:snapToGrid w:val="0"/>
              <w:spacing w:line="360" w:lineRule="auto"/>
              <w:ind w:firstLine="480" w:firstLineChars="200"/>
              <w:jc w:val="left"/>
              <w:rPr>
                <w:rFonts w:hint="default" w:ascii="Times New Roman" w:hAnsi="Times New Roman" w:eastAsia="宋体" w:cs="Times New Roman"/>
                <w:bCs/>
                <w:snapToGrid w:val="0"/>
                <w:color w:val="auto"/>
                <w:kern w:val="0"/>
                <w:sz w:val="24"/>
                <w:szCs w:val="24"/>
              </w:rPr>
            </w:pPr>
            <w:r>
              <w:rPr>
                <w:rFonts w:hint="default" w:ascii="Times New Roman" w:hAnsi="Times New Roman" w:eastAsia="宋体" w:cs="Times New Roman"/>
                <w:bCs/>
                <w:snapToGrid w:val="0"/>
                <w:color w:val="auto"/>
                <w:kern w:val="0"/>
                <w:sz w:val="24"/>
                <w:szCs w:val="24"/>
              </w:rPr>
              <w:t>①项目区</w:t>
            </w:r>
            <w:r>
              <w:rPr>
                <w:rFonts w:hint="eastAsia" w:cs="Times New Roman"/>
                <w:bCs/>
                <w:snapToGrid w:val="0"/>
                <w:color w:val="auto"/>
                <w:kern w:val="0"/>
                <w:sz w:val="24"/>
                <w:szCs w:val="24"/>
                <w:lang w:eastAsia="zh-CN"/>
              </w:rPr>
              <w:t>使用车辆</w:t>
            </w:r>
            <w:r>
              <w:rPr>
                <w:rFonts w:hint="default" w:ascii="Times New Roman" w:hAnsi="Times New Roman" w:eastAsia="宋体" w:cs="Times New Roman"/>
                <w:bCs/>
                <w:snapToGrid w:val="0"/>
                <w:color w:val="auto"/>
                <w:kern w:val="0"/>
                <w:sz w:val="24"/>
                <w:szCs w:val="24"/>
              </w:rPr>
              <w:t>的柴油</w:t>
            </w:r>
            <w:r>
              <w:rPr>
                <w:rFonts w:hint="eastAsia" w:cs="Times New Roman"/>
                <w:bCs/>
                <w:snapToGrid w:val="0"/>
                <w:color w:val="auto"/>
                <w:kern w:val="0"/>
                <w:sz w:val="24"/>
                <w:szCs w:val="24"/>
                <w:lang w:eastAsia="zh-CN"/>
              </w:rPr>
              <w:t>油箱</w:t>
            </w:r>
            <w:r>
              <w:rPr>
                <w:rFonts w:hint="default" w:ascii="Times New Roman" w:hAnsi="Times New Roman" w:eastAsia="宋体" w:cs="Times New Roman"/>
                <w:bCs/>
                <w:snapToGrid w:val="0"/>
                <w:color w:val="auto"/>
                <w:kern w:val="0"/>
                <w:sz w:val="24"/>
                <w:szCs w:val="24"/>
              </w:rPr>
              <w:t>，要做到经常检查，周围和建筑物附近不能有易燃物；</w:t>
            </w:r>
          </w:p>
          <w:p>
            <w:pPr>
              <w:adjustRightInd w:val="0"/>
              <w:snapToGrid w:val="0"/>
              <w:spacing w:line="360" w:lineRule="auto"/>
              <w:ind w:firstLine="480" w:firstLineChars="200"/>
              <w:jc w:val="left"/>
              <w:rPr>
                <w:rFonts w:hint="default" w:ascii="Times New Roman" w:hAnsi="Times New Roman" w:eastAsia="宋体" w:cs="Times New Roman"/>
                <w:bCs/>
                <w:snapToGrid w:val="0"/>
                <w:color w:val="auto"/>
                <w:kern w:val="0"/>
                <w:sz w:val="24"/>
                <w:szCs w:val="24"/>
              </w:rPr>
            </w:pPr>
            <w:r>
              <w:rPr>
                <w:rFonts w:hint="default" w:ascii="Times New Roman" w:hAnsi="Times New Roman" w:eastAsia="宋体" w:cs="Times New Roman"/>
                <w:bCs/>
                <w:snapToGrid w:val="0"/>
                <w:color w:val="auto"/>
                <w:kern w:val="0"/>
                <w:sz w:val="24"/>
                <w:szCs w:val="24"/>
              </w:rPr>
              <w:t>②注意防晒，降温及温度变化。</w:t>
            </w:r>
          </w:p>
          <w:p>
            <w:pPr>
              <w:adjustRightInd w:val="0"/>
              <w:snapToGrid w:val="0"/>
              <w:spacing w:line="360" w:lineRule="auto"/>
              <w:ind w:firstLine="480" w:firstLineChars="200"/>
              <w:jc w:val="left"/>
              <w:rPr>
                <w:rFonts w:hint="default" w:ascii="Times New Roman" w:hAnsi="Times New Roman" w:eastAsia="宋体" w:cs="Times New Roman"/>
                <w:bCs/>
                <w:snapToGrid w:val="0"/>
                <w:color w:val="auto"/>
                <w:kern w:val="0"/>
                <w:sz w:val="24"/>
                <w:szCs w:val="24"/>
              </w:rPr>
            </w:pPr>
            <w:r>
              <w:rPr>
                <w:rFonts w:hint="default" w:ascii="Times New Roman" w:hAnsi="Times New Roman" w:eastAsia="宋体" w:cs="Times New Roman"/>
                <w:bCs/>
                <w:snapToGrid w:val="0"/>
                <w:color w:val="auto"/>
                <w:kern w:val="0"/>
                <w:sz w:val="24"/>
                <w:szCs w:val="24"/>
              </w:rPr>
              <w:t>⑵火灾事故风险防范措施</w:t>
            </w:r>
          </w:p>
          <w:p>
            <w:pPr>
              <w:adjustRightInd w:val="0"/>
              <w:snapToGrid w:val="0"/>
              <w:spacing w:line="360" w:lineRule="auto"/>
              <w:ind w:firstLine="480" w:firstLineChars="200"/>
              <w:jc w:val="left"/>
              <w:rPr>
                <w:rFonts w:hint="default" w:ascii="Times New Roman" w:hAnsi="Times New Roman" w:eastAsia="宋体" w:cs="Times New Roman"/>
                <w:bCs/>
                <w:snapToGrid w:val="0"/>
                <w:color w:val="auto"/>
                <w:kern w:val="0"/>
                <w:sz w:val="24"/>
                <w:szCs w:val="24"/>
              </w:rPr>
            </w:pPr>
            <w:r>
              <w:rPr>
                <w:rFonts w:hint="default" w:ascii="Times New Roman" w:hAnsi="Times New Roman" w:eastAsia="宋体" w:cs="Times New Roman"/>
                <w:bCs/>
                <w:snapToGrid w:val="0"/>
                <w:color w:val="auto"/>
                <w:kern w:val="0"/>
                <w:sz w:val="24"/>
                <w:szCs w:val="24"/>
              </w:rPr>
              <w:t>①消除静电危害</w:t>
            </w:r>
          </w:p>
          <w:p>
            <w:pPr>
              <w:adjustRightInd w:val="0"/>
              <w:snapToGrid w:val="0"/>
              <w:spacing w:line="360" w:lineRule="auto"/>
              <w:ind w:firstLine="480" w:firstLineChars="200"/>
              <w:jc w:val="left"/>
              <w:rPr>
                <w:rFonts w:hint="default" w:ascii="Times New Roman" w:hAnsi="Times New Roman" w:eastAsia="宋体" w:cs="Times New Roman"/>
                <w:bCs/>
                <w:snapToGrid w:val="0"/>
                <w:color w:val="auto"/>
                <w:kern w:val="0"/>
                <w:sz w:val="24"/>
                <w:szCs w:val="24"/>
              </w:rPr>
            </w:pPr>
            <w:r>
              <w:rPr>
                <w:rFonts w:hint="default" w:ascii="Times New Roman" w:hAnsi="Times New Roman" w:eastAsia="宋体" w:cs="Times New Roman"/>
                <w:bCs/>
                <w:snapToGrid w:val="0"/>
                <w:color w:val="auto"/>
                <w:kern w:val="0"/>
                <w:sz w:val="24"/>
                <w:szCs w:val="24"/>
              </w:rPr>
              <w:t>禁止直接向塑料容器内加注油品；工作人员应穿防静电工作服。</w:t>
            </w:r>
          </w:p>
          <w:p>
            <w:pPr>
              <w:adjustRightInd w:val="0"/>
              <w:snapToGrid w:val="0"/>
              <w:spacing w:line="360" w:lineRule="auto"/>
              <w:ind w:firstLine="480" w:firstLineChars="200"/>
              <w:jc w:val="left"/>
              <w:rPr>
                <w:rFonts w:hint="default" w:ascii="Times New Roman" w:hAnsi="Times New Roman" w:eastAsia="宋体" w:cs="Times New Roman"/>
                <w:bCs/>
                <w:snapToGrid w:val="0"/>
                <w:color w:val="auto"/>
                <w:kern w:val="0"/>
                <w:sz w:val="24"/>
                <w:szCs w:val="24"/>
              </w:rPr>
            </w:pPr>
            <w:r>
              <w:rPr>
                <w:rFonts w:hint="default" w:ascii="Times New Roman" w:hAnsi="Times New Roman" w:eastAsia="宋体" w:cs="Times New Roman"/>
                <w:bCs/>
                <w:snapToGrid w:val="0"/>
                <w:color w:val="auto"/>
                <w:kern w:val="0"/>
                <w:sz w:val="24"/>
                <w:szCs w:val="24"/>
              </w:rPr>
              <w:t>②加强作业现场的安全管理</w:t>
            </w:r>
          </w:p>
          <w:p>
            <w:pPr>
              <w:widowControl/>
              <w:spacing w:before="24" w:line="360" w:lineRule="auto"/>
              <w:ind w:firstLine="480"/>
              <w:jc w:val="left"/>
              <w:rPr>
                <w:color w:val="000000"/>
                <w:sz w:val="24"/>
                <w:highlight w:val="none"/>
              </w:rPr>
            </w:pPr>
            <w:r>
              <w:rPr>
                <w:rFonts w:hAnsi="宋体"/>
                <w:snapToGrid w:val="0"/>
                <w:color w:val="000000"/>
                <w:sz w:val="24"/>
                <w:highlight w:val="none"/>
              </w:rPr>
              <w:t>很多火灾的出现都是由于对作业现场的监管不力造成的。如对生产人员的安全教育流于形式，在储</w:t>
            </w:r>
            <w:r>
              <w:rPr>
                <w:rFonts w:hint="eastAsia" w:hAnsi="宋体"/>
                <w:snapToGrid w:val="0"/>
                <w:color w:val="000000"/>
                <w:sz w:val="24"/>
                <w:highlight w:val="none"/>
                <w:lang w:val="en-US" w:eastAsia="zh-CN"/>
              </w:rPr>
              <w:t>油桶</w:t>
            </w:r>
            <w:r>
              <w:rPr>
                <w:rFonts w:hAnsi="宋体"/>
                <w:snapToGrid w:val="0"/>
                <w:color w:val="000000"/>
                <w:sz w:val="24"/>
                <w:highlight w:val="none"/>
              </w:rPr>
              <w:t>附近吸烟，不按规定用电、用火等均有可能造成火灾。</w:t>
            </w:r>
          </w:p>
          <w:p>
            <w:pPr>
              <w:pStyle w:val="88"/>
              <w:adjustRightInd w:val="0"/>
              <w:snapToGrid w:val="0"/>
              <w:ind w:firstLine="482" w:firstLineChars="200"/>
              <w:rPr>
                <w:rFonts w:ascii="Times New Roman" w:hAnsi="Times New Roman" w:eastAsia="宋体" w:cs="Times New Roman"/>
                <w:bCs/>
                <w:color w:val="000000"/>
                <w:sz w:val="24"/>
                <w:lang w:val="en-US" w:eastAsia="zh-CN"/>
              </w:rPr>
            </w:pPr>
            <w:bookmarkStart w:id="45" w:name="_Toc23551444"/>
            <w:bookmarkStart w:id="46" w:name="_Toc487126014"/>
            <w:bookmarkStart w:id="47" w:name="_Toc24077"/>
            <w:r>
              <w:rPr>
                <w:rFonts w:hint="eastAsia" w:cs="Times New Roman"/>
                <w:bCs/>
                <w:color w:val="000000"/>
                <w:sz w:val="24"/>
                <w:lang w:val="en-US" w:eastAsia="zh-CN"/>
              </w:rPr>
              <w:t>11</w:t>
            </w:r>
            <w:r>
              <w:rPr>
                <w:rFonts w:hint="eastAsia" w:ascii="Times New Roman" w:hAnsi="Times New Roman" w:eastAsia="宋体" w:cs="Times New Roman"/>
                <w:bCs/>
                <w:color w:val="000000"/>
                <w:sz w:val="24"/>
                <w:lang w:val="en-US" w:eastAsia="zh-CN"/>
              </w:rPr>
              <w:t>.5</w:t>
            </w:r>
            <w:r>
              <w:rPr>
                <w:rFonts w:ascii="Times New Roman" w:hAnsi="Times New Roman" w:eastAsia="宋体" w:cs="Times New Roman"/>
                <w:bCs/>
                <w:color w:val="000000"/>
                <w:sz w:val="24"/>
                <w:lang w:val="en-US" w:eastAsia="zh-CN"/>
              </w:rPr>
              <w:t>环境风险应急预案</w:t>
            </w:r>
            <w:bookmarkEnd w:id="45"/>
            <w:bookmarkEnd w:id="46"/>
            <w:bookmarkEnd w:id="47"/>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bookmarkStart w:id="48" w:name="_Toc487126020"/>
            <w:bookmarkStart w:id="49" w:name="_Toc26006"/>
            <w:r>
              <w:rPr>
                <w:rFonts w:hint="eastAsia" w:ascii="Times New Roman" w:hAnsi="Times New Roman"/>
                <w:bCs/>
                <w:color w:val="000000"/>
                <w:spacing w:val="0"/>
                <w:kern w:val="2"/>
                <w:sz w:val="24"/>
                <w:szCs w:val="24"/>
                <w:lang w:val="en-US" w:eastAsia="zh-CN"/>
              </w:rPr>
              <w:t>为了加强对环境风险事故的有效控制，提高突发事故的应变能力，一旦发生事故，能够及时有效地组织抢险救援工作，保证迅速、有序、有效地开展应急与救援行动，将事故损失减少到最低程度，依照甘肃省相关规定，应制定风险事故应急预案，主要包括以下内容。</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⑴应急计划区</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应急计划区包括开采区</w:t>
            </w:r>
            <w:r>
              <w:rPr>
                <w:rFonts w:hint="eastAsia"/>
                <w:bCs/>
                <w:color w:val="000000"/>
                <w:spacing w:val="0"/>
                <w:kern w:val="2"/>
                <w:sz w:val="24"/>
                <w:szCs w:val="24"/>
                <w:lang w:val="en-US" w:eastAsia="zh-CN"/>
              </w:rPr>
              <w:t>及</w:t>
            </w:r>
            <w:r>
              <w:rPr>
                <w:rFonts w:hint="eastAsia" w:ascii="Times New Roman" w:hAnsi="Times New Roman"/>
                <w:bCs/>
                <w:color w:val="000000"/>
                <w:spacing w:val="0"/>
                <w:kern w:val="2"/>
                <w:sz w:val="24"/>
                <w:szCs w:val="24"/>
                <w:lang w:val="en-US" w:eastAsia="zh-CN"/>
              </w:rPr>
              <w:t>工业场地及</w:t>
            </w:r>
            <w:r>
              <w:rPr>
                <w:rFonts w:hint="eastAsia"/>
                <w:bCs/>
                <w:color w:val="000000"/>
                <w:spacing w:val="0"/>
                <w:kern w:val="2"/>
                <w:sz w:val="24"/>
                <w:szCs w:val="24"/>
                <w:lang w:val="en-US" w:eastAsia="zh-CN"/>
              </w:rPr>
              <w:t>车辆</w:t>
            </w:r>
            <w:r>
              <w:rPr>
                <w:rFonts w:hint="eastAsia" w:ascii="Times New Roman" w:hAnsi="Times New Roman"/>
                <w:bCs/>
                <w:color w:val="000000"/>
                <w:spacing w:val="0"/>
                <w:kern w:val="2"/>
                <w:sz w:val="24"/>
                <w:szCs w:val="24"/>
                <w:lang w:val="en-US" w:eastAsia="zh-CN"/>
              </w:rPr>
              <w:t>柴油</w:t>
            </w:r>
            <w:r>
              <w:rPr>
                <w:rFonts w:hint="eastAsia"/>
                <w:bCs/>
                <w:color w:val="000000"/>
                <w:spacing w:val="0"/>
                <w:kern w:val="2"/>
                <w:sz w:val="24"/>
                <w:szCs w:val="24"/>
                <w:lang w:val="en-US" w:eastAsia="zh-CN"/>
              </w:rPr>
              <w:t>油箱</w:t>
            </w:r>
            <w:r>
              <w:rPr>
                <w:rFonts w:hint="eastAsia" w:ascii="Times New Roman" w:hAnsi="Times New Roman"/>
                <w:bCs/>
                <w:color w:val="000000"/>
                <w:spacing w:val="0"/>
                <w:kern w:val="2"/>
                <w:sz w:val="24"/>
                <w:szCs w:val="24"/>
                <w:lang w:val="en-US" w:eastAsia="zh-CN"/>
              </w:rPr>
              <w:t>。</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⑵应急组织及人员</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项目设置应急小组，小组成员包括总指挥、安全监督、副组长、安全应急小分队、后勤保障等；且生产班组中应有专人负责班组安全监督。当事故发生时，应急小组根据各自分工，履行各自的职责。</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⑶应急预案分级相应程序</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发生安全事故后，企业、项目部除立即组织人员抢救事故外，还应采取有效措施防止事故扩大和保护现场，还应按下列规定报告有关部门。</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⑷应急救援保障</w:t>
            </w:r>
          </w:p>
          <w:p>
            <w:pPr>
              <w:adjustRightInd w:val="0"/>
              <w:snapToGrid w:val="0"/>
              <w:spacing w:line="360" w:lineRule="auto"/>
              <w:ind w:firstLine="480" w:firstLineChars="200"/>
              <w:rPr>
                <w:rFonts w:hint="eastAsia"/>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确保应急队伍，包括抢修、现场救护、交通管理、通讯、供应、输送等</w:t>
            </w:r>
            <w:r>
              <w:rPr>
                <w:rFonts w:hint="eastAsia"/>
                <w:bCs/>
                <w:color w:val="000000"/>
                <w:spacing w:val="0"/>
                <w:kern w:val="2"/>
                <w:sz w:val="24"/>
                <w:szCs w:val="24"/>
                <w:lang w:val="en-US" w:eastAsia="zh-CN"/>
              </w:rPr>
              <w:t>。</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⑸报警、通讯联络方式</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事故发现者应该根据事故险情的大小向不同级别的应急组织报警（各岗位应设有值班电话）</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⑹应急环境监测、抢救救援及控制措施</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由专业队伍负责对事故现场进行侦查监测，对事故性质、参数与后果进行评估，为指挥部门提供决策依据。</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⑺人员紧急撤离、疏散、撤离组织计划</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应对事故现场、邻近区、受事故影响的区域人员及公众等制定撤离组织计划，并施行救护、救助。</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⑻事故应急救援关闭程序与恢复措施</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当事故被得到有效控制后，进行应急状态终止程序，对事故现场进行善后处理，采取恢复措施，邻近区域解除事故警戒及善后恢复措施。</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⑼应急培训及演习</w:t>
            </w:r>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hint="eastAsia" w:ascii="Times New Roman" w:hAnsi="Times New Roman"/>
                <w:bCs/>
                <w:color w:val="000000"/>
                <w:spacing w:val="0"/>
                <w:kern w:val="2"/>
                <w:sz w:val="24"/>
                <w:szCs w:val="24"/>
                <w:lang w:val="en-US" w:eastAsia="zh-CN"/>
              </w:rPr>
              <w:t>平时安排相关人员进行培训及演练，以便事故发生后，救援工作能够迅速、有效、有序的展开并发挥作用。</w:t>
            </w:r>
          </w:p>
          <w:p>
            <w:pPr>
              <w:adjustRightInd w:val="0"/>
              <w:snapToGrid w:val="0"/>
              <w:spacing w:line="360" w:lineRule="auto"/>
              <w:ind w:firstLine="482" w:firstLineChars="200"/>
              <w:rPr>
                <w:rFonts w:ascii="Times New Roman" w:hAnsi="Times New Roman"/>
                <w:b/>
                <w:bCs w:val="0"/>
                <w:color w:val="000000"/>
                <w:spacing w:val="0"/>
                <w:kern w:val="2"/>
                <w:sz w:val="24"/>
                <w:szCs w:val="24"/>
                <w:lang w:val="en-US" w:eastAsia="zh-CN"/>
              </w:rPr>
            </w:pPr>
            <w:bookmarkStart w:id="50" w:name="_Toc23551445"/>
            <w:r>
              <w:rPr>
                <w:rFonts w:hint="eastAsia" w:ascii="Times New Roman" w:hAnsi="Times New Roman"/>
                <w:b/>
                <w:bCs w:val="0"/>
                <w:color w:val="000000"/>
                <w:spacing w:val="0"/>
                <w:kern w:val="2"/>
                <w:sz w:val="24"/>
                <w:szCs w:val="24"/>
                <w:lang w:val="en-US" w:eastAsia="zh-CN"/>
              </w:rPr>
              <w:t xml:space="preserve"> </w:t>
            </w:r>
            <w:r>
              <w:rPr>
                <w:rFonts w:hint="eastAsia"/>
                <w:b/>
                <w:bCs w:val="0"/>
                <w:color w:val="000000"/>
                <w:spacing w:val="0"/>
                <w:kern w:val="2"/>
                <w:sz w:val="24"/>
                <w:szCs w:val="24"/>
                <w:lang w:val="en-US" w:eastAsia="zh-CN"/>
              </w:rPr>
              <w:t>11.6</w:t>
            </w:r>
            <w:r>
              <w:rPr>
                <w:rFonts w:ascii="Times New Roman" w:hAnsi="Times New Roman"/>
                <w:b/>
                <w:bCs w:val="0"/>
                <w:color w:val="000000"/>
                <w:spacing w:val="0"/>
                <w:kern w:val="2"/>
                <w:sz w:val="24"/>
                <w:szCs w:val="24"/>
                <w:lang w:val="en-US" w:eastAsia="zh-CN"/>
              </w:rPr>
              <w:t>环境风险分析结论</w:t>
            </w:r>
            <w:bookmarkEnd w:id="48"/>
            <w:bookmarkEnd w:id="49"/>
            <w:bookmarkEnd w:id="50"/>
          </w:p>
          <w:p>
            <w:pPr>
              <w:adjustRightInd w:val="0"/>
              <w:snapToGrid w:val="0"/>
              <w:spacing w:line="360" w:lineRule="auto"/>
              <w:ind w:firstLine="480" w:firstLineChars="200"/>
              <w:rPr>
                <w:rFonts w:ascii="Times New Roman" w:hAnsi="Times New Roman"/>
                <w:bCs/>
                <w:color w:val="000000"/>
                <w:spacing w:val="0"/>
                <w:kern w:val="2"/>
                <w:sz w:val="24"/>
                <w:szCs w:val="24"/>
                <w:lang w:val="en-US" w:eastAsia="zh-CN"/>
              </w:rPr>
            </w:pPr>
            <w:r>
              <w:rPr>
                <w:rFonts w:ascii="Times New Roman" w:hAnsi="Times New Roman"/>
                <w:bCs/>
                <w:color w:val="000000"/>
                <w:spacing w:val="0"/>
                <w:kern w:val="2"/>
                <w:sz w:val="24"/>
                <w:szCs w:val="24"/>
                <w:lang w:val="en-US" w:eastAsia="zh-CN"/>
              </w:rPr>
              <w:t>本项目运营可能产生的风险事故有地质灾害风险等，风险的发生概率均较低，只要严格按照国家有关规定加强生产管理，对环保措施加强管理和巡查、维护，发生事故的可能性不大。项目</w:t>
            </w:r>
            <w:r>
              <w:rPr>
                <w:rFonts w:hint="eastAsia" w:ascii="Times New Roman" w:hAnsi="Times New Roman"/>
                <w:bCs/>
                <w:color w:val="000000"/>
                <w:spacing w:val="0"/>
                <w:kern w:val="2"/>
                <w:sz w:val="24"/>
                <w:szCs w:val="24"/>
                <w:lang w:val="en-US" w:eastAsia="zh-CN"/>
              </w:rPr>
              <w:t>矿山</w:t>
            </w:r>
            <w:r>
              <w:rPr>
                <w:rFonts w:ascii="Times New Roman" w:hAnsi="Times New Roman"/>
                <w:bCs/>
                <w:color w:val="000000"/>
                <w:spacing w:val="0"/>
                <w:kern w:val="2"/>
                <w:sz w:val="24"/>
                <w:szCs w:val="24"/>
                <w:lang w:val="en-US" w:eastAsia="zh-CN"/>
              </w:rPr>
              <w:t>地质结构稳定，开采过程中发生坍塌、泥石流、塌陷等事故的可能性小。</w:t>
            </w:r>
          </w:p>
          <w:p>
            <w:pPr>
              <w:pStyle w:val="8"/>
              <w:adjustRightInd w:val="0"/>
              <w:snapToGrid w:val="0"/>
              <w:ind w:firstLine="480"/>
              <w:rPr>
                <w:rFonts w:hint="eastAsia" w:ascii="Times New Roman"/>
                <w:bCs/>
                <w:sz w:val="24"/>
                <w:szCs w:val="24"/>
                <w:lang w:eastAsia="zh-CN"/>
              </w:rPr>
            </w:pPr>
            <w:r>
              <w:rPr>
                <w:rFonts w:ascii="Times New Roman" w:hAnsi="Times New Roman"/>
                <w:bCs/>
                <w:color w:val="000000"/>
                <w:spacing w:val="0"/>
                <w:kern w:val="2"/>
                <w:sz w:val="24"/>
                <w:szCs w:val="24"/>
                <w:lang w:val="en-US" w:eastAsia="zh-CN"/>
              </w:rPr>
              <w:t>通过制定严格风险防范措施和管理规定，落实岗位责任制，加强职工的安全生产教育，提高风险意识，能够最大限度地减少可能发生的环境风险，在发生环境风险事故时，及时启动风险应急预案，及时通知周边影响村庄、单位。在认真贯彻落实本报告提出的各项环境风险防范措施和加强管理的前提下，本项目的环境风险是可以接受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69" w:hRule="atLeast"/>
          <w:jc w:val="center"/>
        </w:trPr>
        <w:tc>
          <w:tcPr>
            <w:tcW w:w="443" w:type="dxa"/>
            <w:noWrap w:val="0"/>
            <w:vAlign w:val="center"/>
          </w:tcPr>
          <w:p>
            <w:pPr>
              <w:pStyle w:val="25"/>
              <w:adjustRightInd w:val="0"/>
              <w:snapToGrid w:val="0"/>
              <w:spacing w:before="0" w:beforeAutospacing="0" w:after="0" w:afterAutospacing="0"/>
              <w:jc w:val="center"/>
              <w:rPr>
                <w:rFonts w:ascii="Times New Roman" w:hAnsi="Times New Roman"/>
                <w:bCs/>
                <w:kern w:val="2"/>
                <w:szCs w:val="24"/>
                <w:highlight w:val="yellow"/>
                <w:lang w:val="en-US" w:eastAsia="zh-CN"/>
              </w:rPr>
            </w:pPr>
            <w:r>
              <w:rPr>
                <w:rFonts w:ascii="Times New Roman" w:hAnsi="Times New Roman"/>
                <w:bCs/>
                <w:kern w:val="2"/>
                <w:szCs w:val="24"/>
                <w:lang w:val="en-US" w:eastAsia="zh-CN"/>
              </w:rPr>
              <w:t>选址选线环境合理性分析</w:t>
            </w:r>
          </w:p>
        </w:tc>
        <w:tc>
          <w:tcPr>
            <w:tcW w:w="9216" w:type="dxa"/>
            <w:noWrap w:val="0"/>
            <w:vAlign w:val="top"/>
          </w:tcPr>
          <w:p>
            <w:pPr>
              <w:spacing w:line="360" w:lineRule="auto"/>
              <w:rPr>
                <w:rFonts w:hint="eastAsia" w:ascii="Times New Roman" w:hAnsi="Times New Roman" w:cs="Times New Roman"/>
                <w:b/>
                <w:sz w:val="24"/>
                <w:lang w:val="en-US" w:eastAsia="zh-CN"/>
              </w:rPr>
            </w:pPr>
            <w:r>
              <w:rPr>
                <w:rFonts w:hint="eastAsia" w:ascii="Times New Roman" w:hAnsi="Times New Roman" w:cs="Times New Roman"/>
                <w:b/>
                <w:sz w:val="24"/>
                <w:lang w:val="en-US" w:eastAsia="zh-CN"/>
              </w:rPr>
              <w:t>1、基本条件</w:t>
            </w:r>
          </w:p>
          <w:p>
            <w:pPr>
              <w:pStyle w:val="9"/>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rPr>
                <w:rFonts w:hint="eastAsia" w:ascii="Times New Roman" w:hAnsi="Times New Roman" w:eastAsia="宋体" w:cs="Times New Roman"/>
                <w:b w:val="0"/>
                <w:bCs/>
                <w:color w:val="auto"/>
                <w:sz w:val="24"/>
                <w:szCs w:val="24"/>
                <w:highlight w:val="none"/>
                <w:lang w:val="en-US" w:eastAsia="zh-CN"/>
              </w:rPr>
            </w:pPr>
            <w:r>
              <w:rPr>
                <w:rFonts w:hint="eastAsia" w:ascii="Times New Roman" w:hAnsi="Times New Roman" w:eastAsia="宋体" w:cs="Times New Roman"/>
                <w:b w:val="0"/>
                <w:bCs/>
                <w:color w:val="auto"/>
                <w:sz w:val="24"/>
                <w:szCs w:val="24"/>
                <w:highlight w:val="none"/>
                <w:lang w:val="en-US" w:eastAsia="zh-CN"/>
              </w:rPr>
              <w:t>项目周围2km范围内无历史文物古迹、风景名胜区及重要生态功能区；场址范围内无基本农田保护区，没有各类列入国家保护目录的动植物资源，且项目所在地无饮用水水源保护区、自然保护区等环境敏感地区。</w:t>
            </w:r>
          </w:p>
          <w:p>
            <w:pPr>
              <w:pStyle w:val="9"/>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rPr>
                <w:rFonts w:hint="eastAsia" w:ascii="Times New Roman" w:hAnsi="Times New Roman" w:eastAsia="宋体" w:cs="Times New Roman"/>
                <w:b w:val="0"/>
                <w:bCs/>
                <w:color w:val="auto"/>
                <w:sz w:val="24"/>
                <w:szCs w:val="24"/>
                <w:highlight w:val="none"/>
                <w:lang w:val="en-US" w:eastAsia="zh-CN"/>
              </w:rPr>
            </w:pPr>
            <w:r>
              <w:rPr>
                <w:rFonts w:hint="eastAsia" w:ascii="Times New Roman" w:hAnsi="Times New Roman" w:eastAsia="宋体" w:cs="Times New Roman"/>
                <w:b w:val="0"/>
                <w:bCs/>
                <w:color w:val="auto"/>
                <w:sz w:val="24"/>
                <w:szCs w:val="24"/>
                <w:highlight w:val="none"/>
                <w:lang w:val="en-US" w:eastAsia="zh-CN"/>
              </w:rPr>
              <w:t>石料加工厂、生活用电由当地电力部门提供，可以满足生产生活用电，建设单位工业场地自建配电室。</w:t>
            </w:r>
          </w:p>
          <w:p>
            <w:pPr>
              <w:spacing w:line="360" w:lineRule="auto"/>
              <w:ind w:firstLine="480" w:firstLineChars="200"/>
              <w:rPr>
                <w:sz w:val="24"/>
              </w:rPr>
            </w:pPr>
            <w:r>
              <w:rPr>
                <w:rFonts w:hAnsi="宋体"/>
                <w:sz w:val="24"/>
              </w:rPr>
              <w:t>本项目运营期用水为生产用水和少量生活用水。</w:t>
            </w:r>
            <w:r>
              <w:rPr>
                <w:rFonts w:hint="eastAsia" w:hAnsi="宋体"/>
                <w:sz w:val="24"/>
              </w:rPr>
              <w:t>生产用水从周边村庄拉运，运距短，水质满足使用要求。</w:t>
            </w:r>
          </w:p>
          <w:p>
            <w:pPr>
              <w:spacing w:line="360" w:lineRule="auto"/>
              <w:ind w:firstLine="480" w:firstLineChars="200"/>
              <w:rPr>
                <w:rFonts w:hint="eastAsia"/>
                <w:lang w:val="en-US" w:eastAsia="zh-CN"/>
              </w:rPr>
            </w:pPr>
            <w:r>
              <w:rPr>
                <w:rFonts w:hAnsi="宋体"/>
                <w:sz w:val="24"/>
              </w:rPr>
              <w:t>基本条件可行。</w:t>
            </w:r>
          </w:p>
          <w:p>
            <w:pPr>
              <w:spacing w:line="360" w:lineRule="auto"/>
              <w:rPr>
                <w:b/>
                <w:sz w:val="24"/>
              </w:rPr>
            </w:pPr>
            <w:r>
              <w:rPr>
                <w:rFonts w:hint="eastAsia"/>
                <w:b/>
                <w:sz w:val="24"/>
                <w:lang w:val="en-US" w:eastAsia="zh-CN"/>
              </w:rPr>
              <w:t>2、</w:t>
            </w:r>
            <w:r>
              <w:rPr>
                <w:b/>
                <w:sz w:val="24"/>
              </w:rPr>
              <w:t>生态环境条件</w:t>
            </w:r>
          </w:p>
          <w:p>
            <w:pPr>
              <w:spacing w:line="360" w:lineRule="auto"/>
              <w:ind w:firstLine="480" w:firstLineChars="200"/>
              <w:rPr>
                <w:sz w:val="24"/>
              </w:rPr>
            </w:pPr>
            <w:r>
              <w:rPr>
                <w:sz w:val="24"/>
              </w:rPr>
              <w:t>本项目建设矿山开发过程会对项目区生态环境造成一定的影响：矿山开采使评价区内植被面积减少；运输便道的建设使一定范围内的植被遭到分散的线状或带状破坏和隔离；道路修建与人群活动会践踏、破坏一定范围内植被；同时随着项目开发，项目区自然环境面貌，鸟类及野生动物栖息地受到破坏，大区域内人群活动、矿区道路的建设、机械车辆轰鸣均对鸟类和野生动物的栖息、活动、繁殖造成影响。</w:t>
            </w:r>
          </w:p>
          <w:p>
            <w:pPr>
              <w:spacing w:line="360" w:lineRule="auto"/>
              <w:ind w:firstLine="480" w:firstLineChars="200"/>
              <w:rPr>
                <w:sz w:val="24"/>
              </w:rPr>
            </w:pPr>
            <w:r>
              <w:rPr>
                <w:sz w:val="24"/>
              </w:rPr>
              <w:t>依据项目区生态环境特点，工程建设进行了全过程的生态防护和恢复措施，同时依据水土流失特征，进行水土保持防治措施总体布局，采取水土流失治理。依工程区的自然环境、水文及植被、生物多样性条件，工程建设对该地区生态完整性、生物多样性以及地下水造成影响较小，通过对水土流失的治理，能够达到水土保持方案中水土流失防治目标要求。</w:t>
            </w:r>
          </w:p>
          <w:p>
            <w:pPr>
              <w:spacing w:line="360" w:lineRule="auto"/>
              <w:rPr>
                <w:b/>
                <w:sz w:val="24"/>
              </w:rPr>
            </w:pPr>
            <w:r>
              <w:rPr>
                <w:rFonts w:hint="eastAsia"/>
                <w:b/>
                <w:sz w:val="24"/>
                <w:lang w:val="en-US" w:eastAsia="zh-CN"/>
              </w:rPr>
              <w:t>3、</w:t>
            </w:r>
            <w:r>
              <w:rPr>
                <w:b/>
                <w:sz w:val="24"/>
              </w:rPr>
              <w:t>环境敏感区及敏感点</w:t>
            </w:r>
          </w:p>
          <w:p>
            <w:pPr>
              <w:spacing w:line="360" w:lineRule="auto"/>
              <w:ind w:firstLine="480" w:firstLineChars="200"/>
              <w:rPr>
                <w:color w:val="FF0000"/>
                <w:sz w:val="24"/>
              </w:rPr>
            </w:pPr>
            <w:r>
              <w:rPr>
                <w:rFonts w:hint="eastAsia"/>
                <w:color w:val="FF0000"/>
                <w:sz w:val="24"/>
              </w:rPr>
              <w:t>工程开发过程中，不同程度对周围环境造成一定影响。就环境污染角度而言，工程无组织扬尘和噪声均会对近距离环境敏感点造成影响。项目周边环境敏感点均不在噪声评价范围内，根据预测结果，厂界噪声满足</w:t>
            </w:r>
            <w:r>
              <w:rPr>
                <w:rFonts w:hAnsi="宋体"/>
                <w:color w:val="FF0000"/>
                <w:sz w:val="24"/>
              </w:rPr>
              <w:t>《工业企业厂界噪声</w:t>
            </w:r>
            <w:r>
              <w:rPr>
                <w:rFonts w:hint="eastAsia" w:hAnsi="宋体"/>
                <w:color w:val="FF0000"/>
                <w:sz w:val="24"/>
              </w:rPr>
              <w:t>排放</w:t>
            </w:r>
            <w:r>
              <w:rPr>
                <w:rFonts w:hAnsi="宋体"/>
                <w:color w:val="FF0000"/>
                <w:sz w:val="24"/>
              </w:rPr>
              <w:t>标准》</w:t>
            </w:r>
            <w:r>
              <w:rPr>
                <w:rFonts w:hint="eastAsia" w:hAnsi="宋体"/>
                <w:color w:val="FF0000"/>
                <w:sz w:val="24"/>
              </w:rPr>
              <w:t>（</w:t>
            </w:r>
            <w:r>
              <w:rPr>
                <w:color w:val="FF0000"/>
                <w:sz w:val="24"/>
              </w:rPr>
              <w:t>GB12348-2008</w:t>
            </w:r>
            <w:r>
              <w:rPr>
                <w:rFonts w:hint="eastAsia" w:hAnsi="宋体"/>
                <w:color w:val="FF0000"/>
                <w:sz w:val="24"/>
              </w:rPr>
              <w:t>）</w:t>
            </w:r>
            <w:r>
              <w:rPr>
                <w:rFonts w:hAnsi="宋体"/>
                <w:color w:val="FF0000"/>
                <w:sz w:val="24"/>
              </w:rPr>
              <w:t>中</w:t>
            </w:r>
            <w:r>
              <w:rPr>
                <w:color w:val="FF0000"/>
                <w:sz w:val="24"/>
              </w:rPr>
              <w:t>2</w:t>
            </w:r>
            <w:r>
              <w:rPr>
                <w:rFonts w:hAnsi="宋体"/>
                <w:color w:val="FF0000"/>
                <w:sz w:val="24"/>
              </w:rPr>
              <w:t>类标准</w:t>
            </w:r>
            <w:r>
              <w:rPr>
                <w:rFonts w:hint="eastAsia" w:hAnsi="宋体"/>
                <w:color w:val="FF0000"/>
                <w:sz w:val="24"/>
              </w:rPr>
              <w:t>要求。运营期无生产废水产生和排放，对周围环境基本无影响。因此</w:t>
            </w:r>
            <w:r>
              <w:rPr>
                <w:color w:val="FF0000"/>
                <w:sz w:val="24"/>
              </w:rPr>
              <w:t>工程开发过程对采区污染实施保护措施和生态防护措施以及闭矿时进行生态恢复措施后，使项目的建设对敏感目标的影响</w:t>
            </w:r>
            <w:r>
              <w:rPr>
                <w:rFonts w:hint="eastAsia"/>
                <w:color w:val="FF0000"/>
                <w:sz w:val="24"/>
              </w:rPr>
              <w:t>降至</w:t>
            </w:r>
            <w:r>
              <w:rPr>
                <w:color w:val="FF0000"/>
                <w:sz w:val="24"/>
              </w:rPr>
              <w:t>最小</w:t>
            </w:r>
            <w:r>
              <w:rPr>
                <w:rFonts w:hint="eastAsia"/>
                <w:color w:val="FF0000"/>
                <w:sz w:val="24"/>
              </w:rPr>
              <w:t>，项目在此建设可被接受</w:t>
            </w:r>
            <w:r>
              <w:rPr>
                <w:color w:val="FF0000"/>
                <w:sz w:val="24"/>
              </w:rPr>
              <w:t>。</w:t>
            </w:r>
          </w:p>
          <w:p>
            <w:pPr>
              <w:spacing w:line="360" w:lineRule="auto"/>
              <w:ind w:firstLine="480" w:firstLineChars="200"/>
              <w:rPr>
                <w:rFonts w:hint="eastAsia"/>
                <w:sz w:val="24"/>
              </w:rPr>
            </w:pPr>
            <w:r>
              <w:rPr>
                <w:sz w:val="24"/>
              </w:rPr>
              <w:t>综上所述，项目区基础条件和环境地质条件良好，环境条件、生态环境条件和环境敏感区通过污染治理措施治理和生态防护措施后，项目建设不良环境影响较小，拟选矿开采可行。</w:t>
            </w:r>
          </w:p>
          <w:p>
            <w:pPr>
              <w:spacing w:line="360" w:lineRule="auto"/>
              <w:rPr>
                <w:b/>
                <w:sz w:val="24"/>
              </w:rPr>
            </w:pPr>
            <w:bookmarkStart w:id="51" w:name="_Toc398045664"/>
            <w:r>
              <w:rPr>
                <w:rFonts w:hint="eastAsia"/>
                <w:b/>
                <w:sz w:val="24"/>
                <w:lang w:val="en-US" w:eastAsia="zh-CN"/>
              </w:rPr>
              <w:t>4、剥离废土处理</w:t>
            </w:r>
            <w:r>
              <w:rPr>
                <w:b/>
                <w:sz w:val="24"/>
              </w:rPr>
              <w:t>可行性分析</w:t>
            </w:r>
            <w:bookmarkEnd w:id="51"/>
          </w:p>
          <w:p>
            <w:pPr>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由于本项目开采区和加工区不符合建设排土场的要求，所以本项目不设临时排土场。</w:t>
            </w:r>
          </w:p>
          <w:p>
            <w:pPr>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根据现场调查以及《东乡族自治县达板镇舀水村建筑用砂石料二号矿区</w:t>
            </w:r>
            <w:bookmarkStart w:id="52" w:name="_Toc25672504"/>
            <w:bookmarkStart w:id="53" w:name="_Toc37182622"/>
            <w:bookmarkStart w:id="54" w:name="_Toc47598960"/>
            <w:bookmarkStart w:id="55" w:name="_Toc28003760"/>
            <w:bookmarkStart w:id="56" w:name="_Toc99635938"/>
            <w:bookmarkStart w:id="57" w:name="_Toc99636082"/>
            <w:r>
              <w:rPr>
                <w:rFonts w:hint="eastAsia" w:ascii="Times New Roman" w:hAnsi="Times New Roman" w:eastAsia="宋体" w:cs="Times New Roman"/>
                <w:sz w:val="24"/>
                <w:lang w:val="en-US" w:eastAsia="zh-CN"/>
              </w:rPr>
              <w:t>矿产资源开发利用方案</w:t>
            </w:r>
            <w:bookmarkEnd w:id="52"/>
            <w:bookmarkEnd w:id="53"/>
            <w:bookmarkEnd w:id="54"/>
            <w:bookmarkEnd w:id="55"/>
            <w:bookmarkEnd w:id="56"/>
            <w:bookmarkEnd w:id="57"/>
            <w:r>
              <w:rPr>
                <w:rFonts w:hint="eastAsia" w:ascii="Times New Roman" w:hAnsi="Times New Roman" w:eastAsia="宋体" w:cs="Times New Roman"/>
                <w:sz w:val="24"/>
                <w:lang w:val="en-US" w:eastAsia="zh-CN"/>
              </w:rPr>
              <w:t>》，</w:t>
            </w:r>
            <w:r>
              <w:rPr>
                <w:rFonts w:hint="default" w:ascii="Times New Roman" w:hAnsi="Times New Roman" w:cs="Times New Roman"/>
                <w:kern w:val="0"/>
                <w:sz w:val="24"/>
                <w:szCs w:val="24"/>
                <w:lang w:val="zh-CN"/>
              </w:rPr>
              <w:t>设计开采范围内剥离量9.27</w:t>
            </w:r>
            <w:r>
              <w:rPr>
                <w:rFonts w:hint="default" w:ascii="Times New Roman" w:hAnsi="Times New Roman" w:cs="Times New Roman"/>
                <w:sz w:val="24"/>
                <w:szCs w:val="24"/>
              </w:rPr>
              <w:t>×10</w:t>
            </w:r>
            <w:r>
              <w:rPr>
                <w:rFonts w:hint="default" w:ascii="Times New Roman" w:hAnsi="Times New Roman" w:cs="Times New Roman"/>
                <w:sz w:val="24"/>
                <w:szCs w:val="24"/>
                <w:vertAlign w:val="superscript"/>
              </w:rPr>
              <w:t>4</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eastAsia" w:cs="Times New Roman"/>
                <w:sz w:val="24"/>
                <w:szCs w:val="24"/>
                <w:vertAlign w:val="baseline"/>
                <w:lang w:val="en-US" w:eastAsia="zh-CN"/>
              </w:rPr>
              <w:t>,</w:t>
            </w:r>
            <w:r>
              <w:rPr>
                <w:rFonts w:hint="eastAsia" w:ascii="Times New Roman" w:hAnsi="Times New Roman" w:eastAsia="宋体" w:cs="Times New Roman"/>
                <w:sz w:val="24"/>
                <w:lang w:val="en-US" w:eastAsia="zh-CN"/>
              </w:rPr>
              <w:t>本项目剥离废土主要是含有杂草</w:t>
            </w:r>
            <w:r>
              <w:rPr>
                <w:rFonts w:hint="eastAsia" w:cs="Times New Roman"/>
                <w:sz w:val="24"/>
                <w:lang w:val="en-US" w:eastAsia="zh-CN"/>
              </w:rPr>
              <w:t>的</w:t>
            </w:r>
            <w:r>
              <w:rPr>
                <w:rFonts w:hint="eastAsia" w:ascii="Times New Roman" w:hAnsi="Times New Roman" w:eastAsia="宋体" w:cs="Times New Roman"/>
                <w:sz w:val="24"/>
                <w:lang w:val="en-US" w:eastAsia="zh-CN"/>
              </w:rPr>
              <w:t>表土和黄土，且含杂草的表土只有山顶部分较多，其余部分都是黄土和基岩层。根据估算，本项目产生含杂草的表土1854m</w:t>
            </w:r>
            <w:r>
              <w:rPr>
                <w:rFonts w:hint="eastAsia" w:ascii="Times New Roman" w:hAnsi="Times New Roman" w:eastAsia="宋体" w:cs="Times New Roman"/>
                <w:sz w:val="24"/>
                <w:vertAlign w:val="superscript"/>
                <w:lang w:val="en-US" w:eastAsia="zh-CN"/>
              </w:rPr>
              <w:t>3</w:t>
            </w:r>
            <w:r>
              <w:rPr>
                <w:rFonts w:hint="eastAsia" w:ascii="Times New Roman" w:hAnsi="Times New Roman" w:eastAsia="宋体" w:cs="Times New Roman"/>
                <w:sz w:val="24"/>
                <w:vertAlign w:val="baseline"/>
                <w:lang w:val="en-US" w:eastAsia="zh-CN"/>
              </w:rPr>
              <w:t>,这些做为厂区绿化用土，其余剥离废土</w:t>
            </w:r>
            <w:r>
              <w:rPr>
                <w:rFonts w:hint="eastAsia" w:cs="Times New Roman"/>
                <w:sz w:val="24"/>
                <w:vertAlign w:val="baseline"/>
                <w:lang w:val="en-US" w:eastAsia="zh-CN"/>
              </w:rPr>
              <w:t>1.82</w:t>
            </w:r>
            <w:r>
              <w:rPr>
                <w:rFonts w:hint="default" w:ascii="Times New Roman" w:hAnsi="Times New Roman" w:cs="Times New Roman"/>
                <w:sz w:val="24"/>
                <w:szCs w:val="24"/>
              </w:rPr>
              <w:t>×10</w:t>
            </w:r>
            <w:r>
              <w:rPr>
                <w:rFonts w:hint="default" w:ascii="Times New Roman" w:hAnsi="Times New Roman" w:cs="Times New Roman"/>
                <w:sz w:val="24"/>
                <w:szCs w:val="24"/>
                <w:vertAlign w:val="superscript"/>
              </w:rPr>
              <w:t>4</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eastAsia" w:cs="Times New Roman"/>
                <w:sz w:val="24"/>
                <w:szCs w:val="24"/>
                <w:vertAlign w:val="baseline"/>
                <w:lang w:val="en-US" w:eastAsia="zh-CN"/>
              </w:rPr>
              <w:t>/a</w:t>
            </w:r>
            <w:r>
              <w:rPr>
                <w:rFonts w:hint="eastAsia" w:ascii="宋体" w:hAnsi="宋体" w:eastAsia="宋体" w:cs="宋体"/>
                <w:sz w:val="24"/>
                <w:szCs w:val="24"/>
                <w:vertAlign w:val="baseline"/>
                <w:lang w:val="en-US" w:eastAsia="zh-CN"/>
              </w:rPr>
              <w:t>,</w:t>
            </w:r>
            <w:r>
              <w:rPr>
                <w:rFonts w:hint="eastAsia" w:cs="Times New Roman"/>
                <w:sz w:val="24"/>
                <w:vertAlign w:val="baseline"/>
                <w:lang w:val="en-US" w:eastAsia="zh-CN"/>
              </w:rPr>
              <w:t>用于东乡县经济开发区土地平整，东乡县经济开发区</w:t>
            </w:r>
            <w:r>
              <w:rPr>
                <w:rFonts w:hint="eastAsia" w:ascii="Times New Roman" w:hAnsi="Times New Roman" w:eastAsia="宋体" w:cs="Times New Roman"/>
                <w:sz w:val="24"/>
                <w:lang w:val="en-US" w:eastAsia="zh-CN"/>
              </w:rPr>
              <w:t>地处东乡族自治县最东端，是东乡县乃至临夏州的“东大门”，洮河绕镇自东向西汇入黄河，东接国道212线通往兰州，在兰州市半小时经济圈范围内；南接广河；北邻唐汪致永靖；西去县城致临夏。总面积46.8平方公里，交通便利、信息灵通、自然条件优越，经济比较发达，是东乡县的经济发展中心，是临夏州重点经济开发区之一，将成为环洮河经济带发展枢纽。主要产业为农畜产品加工、食品、机械。东乡县经济开发</w:t>
            </w:r>
            <w:r>
              <w:rPr>
                <w:rFonts w:hint="eastAsia" w:cs="Times New Roman"/>
                <w:sz w:val="24"/>
                <w:vertAlign w:val="baseline"/>
                <w:lang w:val="en-US" w:eastAsia="zh-CN"/>
              </w:rPr>
              <w:t>区现处于高速发展阶段，新入驻的企业需要大量的土平整土地，本项目剥离废土可全部利用，处理可行。</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6" w:type="dxa"/>
                </w:tcPr>
                <w:p>
                  <w:pPr>
                    <w:pStyle w:val="2"/>
                    <w:rPr>
                      <w:rFonts w:hint="default"/>
                      <w:vertAlign w:val="baseline"/>
                      <w:lang w:val="en-US" w:eastAsia="zh-CN"/>
                    </w:rPr>
                  </w:pPr>
                  <w:r>
                    <w:rPr>
                      <w:rFonts w:hint="eastAsia" w:ascii="宋体" w:hAnsi="宋体" w:cs="宋体"/>
                      <w:sz w:val="24"/>
                    </w:rPr>
                    <w:drawing>
                      <wp:inline distT="0" distB="0" distL="114300" distR="114300">
                        <wp:extent cx="2797810" cy="2366010"/>
                        <wp:effectExtent l="0" t="0" r="2540" b="15240"/>
                        <wp:docPr id="70" name="图片 9" descr="微信图片_20200317195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9" descr="微信图片_20200317195526"/>
                                <pic:cNvPicPr>
                                  <a:picLocks noChangeAspect="1"/>
                                </pic:cNvPicPr>
                              </pic:nvPicPr>
                              <pic:blipFill>
                                <a:blip r:embed="rId36"/>
                                <a:stretch>
                                  <a:fillRect/>
                                </a:stretch>
                              </pic:blipFill>
                              <pic:spPr>
                                <a:xfrm>
                                  <a:off x="0" y="0"/>
                                  <a:ext cx="2797810" cy="2366010"/>
                                </a:xfrm>
                                <a:prstGeom prst="rect">
                                  <a:avLst/>
                                </a:prstGeom>
                                <a:noFill/>
                                <a:ln>
                                  <a:noFill/>
                                </a:ln>
                              </pic:spPr>
                            </pic:pic>
                          </a:graphicData>
                        </a:graphic>
                      </wp:inline>
                    </w:drawing>
                  </w:r>
                </w:p>
              </w:tc>
              <w:tc>
                <w:tcPr>
                  <w:tcW w:w="4764" w:type="dxa"/>
                </w:tcPr>
                <w:p>
                  <w:pPr>
                    <w:pStyle w:val="2"/>
                    <w:rPr>
                      <w:rFonts w:hint="default"/>
                      <w:vertAlign w:val="baseline"/>
                      <w:lang w:val="en-US" w:eastAsia="zh-CN"/>
                    </w:rPr>
                  </w:pPr>
                  <w:r>
                    <w:rPr>
                      <w:rFonts w:ascii="宋体" w:hAnsi="宋体" w:cs="宋体"/>
                      <w:sz w:val="24"/>
                    </w:rPr>
                    <w:drawing>
                      <wp:inline distT="0" distB="0" distL="114300" distR="114300">
                        <wp:extent cx="2723515" cy="2371725"/>
                        <wp:effectExtent l="0" t="0" r="635" b="9525"/>
                        <wp:docPr id="7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0"/>
                                <pic:cNvPicPr>
                                  <a:picLocks noChangeAspect="1"/>
                                </pic:cNvPicPr>
                              </pic:nvPicPr>
                              <pic:blipFill>
                                <a:blip r:embed="rId37"/>
                                <a:stretch>
                                  <a:fillRect/>
                                </a:stretch>
                              </pic:blipFill>
                              <pic:spPr>
                                <a:xfrm>
                                  <a:off x="0" y="0"/>
                                  <a:ext cx="2723515" cy="23717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530" w:type="dxa"/>
                  <w:gridSpan w:val="2"/>
                </w:tcPr>
                <w:p>
                  <w:pPr>
                    <w:pStyle w:val="2"/>
                    <w:jc w:val="center"/>
                    <w:rPr>
                      <w:rFonts w:hint="default"/>
                      <w:vertAlign w:val="baseline"/>
                      <w:lang w:val="en-US" w:eastAsia="zh-CN"/>
                    </w:rPr>
                  </w:pPr>
                  <w:r>
                    <w:rPr>
                      <w:rFonts w:hint="eastAsia"/>
                      <w:vertAlign w:val="baseline"/>
                      <w:lang w:val="en-US" w:eastAsia="zh-CN"/>
                    </w:rPr>
                    <w:t>矿山近照</w:t>
                  </w:r>
                </w:p>
              </w:tc>
            </w:tr>
          </w:tbl>
          <w:p>
            <w:pPr>
              <w:pStyle w:val="2"/>
              <w:rPr>
                <w:rFonts w:hint="default"/>
                <w:lang w:val="en-US" w:eastAsia="zh-CN"/>
              </w:rPr>
            </w:pPr>
          </w:p>
          <w:p>
            <w:pPr>
              <w:adjustRightInd w:val="0"/>
              <w:snapToGrid w:val="0"/>
              <w:spacing w:line="360" w:lineRule="auto"/>
              <w:ind w:firstLine="420" w:firstLineChars="200"/>
              <w:rPr>
                <w:bCs/>
                <w:szCs w:val="21"/>
                <w:highlight w:val="yellow"/>
              </w:rPr>
            </w:pPr>
          </w:p>
        </w:tc>
      </w:tr>
    </w:tbl>
    <w:p>
      <w:pPr>
        <w:pStyle w:val="25"/>
        <w:adjustRightInd w:val="0"/>
        <w:snapToGrid w:val="0"/>
        <w:spacing w:before="0" w:beforeAutospacing="0" w:after="0" w:afterAutospacing="0" w:line="360" w:lineRule="auto"/>
        <w:jc w:val="both"/>
        <w:outlineLvl w:val="0"/>
        <w:rPr>
          <w:rFonts w:hint="default" w:ascii="Times New Roman" w:hAnsi="Times New Roman" w:eastAsia="黑体" w:cs="Times New Roman"/>
          <w:snapToGrid w:val="0"/>
          <w:sz w:val="30"/>
          <w:szCs w:val="30"/>
        </w:rPr>
      </w:pPr>
      <w:r>
        <w:rPr>
          <w:rFonts w:hint="eastAsia" w:ascii="Times New Roman" w:hAnsi="Times New Roman" w:eastAsia="黑体" w:cs="Times New Roman"/>
          <w:snapToGrid w:val="0"/>
          <w:sz w:val="30"/>
          <w:szCs w:val="30"/>
          <w:lang w:val="en-US" w:eastAsia="zh-CN"/>
        </w:rPr>
        <w:t>五</w:t>
      </w:r>
      <w:r>
        <w:rPr>
          <w:rFonts w:hint="default" w:ascii="Times New Roman" w:hAnsi="Times New Roman" w:eastAsia="黑体" w:cs="Times New Roman"/>
          <w:snapToGrid w:val="0"/>
          <w:sz w:val="30"/>
          <w:szCs w:val="30"/>
          <w:lang w:val="en-US" w:eastAsia="zh-CN"/>
        </w:rPr>
        <w:t>、</w:t>
      </w:r>
      <w:r>
        <w:rPr>
          <w:rFonts w:hint="default" w:ascii="Times New Roman" w:hAnsi="Times New Roman" w:eastAsia="黑体" w:cs="Times New Roman"/>
          <w:snapToGrid w:val="0"/>
          <w:sz w:val="30"/>
          <w:szCs w:val="30"/>
        </w:rPr>
        <w:t>主要生态环境保护措施</w:t>
      </w:r>
      <w:bookmarkEnd w:id="31"/>
    </w:p>
    <w:tbl>
      <w:tblPr>
        <w:tblStyle w:val="28"/>
        <w:tblW w:w="94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1"/>
        <w:gridCol w:w="8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95" w:hRule="atLeast"/>
          <w:jc w:val="center"/>
        </w:trPr>
        <w:tc>
          <w:tcPr>
            <w:tcW w:w="441" w:type="dxa"/>
            <w:noWrap w:val="0"/>
            <w:tcMar>
              <w:left w:w="28" w:type="dxa"/>
              <w:right w:w="28" w:type="dxa"/>
            </w:tcMar>
            <w:vAlign w:val="center"/>
          </w:tcPr>
          <w:p>
            <w:pPr>
              <w:adjustRightInd w:val="0"/>
              <w:snapToGrid w:val="0"/>
              <w:jc w:val="center"/>
              <w:rPr>
                <w:bCs/>
                <w:szCs w:val="21"/>
                <w:highlight w:val="yellow"/>
              </w:rPr>
            </w:pPr>
            <w:r>
              <w:rPr>
                <w:bCs/>
                <w:spacing w:val="10"/>
                <w:sz w:val="24"/>
                <w:szCs w:val="24"/>
              </w:rPr>
              <w:t>施工期生态环境保护措施</w:t>
            </w:r>
          </w:p>
        </w:tc>
        <w:tc>
          <w:tcPr>
            <w:tcW w:w="8978" w:type="dxa"/>
            <w:noWrap w:val="0"/>
            <w:vAlign w:val="top"/>
          </w:tcPr>
          <w:p>
            <w:pPr>
              <w:adjustRightInd w:val="0"/>
              <w:snapToGrid w:val="0"/>
              <w:spacing w:line="360" w:lineRule="auto"/>
              <w:ind w:firstLine="482" w:firstLineChars="200"/>
              <w:jc w:val="left"/>
              <w:rPr>
                <w:b/>
                <w:sz w:val="24"/>
              </w:rPr>
            </w:pPr>
            <w:r>
              <w:rPr>
                <w:b/>
                <w:sz w:val="24"/>
              </w:rPr>
              <w:t>1.</w:t>
            </w:r>
            <w:r>
              <w:rPr>
                <w:rFonts w:hAnsi="宋体"/>
                <w:b/>
                <w:sz w:val="24"/>
              </w:rPr>
              <w:t>生态保护措施</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针对评价区特殊的环境条件以及植被类型特征，同时借荒漠化地区“以自然恢复，保护原有植被为主，尽量减少人为扰动，避免二次干扰”的生态保护经验，降低工程施工期对周围生态环境的影响，环评提出以下生态保护措施：</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⑴加强施工管理，严格划定施工范围，尽量缩小施工扰动范围，确保施工活动少破坏及扰动地表。各种施工活动应严格控制在施工区域内，减少临时占地；</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⑵对占地范围内表土进行剥离，并单独保存，用于生态恢复工程表土覆盖；施工现场设专人进行管理。</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⑶合理计划，加快施工进度，减少破土面积及扰动时间，以降低水土流失量；</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 xml:space="preserve">⑷合理规划，采取永临结合的施工方式，充分利用现有工程场地，不再增设施工营地； </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⑸对施工人员进行环境保护教育、生物多样性保护教育及有关法律、法规的宣传教育。严禁施工人员意砍伐施工区周边植被，尤其是保护植物。</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⑹对临时占用的部分进行施工后的恢复。避免超计划占用土地，严禁随意扩大占地范围。</w:t>
            </w:r>
          </w:p>
          <w:p>
            <w:pPr>
              <w:adjustRightInd w:val="0"/>
              <w:snapToGrid w:val="0"/>
              <w:spacing w:line="360" w:lineRule="auto"/>
              <w:ind w:firstLine="480" w:firstLineChars="200"/>
              <w:rPr>
                <w:sz w:val="24"/>
              </w:rPr>
            </w:pPr>
            <w:r>
              <w:rPr>
                <w:sz w:val="24"/>
              </w:rPr>
              <w:t>通过采取以上措施，建设期人为扰动对生态环境的影响较小。</w:t>
            </w:r>
          </w:p>
          <w:p>
            <w:pPr>
              <w:adjustRightInd w:val="0"/>
              <w:snapToGrid w:val="0"/>
              <w:spacing w:line="360" w:lineRule="auto"/>
              <w:ind w:firstLine="482" w:firstLineChars="200"/>
              <w:jc w:val="left"/>
              <w:rPr>
                <w:rFonts w:hint="eastAsia" w:hAnsi="宋体"/>
                <w:b/>
                <w:sz w:val="24"/>
                <w:lang w:val="en-US" w:eastAsia="zh-CN"/>
              </w:rPr>
            </w:pPr>
            <w:r>
              <w:rPr>
                <w:rFonts w:hint="eastAsia" w:hAnsi="宋体"/>
                <w:b/>
                <w:sz w:val="24"/>
                <w:lang w:val="en-US" w:eastAsia="zh-CN"/>
              </w:rPr>
              <w:t>2.大气污染防治措施</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建设过程中产生的扬尘可通过以下措施进行防治：</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（1）</w:t>
            </w:r>
            <w:r>
              <w:rPr>
                <w:rFonts w:hint="eastAsia" w:ascii="Times New Roman" w:hAnsi="Times New Roman" w:eastAsia="宋体" w:cs="Times New Roman"/>
                <w:color w:val="000000"/>
                <w:kern w:val="0"/>
                <w:sz w:val="24"/>
                <w:szCs w:val="24"/>
                <w:lang w:val="en-US" w:eastAsia="zh-CN" w:bidi="ar"/>
              </w:rPr>
              <w:t xml:space="preserve">原有建构筑物拆除作业前，先对作业面喷雾洒水； </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（2）</w:t>
            </w:r>
            <w:r>
              <w:rPr>
                <w:rFonts w:hint="eastAsia" w:ascii="Times New Roman" w:hAnsi="Times New Roman" w:eastAsia="宋体" w:cs="Times New Roman"/>
                <w:color w:val="000000"/>
                <w:kern w:val="0"/>
                <w:sz w:val="24"/>
                <w:szCs w:val="24"/>
                <w:lang w:val="en-US" w:eastAsia="zh-CN" w:bidi="ar"/>
              </w:rPr>
              <w:t xml:space="preserve">合理安排施工时序，大风天气下严禁拆除、土方开挖以及排土作业， 并用密目网苫盖； </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（3）</w:t>
            </w:r>
            <w:r>
              <w:rPr>
                <w:rFonts w:hint="eastAsia" w:ascii="Times New Roman" w:hAnsi="Times New Roman" w:eastAsia="宋体" w:cs="Times New Roman"/>
                <w:color w:val="000000"/>
                <w:kern w:val="0"/>
                <w:sz w:val="24"/>
                <w:szCs w:val="24"/>
                <w:lang w:val="en-US" w:eastAsia="zh-CN" w:bidi="ar"/>
              </w:rPr>
              <w:t xml:space="preserve">利用矿山洒水车，每日对道路及施工场地洒水降尘； </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（4）</w:t>
            </w:r>
            <w:r>
              <w:rPr>
                <w:rFonts w:hint="eastAsia" w:ascii="Times New Roman" w:hAnsi="Times New Roman" w:eastAsia="宋体" w:cs="Times New Roman"/>
                <w:color w:val="000000"/>
                <w:kern w:val="0"/>
                <w:sz w:val="24"/>
                <w:szCs w:val="24"/>
                <w:lang w:val="en-US" w:eastAsia="zh-CN" w:bidi="ar"/>
              </w:rPr>
              <w:t>利用矿山雾炮，对剥离作业面喷雾洒水；</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（5）</w:t>
            </w:r>
            <w:r>
              <w:rPr>
                <w:rFonts w:hint="eastAsia" w:ascii="Times New Roman" w:hAnsi="Times New Roman" w:eastAsia="宋体" w:cs="Times New Roman"/>
                <w:color w:val="000000"/>
                <w:kern w:val="0"/>
                <w:sz w:val="24"/>
                <w:szCs w:val="24"/>
                <w:lang w:val="en-US" w:eastAsia="zh-CN" w:bidi="ar"/>
              </w:rPr>
              <w:t>工业场地、办公生活区等合理调配土方量，做到挖填方平衡，施工采用湿式作业方式；</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（6）</w:t>
            </w:r>
            <w:r>
              <w:rPr>
                <w:rFonts w:hint="eastAsia" w:ascii="Times New Roman" w:hAnsi="Times New Roman" w:eastAsia="宋体" w:cs="Times New Roman"/>
                <w:color w:val="000000"/>
                <w:kern w:val="0"/>
                <w:sz w:val="24"/>
                <w:szCs w:val="24"/>
                <w:lang w:val="en-US" w:eastAsia="zh-CN" w:bidi="ar"/>
              </w:rPr>
              <w:t xml:space="preserve">合理安排施工时序，利用办公生活区作为施工营地； </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cs="Times New Roman"/>
                <w:color w:val="000000"/>
                <w:kern w:val="0"/>
                <w:sz w:val="24"/>
                <w:szCs w:val="24"/>
                <w:lang w:val="en-US" w:eastAsia="zh-CN" w:bidi="ar"/>
              </w:rPr>
              <w:t>（7）</w:t>
            </w:r>
            <w:r>
              <w:rPr>
                <w:rFonts w:hint="eastAsia" w:ascii="Times New Roman" w:hAnsi="Times New Roman" w:eastAsia="宋体" w:cs="Times New Roman"/>
                <w:color w:val="000000"/>
                <w:kern w:val="0"/>
                <w:sz w:val="24"/>
                <w:szCs w:val="24"/>
                <w:lang w:val="en-US" w:eastAsia="zh-CN" w:bidi="ar"/>
              </w:rPr>
              <w:t>物料堆放 100%覆盖：施工现场建筑材料、构配件、施工设备等应按施工现场平面布置图确定的位置放置，对渣土、水泥等易产生扬尘的建筑材料， 应严密遮盖或存放库房内；专门设置集中堆放建筑垃圾、渣土的场地；不能按时完成清运的，应及时覆盖。竣工后要及时整理场地；</w:t>
            </w:r>
          </w:p>
          <w:p>
            <w:pPr>
              <w:keepNext w:val="0"/>
              <w:keepLines w:val="0"/>
              <w:pageBreakBefore w:val="0"/>
              <w:widowControl/>
              <w:suppressLineNumbers w:val="0"/>
              <w:kinsoku/>
              <w:wordWrap/>
              <w:overflowPunct/>
              <w:topLinePunct w:val="0"/>
              <w:autoSpaceDE w:val="0"/>
              <w:autoSpaceDN w:val="0"/>
              <w:bidi w:val="0"/>
              <w:snapToGrid/>
              <w:spacing w:line="360" w:lineRule="auto"/>
              <w:ind w:firstLine="480" w:firstLineChars="200"/>
              <w:jc w:val="both"/>
              <w:textAlignment w:val="auto"/>
              <w:rPr>
                <w:rFonts w:hint="eastAsia"/>
                <w:lang w:val="en-US" w:eastAsia="zh-CN"/>
              </w:rPr>
            </w:pPr>
            <w:r>
              <w:rPr>
                <w:rFonts w:hint="eastAsia" w:ascii="Times New Roman" w:hAnsi="Times New Roman" w:eastAsia="宋体" w:cs="Times New Roman"/>
                <w:color w:val="000000"/>
                <w:kern w:val="0"/>
                <w:sz w:val="24"/>
                <w:szCs w:val="24"/>
                <w:lang w:val="en-US" w:eastAsia="zh-CN" w:bidi="ar"/>
              </w:rPr>
              <w:t>综上所述，本工程施工废气具有间断性、瞬时性特点，并随着施工的结束而消失，经采取一定的抑尘、降尘措施后，不会对本工程区周边环境空气质量造成大的影响，其治理措施可行。</w:t>
            </w:r>
          </w:p>
          <w:p>
            <w:pPr>
              <w:pStyle w:val="8"/>
              <w:adjustRightInd w:val="0"/>
              <w:snapToGrid w:val="0"/>
              <w:ind w:firstLine="540"/>
              <w:jc w:val="left"/>
              <w:rPr>
                <w:rFonts w:hint="eastAsia" w:ascii="Times New Roman" w:hAnsi="Times New Roman"/>
                <w:b/>
                <w:bCs w:val="0"/>
                <w:color w:val="000000"/>
                <w:sz w:val="24"/>
                <w:szCs w:val="24"/>
                <w:lang w:val="en-US" w:eastAsia="zh-CN"/>
              </w:rPr>
            </w:pPr>
            <w:r>
              <w:rPr>
                <w:rFonts w:hint="eastAsia" w:ascii="Times New Roman" w:hAnsi="Times New Roman"/>
                <w:b/>
                <w:bCs w:val="0"/>
                <w:color w:val="000000"/>
                <w:sz w:val="24"/>
                <w:szCs w:val="24"/>
                <w:lang w:val="en-US" w:eastAsia="zh-CN"/>
              </w:rPr>
              <w:t>3.水污染防治措施</w:t>
            </w:r>
          </w:p>
          <w:p>
            <w:pPr>
              <w:adjustRightInd w:val="0"/>
              <w:snapToGrid w:val="0"/>
              <w:spacing w:line="360" w:lineRule="auto"/>
              <w:ind w:firstLine="480" w:firstLineChars="200"/>
              <w:rPr>
                <w:bCs/>
                <w:sz w:val="24"/>
              </w:rPr>
            </w:pPr>
            <w:r>
              <w:rPr>
                <w:bCs/>
                <w:sz w:val="24"/>
              </w:rPr>
              <w:t>（1）建设期应合理安排施工作业期，排水沟基础开挖应避开雨季，减少雨水对地表的冲刷；减少对地表水体影响。</w:t>
            </w:r>
          </w:p>
          <w:p>
            <w:pPr>
              <w:adjustRightInd w:val="0"/>
              <w:snapToGrid w:val="0"/>
              <w:spacing w:line="360" w:lineRule="auto"/>
              <w:ind w:firstLine="480" w:firstLineChars="200"/>
              <w:rPr>
                <w:bCs/>
                <w:sz w:val="24"/>
              </w:rPr>
            </w:pPr>
            <w:r>
              <w:rPr>
                <w:bCs/>
                <w:sz w:val="24"/>
              </w:rPr>
              <w:t>（2）初期雨水经沉淀后用于场地洒水降尘。</w:t>
            </w:r>
          </w:p>
          <w:p>
            <w:pPr>
              <w:adjustRightInd w:val="0"/>
              <w:snapToGrid w:val="0"/>
              <w:spacing w:line="360" w:lineRule="auto"/>
              <w:ind w:firstLine="480" w:firstLineChars="200"/>
              <w:rPr>
                <w:rFonts w:hint="eastAsia" w:eastAsia="宋体"/>
                <w:bCs/>
                <w:sz w:val="24"/>
                <w:lang w:eastAsia="zh-CN"/>
              </w:rPr>
            </w:pPr>
            <w:r>
              <w:rPr>
                <w:bCs/>
                <w:sz w:val="24"/>
              </w:rPr>
              <w:t>（3）生活污水收集后泼洒抑尘</w:t>
            </w:r>
            <w:r>
              <w:rPr>
                <w:rFonts w:hint="eastAsia"/>
                <w:bCs/>
                <w:sz w:val="24"/>
                <w:lang w:eastAsia="zh-CN"/>
              </w:rPr>
              <w:t>。</w:t>
            </w:r>
          </w:p>
          <w:p>
            <w:pPr>
              <w:adjustRightInd w:val="0"/>
              <w:snapToGrid w:val="0"/>
              <w:spacing w:line="360" w:lineRule="auto"/>
              <w:ind w:firstLine="480" w:firstLineChars="200"/>
              <w:jc w:val="left"/>
              <w:rPr>
                <w:bCs/>
                <w:kern w:val="0"/>
                <w:sz w:val="24"/>
              </w:rPr>
            </w:pPr>
            <w:r>
              <w:rPr>
                <w:bCs/>
                <w:sz w:val="24"/>
              </w:rPr>
              <w:t>采取以上措施后，建设期废水可以做到不外排，可以有效避免水污染物排放。</w:t>
            </w:r>
          </w:p>
          <w:p>
            <w:pPr>
              <w:adjustRightInd w:val="0"/>
              <w:snapToGrid w:val="0"/>
              <w:spacing w:line="360" w:lineRule="auto"/>
              <w:ind w:firstLine="482" w:firstLineChars="200"/>
              <w:jc w:val="left"/>
              <w:rPr>
                <w:b/>
                <w:sz w:val="24"/>
              </w:rPr>
            </w:pPr>
            <w:r>
              <w:rPr>
                <w:b/>
                <w:sz w:val="24"/>
              </w:rPr>
              <w:t>4.</w:t>
            </w:r>
            <w:r>
              <w:rPr>
                <w:rFonts w:hAnsi="宋体"/>
                <w:b/>
                <w:sz w:val="24"/>
              </w:rPr>
              <w:t>噪声防治措施</w:t>
            </w:r>
          </w:p>
          <w:p>
            <w:pPr>
              <w:adjustRightInd w:val="0"/>
              <w:snapToGrid w:val="0"/>
              <w:spacing w:line="360" w:lineRule="auto"/>
              <w:ind w:firstLine="480" w:firstLineChars="200"/>
              <w:rPr>
                <w:bCs/>
                <w:sz w:val="24"/>
              </w:rPr>
            </w:pPr>
            <w:r>
              <w:rPr>
                <w:bCs/>
                <w:sz w:val="24"/>
              </w:rPr>
              <w:t>本项目建设期间，由于项目所用设施比较简单，施工噪声主要来源于挖掘机、运输车辆等，它们产生的噪声超过噪声环境标准，因此应采取一定的防治措施。</w:t>
            </w:r>
          </w:p>
          <w:p>
            <w:pPr>
              <w:adjustRightInd w:val="0"/>
              <w:snapToGrid w:val="0"/>
              <w:spacing w:line="360" w:lineRule="auto"/>
              <w:ind w:firstLine="480" w:firstLineChars="200"/>
              <w:rPr>
                <w:bCs/>
                <w:sz w:val="24"/>
              </w:rPr>
            </w:pPr>
            <w:r>
              <w:rPr>
                <w:bCs/>
                <w:sz w:val="24"/>
              </w:rPr>
              <w:t>（1）加强原材料车辆管理，在经过居民较为密集的区域减速慢行，禁止鸣笛。</w:t>
            </w:r>
          </w:p>
          <w:p>
            <w:pPr>
              <w:adjustRightInd w:val="0"/>
              <w:snapToGrid w:val="0"/>
              <w:spacing w:line="360" w:lineRule="auto"/>
              <w:ind w:firstLine="480" w:firstLineChars="200"/>
              <w:rPr>
                <w:bCs/>
                <w:sz w:val="24"/>
              </w:rPr>
            </w:pPr>
            <w:r>
              <w:rPr>
                <w:bCs/>
                <w:sz w:val="24"/>
              </w:rPr>
              <w:t>（2）施工单位须选用符合国家有关标准的施工机械，尽量选用低噪声的施工机械。</w:t>
            </w:r>
          </w:p>
          <w:p>
            <w:pPr>
              <w:adjustRightInd w:val="0"/>
              <w:snapToGrid w:val="0"/>
              <w:spacing w:line="360" w:lineRule="auto"/>
              <w:ind w:firstLine="480" w:firstLineChars="200"/>
              <w:rPr>
                <w:bCs/>
                <w:sz w:val="24"/>
              </w:rPr>
            </w:pPr>
            <w:r>
              <w:rPr>
                <w:bCs/>
                <w:sz w:val="24"/>
              </w:rPr>
              <w:t>（3）加强设备的维护和保养，保持机械润滑，降低运行噪声。</w:t>
            </w:r>
          </w:p>
          <w:p>
            <w:pPr>
              <w:adjustRightInd w:val="0"/>
              <w:snapToGrid w:val="0"/>
              <w:spacing w:line="360" w:lineRule="auto"/>
              <w:ind w:firstLine="480" w:firstLineChars="200"/>
              <w:rPr>
                <w:sz w:val="24"/>
              </w:rPr>
            </w:pPr>
            <w:r>
              <w:rPr>
                <w:bCs/>
                <w:sz w:val="24"/>
              </w:rPr>
              <w:t>采取以上措施后，施工期噪声可得到有效控制，可以有效减少噪声对周围环境带来的影响。</w:t>
            </w:r>
          </w:p>
          <w:p>
            <w:pPr>
              <w:adjustRightInd w:val="0"/>
              <w:snapToGrid w:val="0"/>
              <w:spacing w:line="360" w:lineRule="auto"/>
              <w:ind w:firstLine="482" w:firstLineChars="200"/>
              <w:jc w:val="left"/>
              <w:rPr>
                <w:b/>
                <w:sz w:val="24"/>
              </w:rPr>
            </w:pPr>
            <w:r>
              <w:rPr>
                <w:b/>
                <w:sz w:val="24"/>
              </w:rPr>
              <w:t>5.</w:t>
            </w:r>
            <w:r>
              <w:rPr>
                <w:rFonts w:hAnsi="宋体"/>
                <w:b/>
                <w:sz w:val="24"/>
              </w:rPr>
              <w:t>固体废物治理措施</w:t>
            </w:r>
          </w:p>
          <w:p>
            <w:pPr>
              <w:adjustRightInd w:val="0"/>
              <w:snapToGrid w:val="0"/>
              <w:spacing w:line="360" w:lineRule="auto"/>
              <w:ind w:firstLine="480" w:firstLineChars="200"/>
              <w:rPr>
                <w:bCs/>
                <w:sz w:val="24"/>
              </w:rPr>
            </w:pPr>
            <w:r>
              <w:rPr>
                <w:bCs/>
                <w:sz w:val="24"/>
              </w:rPr>
              <w:t>（1）排水沟修建过程中产生的土石方运至</w:t>
            </w:r>
            <w:r>
              <w:rPr>
                <w:rFonts w:hint="eastAsia"/>
                <w:bCs/>
                <w:sz w:val="24"/>
                <w:lang w:eastAsia="zh-CN"/>
              </w:rPr>
              <w:t>加工场地，用于场地平整</w:t>
            </w:r>
            <w:r>
              <w:rPr>
                <w:bCs/>
                <w:sz w:val="24"/>
              </w:rPr>
              <w:t>。</w:t>
            </w:r>
          </w:p>
          <w:p>
            <w:pPr>
              <w:adjustRightInd w:val="0"/>
              <w:snapToGrid w:val="0"/>
              <w:spacing w:line="360" w:lineRule="auto"/>
              <w:ind w:firstLine="480" w:firstLineChars="200"/>
              <w:rPr>
                <w:sz w:val="24"/>
              </w:rPr>
            </w:pPr>
            <w:r>
              <w:rPr>
                <w:bCs/>
                <w:sz w:val="24"/>
              </w:rPr>
              <w:t>（2）建筑垃圾主要为设备安装过程</w:t>
            </w:r>
            <w:r>
              <w:rPr>
                <w:sz w:val="24"/>
              </w:rPr>
              <w:t>各设备的包装材料</w:t>
            </w:r>
            <w:r>
              <w:rPr>
                <w:rFonts w:hint="eastAsia"/>
                <w:sz w:val="24"/>
                <w:lang w:val="en-US" w:eastAsia="zh-CN"/>
              </w:rPr>
              <w:t>等</w:t>
            </w:r>
            <w:r>
              <w:rPr>
                <w:sz w:val="24"/>
              </w:rPr>
              <w:t>。各包装材料用于外售，其他固废由施工人员收集后送当地垃圾处置系统。</w:t>
            </w:r>
          </w:p>
          <w:p>
            <w:pPr>
              <w:adjustRightInd w:val="0"/>
              <w:snapToGrid w:val="0"/>
              <w:spacing w:line="360" w:lineRule="auto"/>
              <w:ind w:firstLine="480" w:firstLineChars="200"/>
              <w:rPr>
                <w:bCs/>
                <w:sz w:val="24"/>
              </w:rPr>
            </w:pPr>
            <w:r>
              <w:rPr>
                <w:sz w:val="24"/>
              </w:rPr>
              <w:t>（3）</w:t>
            </w:r>
            <w:r>
              <w:rPr>
                <w:bCs/>
                <w:sz w:val="24"/>
              </w:rPr>
              <w:t>生活垃圾集中收集后</w:t>
            </w:r>
            <w:r>
              <w:rPr>
                <w:rFonts w:hint="eastAsia"/>
                <w:bCs/>
                <w:sz w:val="24"/>
                <w:lang w:val="en-US" w:eastAsia="zh-CN"/>
              </w:rPr>
              <w:t>委托环卫部门</w:t>
            </w:r>
            <w:r>
              <w:rPr>
                <w:bCs/>
                <w:sz w:val="24"/>
              </w:rPr>
              <w:t>统一处理。</w:t>
            </w:r>
          </w:p>
          <w:p>
            <w:pPr>
              <w:adjustRightInd w:val="0"/>
              <w:snapToGrid w:val="0"/>
              <w:spacing w:line="360" w:lineRule="auto"/>
              <w:ind w:firstLine="480" w:firstLineChars="200"/>
              <w:jc w:val="left"/>
              <w:rPr>
                <w:bCs/>
                <w:kern w:val="0"/>
                <w:sz w:val="24"/>
                <w:highlight w:val="yellow"/>
              </w:rPr>
            </w:pPr>
            <w:r>
              <w:rPr>
                <w:bCs/>
                <w:sz w:val="24"/>
              </w:rPr>
              <w:t>通过上述措施，施工期产生的固废均可得到有效处理，对周围环境影响较小。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4" w:hRule="atLeast"/>
          <w:jc w:val="center"/>
        </w:trPr>
        <w:tc>
          <w:tcPr>
            <w:tcW w:w="441" w:type="dxa"/>
            <w:noWrap w:val="0"/>
            <w:tcMar>
              <w:left w:w="28" w:type="dxa"/>
              <w:right w:w="28" w:type="dxa"/>
            </w:tcMar>
            <w:vAlign w:val="center"/>
          </w:tcPr>
          <w:p>
            <w:pPr>
              <w:adjustRightInd w:val="0"/>
              <w:snapToGrid w:val="0"/>
              <w:jc w:val="center"/>
              <w:rPr>
                <w:bCs/>
                <w:spacing w:val="10"/>
                <w:szCs w:val="21"/>
                <w:highlight w:val="yellow"/>
              </w:rPr>
            </w:pPr>
            <w:r>
              <w:rPr>
                <w:bCs/>
                <w:spacing w:val="10"/>
                <w:szCs w:val="21"/>
              </w:rPr>
              <w:t>运营期生态环境保护措施</w:t>
            </w:r>
          </w:p>
        </w:tc>
        <w:tc>
          <w:tcPr>
            <w:tcW w:w="8978" w:type="dxa"/>
            <w:noWrap w:val="0"/>
            <w:vAlign w:val="top"/>
          </w:tcPr>
          <w:p>
            <w:pPr>
              <w:adjustRightInd w:val="0"/>
              <w:snapToGrid w:val="0"/>
              <w:spacing w:line="360" w:lineRule="auto"/>
              <w:jc w:val="left"/>
              <w:rPr>
                <w:rFonts w:hint="eastAsia"/>
                <w:b/>
                <w:bCs/>
                <w:color w:val="auto"/>
                <w:sz w:val="24"/>
                <w:highlight w:val="none"/>
              </w:rPr>
            </w:pPr>
            <w:r>
              <w:rPr>
                <w:rFonts w:hint="eastAsia"/>
                <w:b/>
                <w:bCs/>
                <w:color w:val="auto"/>
                <w:sz w:val="24"/>
                <w:highlight w:val="none"/>
                <w:lang w:val="en-US" w:eastAsia="zh-CN"/>
              </w:rPr>
              <w:t>1、</w:t>
            </w:r>
            <w:r>
              <w:rPr>
                <w:rFonts w:hint="eastAsia" w:hAnsi="宋体"/>
                <w:b/>
                <w:sz w:val="24"/>
                <w:lang w:val="en-US" w:eastAsia="zh-CN"/>
              </w:rPr>
              <w:t>大气污染</w:t>
            </w:r>
            <w:r>
              <w:rPr>
                <w:rFonts w:hint="eastAsia" w:ascii="Times New Roman" w:hAnsi="宋体" w:eastAsia="宋体" w:cs="Times New Roman"/>
                <w:b/>
                <w:sz w:val="24"/>
                <w:lang w:val="en-US" w:eastAsia="zh-CN"/>
              </w:rPr>
              <w:t>防治措施</w:t>
            </w:r>
          </w:p>
          <w:p>
            <w:pPr>
              <w:pStyle w:val="62"/>
              <w:keepNext w:val="0"/>
              <w:keepLines w:val="0"/>
              <w:pageBreakBefore w:val="0"/>
              <w:widowControl w:val="0"/>
              <w:numPr>
                <w:ilvl w:val="0"/>
                <w:numId w:val="0"/>
              </w:numPr>
              <w:tabs>
                <w:tab w:val="left" w:pos="1193"/>
              </w:tabs>
              <w:kinsoku/>
              <w:wordWrap/>
              <w:overflowPunct/>
              <w:topLinePunct w:val="0"/>
              <w:autoSpaceDE/>
              <w:autoSpaceDN/>
              <w:bidi w:val="0"/>
              <w:spacing w:after="0" w:line="360" w:lineRule="auto"/>
              <w:ind w:right="0" w:rightChars="0" w:firstLine="480" w:firstLineChars="200"/>
              <w:jc w:val="left"/>
              <w:textAlignment w:val="auto"/>
              <w:rPr>
                <w:rFonts w:hint="eastAsia" w:ascii="Times New Roman" w:hAnsi="Times New Roman" w:eastAsia="宋体" w:cs="Times New Roman"/>
                <w:sz w:val="24"/>
                <w:szCs w:val="24"/>
                <w:lang w:val="en-US" w:eastAsia="zh-CN"/>
              </w:rPr>
            </w:pPr>
            <w:r>
              <w:rPr>
                <w:rFonts w:hint="eastAsia" w:cs="Times New Roman"/>
                <w:sz w:val="24"/>
                <w:szCs w:val="24"/>
                <w:lang w:val="en-US" w:eastAsia="zh-CN"/>
              </w:rPr>
              <w:t>1.1</w:t>
            </w:r>
            <w:r>
              <w:rPr>
                <w:rFonts w:hint="eastAsia" w:ascii="Times New Roman" w:hAnsi="Times New Roman" w:eastAsia="宋体" w:cs="Times New Roman"/>
                <w:sz w:val="24"/>
                <w:szCs w:val="24"/>
                <w:lang w:val="en-US" w:eastAsia="zh-CN"/>
              </w:rPr>
              <w:t>采场扬尘</w:t>
            </w:r>
          </w:p>
          <w:p>
            <w:pPr>
              <w:pStyle w:val="62"/>
              <w:keepNext w:val="0"/>
              <w:keepLines w:val="0"/>
              <w:pageBreakBefore w:val="0"/>
              <w:widowControl w:val="0"/>
              <w:numPr>
                <w:ilvl w:val="0"/>
                <w:numId w:val="0"/>
              </w:numPr>
              <w:tabs>
                <w:tab w:val="left" w:pos="1193"/>
              </w:tabs>
              <w:kinsoku/>
              <w:wordWrap/>
              <w:overflowPunct/>
              <w:topLinePunct w:val="0"/>
              <w:autoSpaceDE/>
              <w:autoSpaceDN/>
              <w:bidi w:val="0"/>
              <w:spacing w:after="0" w:line="360" w:lineRule="auto"/>
              <w:ind w:right="0" w:rightChars="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露天采场利用雾炮机，每日对开采工作面喷雾降尘；</w:t>
            </w:r>
          </w:p>
          <w:p>
            <w:pPr>
              <w:pStyle w:val="62"/>
              <w:keepNext w:val="0"/>
              <w:keepLines w:val="0"/>
              <w:pageBreakBefore w:val="0"/>
              <w:widowControl w:val="0"/>
              <w:numPr>
                <w:ilvl w:val="0"/>
                <w:numId w:val="0"/>
              </w:numPr>
              <w:tabs>
                <w:tab w:val="left" w:pos="1193"/>
              </w:tabs>
              <w:kinsoku/>
              <w:wordWrap/>
              <w:overflowPunct/>
              <w:topLinePunct w:val="0"/>
              <w:autoSpaceDE/>
              <w:autoSpaceDN/>
              <w:bidi w:val="0"/>
              <w:spacing w:after="0" w:line="360" w:lineRule="auto"/>
              <w:ind w:right="0" w:rightChars="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穿孔作业前，利用雾炮对作业面进行喷雾洒水；</w:t>
            </w:r>
          </w:p>
          <w:p>
            <w:pPr>
              <w:pStyle w:val="62"/>
              <w:keepNext w:val="0"/>
              <w:keepLines w:val="0"/>
              <w:pageBreakBefore w:val="0"/>
              <w:widowControl w:val="0"/>
              <w:numPr>
                <w:ilvl w:val="0"/>
                <w:numId w:val="0"/>
              </w:numPr>
              <w:tabs>
                <w:tab w:val="left" w:pos="1193"/>
              </w:tabs>
              <w:kinsoku/>
              <w:wordWrap/>
              <w:overflowPunct/>
              <w:topLinePunct w:val="0"/>
              <w:autoSpaceDE/>
              <w:autoSpaceDN/>
              <w:bidi w:val="0"/>
              <w:spacing w:after="0" w:line="360" w:lineRule="auto"/>
              <w:ind w:right="0" w:rightChars="0" w:firstLine="448"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8"/>
                <w:sz w:val="24"/>
                <w:szCs w:val="24"/>
              </w:rPr>
              <w:t>爆破采用湿式爆破作业。即利用装满清水的塑料袋装填在炸药前后部。当炸药爆炸时，袋中的水在高温高压下变成水蒸汽和微细水滴悬浮在空气中，吸附和捕捉粉尘，从而达到降低爆破起尘量及加速粉尘沉降</w:t>
            </w:r>
            <w:r>
              <w:rPr>
                <w:rFonts w:hint="default" w:ascii="Times New Roman" w:hAnsi="Times New Roman" w:eastAsia="宋体" w:cs="Times New Roman"/>
                <w:spacing w:val="-8"/>
                <w:sz w:val="24"/>
                <w:szCs w:val="24"/>
                <w:lang w:eastAsia="zh-CN"/>
              </w:rPr>
              <w:t>；</w:t>
            </w:r>
          </w:p>
          <w:p>
            <w:pPr>
              <w:pStyle w:val="62"/>
              <w:keepNext w:val="0"/>
              <w:keepLines w:val="0"/>
              <w:pageBreakBefore w:val="0"/>
              <w:widowControl w:val="0"/>
              <w:numPr>
                <w:ilvl w:val="0"/>
                <w:numId w:val="0"/>
              </w:numPr>
              <w:tabs>
                <w:tab w:val="left" w:pos="1193"/>
              </w:tabs>
              <w:kinsoku/>
              <w:wordWrap/>
              <w:overflowPunct/>
              <w:topLinePunct w:val="0"/>
              <w:autoSpaceDE/>
              <w:autoSpaceDN/>
              <w:bidi w:val="0"/>
              <w:spacing w:line="360" w:lineRule="auto"/>
              <w:ind w:right="0" w:rightChars="0" w:firstLine="448" w:firstLineChars="200"/>
              <w:jc w:val="left"/>
              <w:textAlignment w:val="auto"/>
              <w:rPr>
                <w:rFonts w:hint="default" w:ascii="Times New Roman" w:hAnsi="Times New Roman" w:eastAsia="宋体" w:cs="Times New Roman"/>
                <w:spacing w:val="-8"/>
                <w:sz w:val="24"/>
                <w:szCs w:val="24"/>
              </w:rPr>
            </w:pPr>
            <w:r>
              <w:rPr>
                <w:rFonts w:hint="default" w:ascii="Times New Roman" w:hAnsi="Times New Roman" w:eastAsia="宋体" w:cs="Times New Roman"/>
                <w:spacing w:val="-8"/>
                <w:sz w:val="24"/>
                <w:szCs w:val="24"/>
              </w:rPr>
              <w:t>矿石装卸作业采取喷雾洒水措施，减少扬尘量</w:t>
            </w:r>
            <w:r>
              <w:rPr>
                <w:rFonts w:hint="default" w:ascii="Times New Roman" w:hAnsi="Times New Roman" w:eastAsia="宋体" w:cs="Times New Roman"/>
                <w:spacing w:val="-8"/>
                <w:sz w:val="24"/>
                <w:szCs w:val="24"/>
                <w:lang w:eastAsia="zh-CN"/>
              </w:rPr>
              <w:t>，</w:t>
            </w:r>
            <w:r>
              <w:rPr>
                <w:rFonts w:hint="default" w:ascii="Times New Roman" w:hAnsi="Times New Roman" w:eastAsia="宋体" w:cs="Times New Roman"/>
                <w:spacing w:val="-8"/>
                <w:sz w:val="24"/>
                <w:szCs w:val="24"/>
              </w:rPr>
              <w:t>通过缩短装、卸车时间、降低料斗高度，避免大风天气进行装车作业；</w:t>
            </w:r>
          </w:p>
          <w:p>
            <w:pPr>
              <w:pStyle w:val="62"/>
              <w:keepNext w:val="0"/>
              <w:keepLines w:val="0"/>
              <w:pageBreakBefore w:val="0"/>
              <w:widowControl w:val="0"/>
              <w:numPr>
                <w:ilvl w:val="0"/>
                <w:numId w:val="0"/>
              </w:numPr>
              <w:tabs>
                <w:tab w:val="left" w:pos="1193"/>
              </w:tabs>
              <w:kinsoku/>
              <w:wordWrap/>
              <w:overflowPunct/>
              <w:topLinePunct w:val="0"/>
              <w:autoSpaceDE/>
              <w:autoSpaceDN/>
              <w:bidi w:val="0"/>
              <w:spacing w:after="0" w:line="360" w:lineRule="auto"/>
              <w:ind w:right="0" w:rightChars="0" w:firstLine="480" w:firstLineChars="200"/>
              <w:jc w:val="left"/>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1.2加工区扬尘</w:t>
            </w:r>
          </w:p>
          <w:p>
            <w:pPr>
              <w:pStyle w:val="6"/>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①</w:t>
            </w:r>
            <w:r>
              <w:rPr>
                <w:rFonts w:hint="eastAsia" w:ascii="宋体" w:hAnsi="宋体" w:eastAsia="宋体" w:cs="宋体"/>
                <w:color w:val="auto"/>
                <w:sz w:val="24"/>
                <w:szCs w:val="24"/>
                <w:highlight w:val="none"/>
              </w:rPr>
              <w:t>道路运输扬尘</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（1）进场道路</w:t>
            </w:r>
            <w:r>
              <w:rPr>
                <w:rFonts w:hint="eastAsia" w:ascii="宋体" w:hAnsi="宋体" w:cs="宋体"/>
                <w:color w:val="auto"/>
                <w:sz w:val="24"/>
                <w:highlight w:val="none"/>
                <w:lang w:eastAsia="zh-CN"/>
              </w:rPr>
              <w:t>和采矿区到加工区运输道路</w:t>
            </w:r>
            <w:r>
              <w:rPr>
                <w:rFonts w:hint="eastAsia" w:ascii="宋体" w:hAnsi="宋体" w:eastAsia="宋体" w:cs="宋体"/>
                <w:color w:val="auto"/>
                <w:sz w:val="24"/>
                <w:highlight w:val="none"/>
              </w:rPr>
              <w:t>路面采用碎石铺盖，对道路进行定期检修，保证道路平整；</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（2）加强车辆管理，严禁超速超载行驶，运输时将砂石进行表面拍实，同时加盖篷布，防治撒漏。</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（3）定期对散落在路面的砂石进行清理，定时对进场路面进行洒水降尘。</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采取以上措施后，</w:t>
            </w:r>
            <w:r>
              <w:rPr>
                <w:rFonts w:hint="eastAsia" w:ascii="宋体" w:hAnsi="宋体" w:eastAsia="宋体" w:cs="宋体"/>
                <w:color w:val="auto"/>
                <w:sz w:val="24"/>
                <w:szCs w:val="24"/>
                <w:highlight w:val="none"/>
              </w:rPr>
              <w:t>道路运输</w:t>
            </w:r>
            <w:r>
              <w:rPr>
                <w:rFonts w:hint="eastAsia" w:ascii="宋体" w:hAnsi="宋体" w:eastAsia="宋体" w:cs="宋体"/>
                <w:color w:val="auto"/>
                <w:sz w:val="24"/>
                <w:highlight w:val="none"/>
                <w:lang w:eastAsia="zh-CN"/>
              </w:rPr>
              <w:t>对大气环境影响较小。</w:t>
            </w:r>
          </w:p>
          <w:p>
            <w:pPr>
              <w:pStyle w:val="6"/>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②</w:t>
            </w:r>
            <w:r>
              <w:rPr>
                <w:rFonts w:hint="eastAsia" w:ascii="宋体" w:hAnsi="宋体" w:eastAsia="宋体" w:cs="宋体"/>
                <w:color w:val="auto"/>
                <w:sz w:val="24"/>
                <w:szCs w:val="24"/>
                <w:highlight w:val="none"/>
              </w:rPr>
              <w:t>砂石料加工扬尘</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本项目</w:t>
            </w:r>
            <w:r>
              <w:rPr>
                <w:rFonts w:hint="eastAsia" w:ascii="宋体" w:hAnsi="宋体" w:cs="宋体"/>
                <w:color w:val="auto"/>
                <w:sz w:val="24"/>
                <w:highlight w:val="none"/>
                <w:lang w:eastAsia="zh-CN"/>
              </w:rPr>
              <w:t>加工区设置全封闭厂房，并在破碎机、筛分机进料口</w:t>
            </w:r>
            <w:r>
              <w:rPr>
                <w:rFonts w:hint="eastAsia" w:ascii="宋体" w:hAnsi="宋体" w:eastAsia="宋体" w:cs="宋体"/>
                <w:color w:val="auto"/>
                <w:sz w:val="24"/>
                <w:highlight w:val="none"/>
                <w:lang w:eastAsia="zh-CN"/>
              </w:rPr>
              <w:t>设置冲水水管，进行湿式作业</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减少加工扬尘的产生。</w:t>
            </w:r>
            <w:r>
              <w:rPr>
                <w:rFonts w:hint="eastAsia" w:ascii="宋体" w:hAnsi="宋体" w:cs="宋体"/>
                <w:color w:val="auto"/>
                <w:sz w:val="24"/>
                <w:highlight w:val="none"/>
                <w:lang w:eastAsia="zh-CN"/>
              </w:rPr>
              <w:t>原料</w:t>
            </w:r>
            <w:r>
              <w:rPr>
                <w:rFonts w:hint="eastAsia" w:ascii="宋体" w:hAnsi="宋体" w:cs="宋体"/>
                <w:color w:val="auto"/>
                <w:sz w:val="24"/>
                <w:szCs w:val="24"/>
                <w:highlight w:val="none"/>
                <w:lang w:eastAsia="zh-CN"/>
              </w:rPr>
              <w:t>和产品堆场地面硬化，</w:t>
            </w:r>
            <w:r>
              <w:rPr>
                <w:rFonts w:hint="eastAsia"/>
                <w:color w:val="000000"/>
                <w:sz w:val="24"/>
                <w:szCs w:val="24"/>
                <w:lang w:val="en-US" w:eastAsia="zh-CN"/>
              </w:rPr>
              <w:t>三面围挡+篷布遮盖，并进行定期洒水。</w:t>
            </w:r>
            <w:r>
              <w:rPr>
                <w:rFonts w:hint="default" w:ascii="宋体" w:hAnsi="宋体" w:eastAsia="宋体" w:cs="宋体"/>
                <w:color w:val="auto"/>
                <w:sz w:val="24"/>
                <w:highlight w:val="none"/>
                <w:lang w:eastAsia="zh-CN"/>
              </w:rPr>
              <w:t>皮带传送采用密闭传送带</w:t>
            </w:r>
            <w:r>
              <w:rPr>
                <w:rFonts w:hint="eastAsia" w:ascii="宋体" w:hAnsi="宋体" w:eastAsia="宋体" w:cs="宋体"/>
                <w:color w:val="auto"/>
                <w:sz w:val="24"/>
                <w:highlight w:val="none"/>
                <w:lang w:eastAsia="zh-CN"/>
              </w:rPr>
              <w:t>。采取以上措施后，砂石料加工对大气环境影响较小。</w:t>
            </w:r>
          </w:p>
          <w:p>
            <w:pPr>
              <w:pStyle w:val="6"/>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③</w:t>
            </w:r>
            <w:r>
              <w:rPr>
                <w:rFonts w:hint="eastAsia" w:ascii="宋体" w:hAnsi="宋体" w:eastAsia="宋体" w:cs="宋体"/>
                <w:color w:val="auto"/>
                <w:sz w:val="24"/>
                <w:szCs w:val="24"/>
                <w:highlight w:val="none"/>
              </w:rPr>
              <w:t>运输车辆尾气防治措施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建设单位作业时采用符合国家标准的机械设备，同时加强设备维护，选用合格的燃油，避免排放未完全燃烧的黑烟。此外，企业生产期间合理安排运输路线，避免运输绕路情况发生，同时加强运输路面维护，确保道面质量，要求运输车辆限速运行，严禁超载。由于项目场地空旷，空气流通性好，采取上述措施后，燃油机械尾气不会出现聚集现象，对区域环境空气质量无明显不利影响。</w:t>
            </w:r>
          </w:p>
          <w:p>
            <w:pPr>
              <w:pStyle w:val="2"/>
              <w:spacing w:line="360" w:lineRule="auto"/>
              <w:rPr>
                <w:rFonts w:hint="eastAsia" w:cs="宋体"/>
                <w:color w:val="auto"/>
                <w:sz w:val="24"/>
                <w:highlight w:val="none"/>
                <w:lang w:val="en-US" w:eastAsia="zh-CN"/>
              </w:rPr>
            </w:pPr>
            <w:r>
              <w:rPr>
                <w:rFonts w:hint="eastAsia" w:cs="宋体"/>
                <w:color w:val="auto"/>
                <w:sz w:val="24"/>
                <w:highlight w:val="none"/>
                <w:lang w:val="en-US" w:eastAsia="zh-CN"/>
              </w:rPr>
              <w:t xml:space="preserve">     ④食堂油烟</w:t>
            </w:r>
          </w:p>
          <w:p>
            <w:pPr>
              <w:spacing w:line="360" w:lineRule="auto"/>
              <w:ind w:firstLine="480" w:firstLineChars="200"/>
              <w:contextualSpacing/>
              <w:rPr>
                <w:sz w:val="24"/>
              </w:rPr>
            </w:pPr>
            <w:r>
              <w:rPr>
                <w:rFonts w:hint="eastAsia" w:ascii="宋体" w:hAnsi="宋体" w:eastAsia="宋体" w:cs="宋体"/>
                <w:color w:val="auto"/>
                <w:sz w:val="24"/>
                <w:highlight w:val="none"/>
              </w:rPr>
              <w:t>（1）</w:t>
            </w:r>
            <w:r>
              <w:rPr>
                <w:rFonts w:hint="eastAsia"/>
                <w:sz w:val="24"/>
              </w:rPr>
              <w:t>需要安装油烟净化设施对食堂油烟进行处理，处理效率不小于</w:t>
            </w:r>
            <w:r>
              <w:rPr>
                <w:rFonts w:hint="eastAsia"/>
                <w:sz w:val="24"/>
                <w:lang w:val="en-US" w:eastAsia="zh-CN"/>
              </w:rPr>
              <w:t>60</w:t>
            </w:r>
            <w:r>
              <w:rPr>
                <w:rFonts w:hint="eastAsia"/>
                <w:sz w:val="24"/>
              </w:rPr>
              <w:t>%，处理后的油烟废气通过建筑物内置烟道引至所在建筑物顶楼排放。</w:t>
            </w:r>
          </w:p>
          <w:p>
            <w:pPr>
              <w:spacing w:line="360" w:lineRule="auto"/>
              <w:ind w:firstLine="480" w:firstLineChars="200"/>
              <w:contextualSpacing/>
              <w:rPr>
                <w:sz w:val="24"/>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w:t>
            </w:r>
            <w:r>
              <w:rPr>
                <w:rFonts w:hint="eastAsia"/>
                <w:sz w:val="24"/>
              </w:rPr>
              <w:t>油烟排气筒出口朝向应避开易受影响的建筑物。</w:t>
            </w:r>
          </w:p>
          <w:p>
            <w:pPr>
              <w:spacing w:line="360" w:lineRule="auto"/>
              <w:ind w:firstLine="480" w:firstLineChars="200"/>
              <w:contextualSpacing/>
              <w:rPr>
                <w:sz w:val="24"/>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sz w:val="24"/>
              </w:rPr>
              <w:t>排烟系统应做到密封完好，禁止人为稀释排气筒中污染物浓度。</w:t>
            </w:r>
          </w:p>
          <w:p>
            <w:pPr>
              <w:spacing w:line="360" w:lineRule="auto"/>
              <w:ind w:firstLine="480" w:firstLineChars="200"/>
              <w:contextualSpacing/>
              <w:rPr>
                <w:sz w:val="24"/>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sz w:val="24"/>
              </w:rPr>
              <w:t>排气筒的设置根据饮食业油烟排放标准中相关要求执行，由专业安装设计单位实施。</w:t>
            </w:r>
          </w:p>
          <w:p>
            <w:pPr>
              <w:adjustRightInd w:val="0"/>
              <w:snapToGrid w:val="0"/>
              <w:spacing w:line="360" w:lineRule="auto"/>
              <w:rPr>
                <w:b/>
                <w:color w:val="auto"/>
                <w:sz w:val="24"/>
                <w:highlight w:val="none"/>
              </w:rPr>
            </w:pPr>
            <w:r>
              <w:rPr>
                <w:rFonts w:hint="eastAsia"/>
                <w:b/>
                <w:color w:val="auto"/>
                <w:sz w:val="24"/>
                <w:highlight w:val="none"/>
                <w:lang w:val="en-US" w:eastAsia="zh-CN"/>
              </w:rPr>
              <w:t>1.1</w:t>
            </w:r>
            <w:r>
              <w:rPr>
                <w:rFonts w:hint="eastAsia"/>
                <w:b/>
                <w:color w:val="auto"/>
                <w:sz w:val="24"/>
                <w:highlight w:val="none"/>
              </w:rPr>
              <w:t>可行性分析</w:t>
            </w:r>
          </w:p>
          <w:p>
            <w:pPr>
              <w:adjustRightInd w:val="0"/>
              <w:snapToGrid w:val="0"/>
              <w:spacing w:line="360" w:lineRule="auto"/>
              <w:ind w:firstLine="480" w:firstLineChars="200"/>
              <w:rPr>
                <w:color w:val="auto"/>
                <w:sz w:val="24"/>
                <w:highlight w:val="none"/>
              </w:rPr>
            </w:pPr>
            <w:r>
              <w:rPr>
                <w:color w:val="auto"/>
                <w:sz w:val="24"/>
                <w:highlight w:val="none"/>
              </w:rPr>
              <w:t>本项</w:t>
            </w:r>
            <w:r>
              <w:rPr>
                <w:rFonts w:ascii="Times New Roman" w:hAnsi="Times New Roman" w:eastAsia="宋体" w:cs="Times New Roman"/>
                <w:color w:val="auto"/>
                <w:sz w:val="24"/>
                <w:highlight w:val="none"/>
              </w:rPr>
              <w:t>目</w:t>
            </w:r>
            <w:r>
              <w:rPr>
                <w:rFonts w:hint="eastAsia" w:ascii="Times New Roman" w:hAnsi="Times New Roman" w:cs="Times New Roman"/>
                <w:color w:val="auto"/>
                <w:sz w:val="24"/>
                <w:highlight w:val="none"/>
                <w:lang w:eastAsia="zh-CN"/>
              </w:rPr>
              <w:t>采场作业，</w:t>
            </w:r>
            <w:r>
              <w:rPr>
                <w:rFonts w:ascii="Times New Roman" w:hAnsi="Times New Roman" w:eastAsia="宋体" w:cs="Times New Roman"/>
                <w:color w:val="auto"/>
                <w:sz w:val="24"/>
                <w:highlight w:val="none"/>
              </w:rPr>
              <w:t>原料</w:t>
            </w:r>
            <w:r>
              <w:rPr>
                <w:rFonts w:hint="eastAsia" w:ascii="Times New Roman" w:hAnsi="Times New Roman" w:eastAsia="宋体" w:cs="Times New Roman"/>
                <w:color w:val="auto"/>
                <w:sz w:val="24"/>
                <w:highlight w:val="none"/>
              </w:rPr>
              <w:t>储存，</w:t>
            </w:r>
            <w:r>
              <w:rPr>
                <w:rFonts w:hint="eastAsia" w:ascii="Times New Roman" w:hAnsi="Times New Roman" w:eastAsia="宋体" w:cs="Times New Roman"/>
                <w:color w:val="auto"/>
                <w:sz w:val="24"/>
                <w:highlight w:val="none"/>
                <w:lang w:eastAsia="zh-CN"/>
              </w:rPr>
              <w:t>砂石料加工</w:t>
            </w:r>
            <w:r>
              <w:rPr>
                <w:rFonts w:hint="eastAsia" w:ascii="Times New Roman" w:hAnsi="Times New Roman" w:eastAsia="宋体" w:cs="Times New Roman"/>
                <w:color w:val="auto"/>
                <w:sz w:val="24"/>
                <w:highlight w:val="none"/>
              </w:rPr>
              <w:t>工序的粉尘，为</w:t>
            </w:r>
            <w:r>
              <w:rPr>
                <w:rFonts w:ascii="Times New Roman" w:hAnsi="Times New Roman" w:eastAsia="宋体" w:cs="Times New Roman"/>
                <w:color w:val="auto"/>
                <w:sz w:val="24"/>
                <w:highlight w:val="none"/>
              </w:rPr>
              <w:t>无组织排放</w:t>
            </w:r>
            <w:r>
              <w:rPr>
                <w:rFonts w:hint="eastAsia" w:ascii="Times New Roman" w:hAnsi="Times New Roman" w:eastAsia="宋体" w:cs="Times New Roman"/>
                <w:color w:val="auto"/>
                <w:sz w:val="24"/>
                <w:highlight w:val="none"/>
              </w:rPr>
              <w:t>排放，</w:t>
            </w:r>
            <w:r>
              <w:rPr>
                <w:rFonts w:hint="eastAsia" w:ascii="Times New Roman" w:hAnsi="Times New Roman" w:cs="Times New Roman"/>
                <w:color w:val="auto"/>
                <w:sz w:val="24"/>
                <w:highlight w:val="none"/>
                <w:lang w:eastAsia="zh-CN"/>
              </w:rPr>
              <w:t>清表、</w:t>
            </w:r>
            <w:r>
              <w:rPr>
                <w:rFonts w:hint="default" w:ascii="Times New Roman" w:hAnsi="Times New Roman" w:eastAsia="宋体" w:cs="Times New Roman"/>
                <w:sz w:val="24"/>
                <w:szCs w:val="24"/>
              </w:rPr>
              <w:t>穿孔</w:t>
            </w:r>
            <w:r>
              <w:rPr>
                <w:rFonts w:hint="eastAsia" w:ascii="Times New Roman" w:hAnsi="Times New Roman" w:eastAsia="宋体" w:cs="Times New Roman"/>
                <w:sz w:val="24"/>
                <w:szCs w:val="24"/>
                <w:lang w:eastAsia="zh-CN"/>
              </w:rPr>
              <w:t>、爆破作业</w:t>
            </w:r>
            <w:r>
              <w:rPr>
                <w:rFonts w:hint="default" w:ascii="Times New Roman" w:hAnsi="Times New Roman" w:eastAsia="宋体" w:cs="Times New Roman"/>
                <w:sz w:val="24"/>
                <w:szCs w:val="24"/>
              </w:rPr>
              <w:t>利用雾炮机</w:t>
            </w:r>
            <w:r>
              <w:rPr>
                <w:rFonts w:hint="eastAsia" w:ascii="Times New Roman" w:hAnsi="Times New Roman" w:eastAsia="宋体" w:cs="Times New Roman"/>
                <w:sz w:val="24"/>
                <w:szCs w:val="24"/>
                <w:lang w:eastAsia="zh-CN"/>
              </w:rPr>
              <w:t>进行降尘，湿法作业；</w:t>
            </w:r>
            <w:r>
              <w:rPr>
                <w:rFonts w:hint="eastAsia" w:ascii="宋体" w:hAnsi="宋体" w:eastAsia="宋体" w:cs="宋体"/>
                <w:color w:val="auto"/>
                <w:sz w:val="24"/>
                <w:highlight w:val="none"/>
              </w:rPr>
              <w:t>本项目砂石加工</w:t>
            </w:r>
            <w:r>
              <w:rPr>
                <w:rFonts w:hint="eastAsia" w:ascii="宋体" w:hAnsi="宋体" w:cs="宋体"/>
                <w:color w:val="auto"/>
                <w:sz w:val="24"/>
                <w:highlight w:val="none"/>
                <w:lang w:eastAsia="zh-CN"/>
              </w:rPr>
              <w:t>设置全封闭厂房，并在进料口</w:t>
            </w:r>
            <w:r>
              <w:rPr>
                <w:rFonts w:hint="eastAsia" w:ascii="宋体" w:hAnsi="宋体" w:eastAsia="宋体" w:cs="宋体"/>
                <w:color w:val="auto"/>
                <w:sz w:val="24"/>
                <w:highlight w:val="none"/>
                <w:lang w:eastAsia="zh-CN"/>
              </w:rPr>
              <w:t>设置冲水水管，进行湿式作</w:t>
            </w:r>
            <w:r>
              <w:rPr>
                <w:rFonts w:hint="eastAsia" w:ascii="宋体" w:hAnsi="宋体" w:cs="宋体"/>
                <w:color w:val="auto"/>
                <w:sz w:val="24"/>
                <w:highlight w:val="none"/>
                <w:lang w:eastAsia="zh-CN"/>
              </w:rPr>
              <w:t>业</w:t>
            </w:r>
            <w:r>
              <w:rPr>
                <w:rFonts w:hint="eastAsia" w:ascii="宋体" w:hAnsi="宋体" w:eastAsia="宋体" w:cs="宋体"/>
                <w:color w:val="auto"/>
                <w:sz w:val="24"/>
                <w:highlight w:val="none"/>
                <w:lang w:eastAsia="zh-CN"/>
              </w:rPr>
              <w:t>；</w:t>
            </w:r>
            <w:r>
              <w:rPr>
                <w:rFonts w:hint="eastAsia" w:ascii="Times New Roman" w:hAnsi="Times New Roman" w:eastAsia="宋体" w:cs="Times New Roman"/>
                <w:b w:val="0"/>
                <w:bCs/>
                <w:color w:val="auto"/>
                <w:sz w:val="24"/>
                <w:highlight w:val="none"/>
                <w:lang w:eastAsia="zh-CN"/>
              </w:rPr>
              <w:t>堆场</w:t>
            </w:r>
            <w:r>
              <w:rPr>
                <w:rFonts w:hint="eastAsia" w:cs="Times New Roman"/>
                <w:b w:val="0"/>
                <w:bCs/>
                <w:color w:val="auto"/>
                <w:sz w:val="24"/>
                <w:highlight w:val="none"/>
                <w:lang w:eastAsia="zh-CN"/>
              </w:rPr>
              <w:t>地面硬化</w:t>
            </w:r>
            <w:r>
              <w:rPr>
                <w:rFonts w:hint="eastAsia" w:cs="Times New Roman"/>
                <w:b w:val="0"/>
                <w:bCs/>
                <w:color w:val="auto"/>
                <w:sz w:val="24"/>
                <w:highlight w:val="none"/>
                <w:lang w:val="en-US" w:eastAsia="zh-CN"/>
              </w:rPr>
              <w:t>+三面围挡</w:t>
            </w:r>
            <w:r>
              <w:rPr>
                <w:rFonts w:hint="eastAsia" w:ascii="Times New Roman" w:hAnsi="Times New Roman" w:cs="Times New Roman"/>
                <w:b w:val="0"/>
                <w:bCs/>
                <w:color w:val="auto"/>
                <w:sz w:val="24"/>
                <w:highlight w:val="none"/>
                <w:lang w:eastAsia="zh-CN"/>
              </w:rPr>
              <w:t>，</w:t>
            </w:r>
            <w:r>
              <w:rPr>
                <w:rFonts w:ascii="Times New Roman" w:hAnsi="Times New Roman" w:eastAsia="宋体" w:cs="Times New Roman"/>
                <w:b w:val="0"/>
                <w:bCs/>
                <w:color w:val="auto"/>
                <w:sz w:val="24"/>
                <w:highlight w:val="none"/>
              </w:rPr>
              <w:t>采取篷布遮盖并定期洒水</w:t>
            </w:r>
            <w:r>
              <w:rPr>
                <w:rFonts w:hint="eastAsia" w:ascii="Times New Roman" w:hAnsi="Times New Roman" w:eastAsia="宋体" w:cs="Times New Roman"/>
                <w:b w:val="0"/>
                <w:bCs/>
                <w:color w:val="auto"/>
                <w:sz w:val="24"/>
                <w:highlight w:val="none"/>
              </w:rPr>
              <w:t>。</w:t>
            </w:r>
            <w:r>
              <w:rPr>
                <w:b w:val="0"/>
                <w:bCs/>
                <w:color w:val="auto"/>
                <w:sz w:val="24"/>
                <w:highlight w:val="none"/>
              </w:rPr>
              <w:t>通过采取上述措施后，达到《大气污染物综合排放标准》（GB16297-1996</w:t>
            </w:r>
            <w:r>
              <w:rPr>
                <w:color w:val="auto"/>
                <w:sz w:val="24"/>
                <w:highlight w:val="none"/>
              </w:rPr>
              <w:t>）中1.0mg/m</w:t>
            </w:r>
            <w:r>
              <w:rPr>
                <w:color w:val="auto"/>
                <w:sz w:val="24"/>
                <w:highlight w:val="none"/>
                <w:vertAlign w:val="superscript"/>
              </w:rPr>
              <w:t>3</w:t>
            </w:r>
            <w:r>
              <w:rPr>
                <w:color w:val="auto"/>
                <w:sz w:val="24"/>
                <w:highlight w:val="none"/>
              </w:rPr>
              <w:t>的要求，对区域环境空气造成的影响较小。</w:t>
            </w:r>
            <w:r>
              <w:rPr>
                <w:rFonts w:hint="eastAsia"/>
                <w:color w:val="auto"/>
                <w:sz w:val="24"/>
                <w:highlight w:val="none"/>
                <w:lang w:eastAsia="zh-CN"/>
              </w:rPr>
              <w:t>不</w:t>
            </w:r>
            <w:r>
              <w:rPr>
                <w:color w:val="auto"/>
                <w:sz w:val="24"/>
                <w:highlight w:val="none"/>
              </w:rPr>
              <w:t>会对外环境造成明显不利的影响，故治理措施是可行的。</w:t>
            </w:r>
          </w:p>
          <w:p>
            <w:pPr>
              <w:keepLines w:val="0"/>
              <w:pageBreakBefore w:val="0"/>
              <w:widowControl w:val="0"/>
              <w:kinsoku/>
              <w:wordWrap/>
              <w:overflowPunct/>
              <w:topLinePunct w:val="0"/>
              <w:autoSpaceDE/>
              <w:autoSpaceDN/>
              <w:bidi w:val="0"/>
              <w:adjustRightInd w:val="0"/>
              <w:snapToGrid w:val="0"/>
              <w:spacing w:line="360" w:lineRule="auto"/>
              <w:textAlignment w:val="auto"/>
              <w:rPr>
                <w:rFonts w:hint="eastAsia"/>
                <w:b/>
                <w:bCs w:val="0"/>
                <w:color w:val="auto"/>
                <w:sz w:val="24"/>
                <w:szCs w:val="24"/>
                <w:highlight w:val="none"/>
                <w:lang w:val="en-US" w:eastAsia="zh-CN"/>
              </w:rPr>
            </w:pPr>
            <w:r>
              <w:rPr>
                <w:rFonts w:hint="eastAsia" w:ascii="Times New Roman" w:hAnsi="Times New Roman"/>
                <w:b/>
                <w:bCs w:val="0"/>
                <w:color w:val="auto"/>
                <w:sz w:val="24"/>
                <w:szCs w:val="24"/>
                <w:highlight w:val="none"/>
                <w:lang w:val="en-US" w:eastAsia="zh-CN"/>
              </w:rPr>
              <w:t>1.2</w:t>
            </w:r>
            <w:r>
              <w:rPr>
                <w:rFonts w:hint="eastAsia"/>
                <w:b/>
                <w:bCs w:val="0"/>
                <w:color w:val="auto"/>
                <w:sz w:val="24"/>
                <w:szCs w:val="24"/>
                <w:highlight w:val="none"/>
                <w:lang w:val="en-US" w:eastAsia="zh-CN"/>
              </w:rPr>
              <w:t>监测计划要求</w:t>
            </w:r>
          </w:p>
          <w:p>
            <w:pPr>
              <w:pStyle w:val="8"/>
              <w:rPr>
                <w:rFonts w:ascii="Times New Roman" w:hAnsi="Times New Roman" w:cs="Times New Roman"/>
                <w:color w:val="auto"/>
                <w:sz w:val="24"/>
                <w:szCs w:val="24"/>
                <w:highlight w:val="none"/>
              </w:rPr>
            </w:pPr>
            <w:r>
              <w:rPr>
                <w:rFonts w:ascii="Times New Roman" w:cs="Times New Roman"/>
                <w:color w:val="auto"/>
                <w:sz w:val="24"/>
                <w:szCs w:val="24"/>
                <w:highlight w:val="none"/>
              </w:rPr>
              <w:t>本工程施工期和运营期的环境监测工作委托当地有资质的环境监测单位承担，根据项目的污染特征和环境特点，运营期环境监控计划根据《排污单位自行监测技术指南</w:t>
            </w:r>
            <w:r>
              <w:rPr>
                <w:rFonts w:ascii="Times New Roman" w:hAnsi="Times New Roman" w:cs="Times New Roman"/>
                <w:color w:val="auto"/>
                <w:sz w:val="24"/>
                <w:szCs w:val="24"/>
                <w:highlight w:val="none"/>
              </w:rPr>
              <w:t xml:space="preserve"> </w:t>
            </w:r>
            <w:r>
              <w:rPr>
                <w:rFonts w:ascii="Times New Roman" w:cs="Times New Roman"/>
                <w:color w:val="auto"/>
                <w:sz w:val="24"/>
                <w:szCs w:val="24"/>
                <w:highlight w:val="none"/>
              </w:rPr>
              <w:t>总则》（</w:t>
            </w:r>
            <w:r>
              <w:rPr>
                <w:rFonts w:ascii="Times New Roman" w:hAnsi="Times New Roman" w:cs="Times New Roman"/>
                <w:color w:val="auto"/>
                <w:sz w:val="24"/>
                <w:szCs w:val="24"/>
                <w:highlight w:val="none"/>
              </w:rPr>
              <w:t>HJ819-2017</w:t>
            </w:r>
            <w:r>
              <w:rPr>
                <w:rFonts w:ascii="Times New Roman" w:cs="Times New Roman"/>
                <w:color w:val="auto"/>
                <w:sz w:val="24"/>
                <w:szCs w:val="24"/>
                <w:highlight w:val="none"/>
              </w:rPr>
              <w:t>）及《排污许可证申请与核发技术规范石墨及其他非金属矿物制品制造》（</w:t>
            </w:r>
            <w:r>
              <w:rPr>
                <w:rFonts w:ascii="Times New Roman" w:hAnsi="Times New Roman" w:cs="Times New Roman"/>
                <w:color w:val="auto"/>
                <w:sz w:val="24"/>
                <w:szCs w:val="24"/>
                <w:highlight w:val="none"/>
              </w:rPr>
              <w:t>HJ1119-2020</w:t>
            </w:r>
            <w:r>
              <w:rPr>
                <w:rFonts w:ascii="Times New Roman" w:cs="Times New Roman"/>
                <w:color w:val="auto"/>
                <w:sz w:val="24"/>
                <w:szCs w:val="24"/>
                <w:highlight w:val="none"/>
              </w:rPr>
              <w:t>）等确定</w:t>
            </w:r>
            <w:r>
              <w:rPr>
                <w:rFonts w:hint="eastAsia" w:ascii="Times New Roman" w:cs="Times New Roman"/>
                <w:color w:val="auto"/>
                <w:sz w:val="24"/>
                <w:szCs w:val="24"/>
                <w:highlight w:val="none"/>
              </w:rPr>
              <w:t>。</w:t>
            </w:r>
          </w:p>
          <w:p>
            <w:pPr>
              <w:pStyle w:val="12"/>
              <w:snapToGrid w:val="0"/>
              <w:spacing w:after="0" w:line="360" w:lineRule="auto"/>
              <w:ind w:firstLine="482" w:firstLineChars="200"/>
              <w:jc w:val="both"/>
              <w:rPr>
                <w:rFonts w:ascii="Times New Roman" w:hAnsi="宋体"/>
                <w:b/>
                <w:color w:val="auto"/>
                <w:sz w:val="24"/>
                <w:szCs w:val="24"/>
                <w:highlight w:val="none"/>
              </w:rPr>
            </w:pPr>
            <w:r>
              <w:rPr>
                <w:rFonts w:hint="eastAsia" w:ascii="Times New Roman" w:hAnsi="宋体"/>
                <w:b/>
                <w:color w:val="auto"/>
                <w:sz w:val="24"/>
                <w:szCs w:val="24"/>
                <w:highlight w:val="none"/>
              </w:rPr>
              <w:t>表</w:t>
            </w:r>
            <w:r>
              <w:rPr>
                <w:rFonts w:hint="eastAsia" w:hAnsi="宋体"/>
                <w:b/>
                <w:color w:val="auto"/>
                <w:sz w:val="24"/>
                <w:szCs w:val="24"/>
                <w:highlight w:val="none"/>
                <w:lang w:val="en-US" w:eastAsia="zh-CN"/>
              </w:rPr>
              <w:t>5-1</w:t>
            </w:r>
            <w:r>
              <w:rPr>
                <w:rFonts w:ascii="Times New Roman" w:hAnsi="宋体"/>
                <w:b/>
                <w:color w:val="auto"/>
                <w:sz w:val="24"/>
                <w:szCs w:val="24"/>
                <w:highlight w:val="none"/>
              </w:rPr>
              <w:t xml:space="preserve">           </w:t>
            </w:r>
            <w:r>
              <w:rPr>
                <w:rFonts w:hint="eastAsia" w:ascii="Times New Roman" w:hAnsi="宋体"/>
                <w:b/>
                <w:color w:val="auto"/>
                <w:sz w:val="24"/>
                <w:szCs w:val="24"/>
                <w:highlight w:val="none"/>
              </w:rPr>
              <w:t>环境监测计划</w:t>
            </w:r>
          </w:p>
          <w:tbl>
            <w:tblPr>
              <w:tblStyle w:val="28"/>
              <w:tblW w:w="49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680"/>
              <w:gridCol w:w="2050"/>
              <w:gridCol w:w="1696"/>
              <w:gridCol w:w="261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blHeader/>
                <w:jc w:val="center"/>
              </w:trPr>
              <w:tc>
                <w:tcPr>
                  <w:tcW w:w="452"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时段</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类别</w:t>
                  </w:r>
                </w:p>
              </w:tc>
              <w:tc>
                <w:tcPr>
                  <w:tcW w:w="1181"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监测点</w:t>
                  </w:r>
                </w:p>
              </w:tc>
              <w:tc>
                <w:tcPr>
                  <w:tcW w:w="977"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监测项目</w:t>
                  </w:r>
                </w:p>
              </w:tc>
              <w:tc>
                <w:tcPr>
                  <w:tcW w:w="1505"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监测频率</w:t>
                  </w:r>
                </w:p>
              </w:tc>
              <w:tc>
                <w:tcPr>
                  <w:tcW w:w="489"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52"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运营期</w:t>
                  </w:r>
                </w:p>
              </w:tc>
              <w:tc>
                <w:tcPr>
                  <w:tcW w:w="392"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废气</w:t>
                  </w:r>
                </w:p>
              </w:tc>
              <w:tc>
                <w:tcPr>
                  <w:tcW w:w="1181"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加工厂厂界</w:t>
                  </w:r>
                </w:p>
              </w:tc>
              <w:tc>
                <w:tcPr>
                  <w:tcW w:w="977"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颗粒物</w:t>
                  </w:r>
                </w:p>
              </w:tc>
              <w:tc>
                <w:tcPr>
                  <w:tcW w:w="1505"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每半年</w:t>
                  </w:r>
                  <w:r>
                    <w:rPr>
                      <w:rFonts w:ascii="Times New Roman" w:hAnsi="Times New Roman"/>
                      <w:color w:val="auto"/>
                      <w:highlight w:val="none"/>
                      <w:lang w:val="en-US" w:eastAsia="zh-CN"/>
                    </w:rPr>
                    <w:t>1</w:t>
                  </w:r>
                  <w:r>
                    <w:rPr>
                      <w:rFonts w:hint="eastAsia" w:ascii="Times New Roman"/>
                      <w:color w:val="auto"/>
                      <w:highlight w:val="none"/>
                      <w:lang w:val="en-US" w:eastAsia="zh-CN"/>
                    </w:rPr>
                    <w:t>次，每次</w:t>
                  </w:r>
                  <w:r>
                    <w:rPr>
                      <w:rFonts w:ascii="Times New Roman" w:hAnsi="Times New Roman"/>
                      <w:color w:val="auto"/>
                      <w:highlight w:val="none"/>
                      <w:lang w:val="en-US" w:eastAsia="zh-CN"/>
                    </w:rPr>
                    <w:t>3</w:t>
                  </w:r>
                  <w:r>
                    <w:rPr>
                      <w:rFonts w:hint="eastAsia" w:ascii="Times New Roman"/>
                      <w:color w:val="auto"/>
                      <w:highlight w:val="none"/>
                      <w:lang w:val="en-US" w:eastAsia="zh-CN"/>
                    </w:rPr>
                    <w:t>天</w:t>
                  </w:r>
                </w:p>
              </w:tc>
              <w:tc>
                <w:tcPr>
                  <w:tcW w:w="489" w:type="pct"/>
                  <w:tcBorders>
                    <w:top w:val="single" w:color="auto" w:sz="4" w:space="0"/>
                    <w:left w:val="single" w:color="auto" w:sz="4" w:space="0"/>
                    <w:bottom w:val="single" w:color="auto" w:sz="4" w:space="0"/>
                    <w:right w:val="single" w:color="auto" w:sz="4" w:space="0"/>
                  </w:tcBorders>
                  <w:noWrap w:val="0"/>
                  <w:vAlign w:val="center"/>
                </w:tcPr>
                <w:p>
                  <w:pPr>
                    <w:pStyle w:val="104"/>
                    <w:adjustRightInd w:val="0"/>
                    <w:snapToGrid w:val="0"/>
                    <w:spacing w:line="240" w:lineRule="auto"/>
                    <w:rPr>
                      <w:rFonts w:ascii="Times New Roman" w:hAnsi="Times New Roman"/>
                      <w:color w:val="auto"/>
                      <w:highlight w:val="none"/>
                      <w:lang w:val="en-US" w:eastAsia="zh-CN"/>
                    </w:rPr>
                  </w:pPr>
                  <w:r>
                    <w:rPr>
                      <w:rFonts w:hint="eastAsia" w:ascii="Times New Roman"/>
                      <w:color w:val="auto"/>
                      <w:highlight w:val="none"/>
                      <w:lang w:val="en-US" w:eastAsia="zh-CN"/>
                    </w:rPr>
                    <w:t>可委托有资质机构进行监测</w:t>
                  </w:r>
                </w:p>
              </w:tc>
            </w:tr>
          </w:tbl>
          <w:p>
            <w:pPr>
              <w:adjustRightInd w:val="0"/>
              <w:snapToGrid w:val="0"/>
              <w:spacing w:line="360" w:lineRule="auto"/>
              <w:jc w:val="left"/>
              <w:rPr>
                <w:rFonts w:hint="default"/>
                <w:color w:val="auto"/>
                <w:highlight w:val="none"/>
                <w:lang w:val="en-US" w:eastAsia="zh-CN"/>
              </w:rPr>
            </w:pPr>
            <w:r>
              <w:rPr>
                <w:rFonts w:hint="eastAsia"/>
                <w:b/>
                <w:bCs/>
                <w:color w:val="auto"/>
                <w:sz w:val="24"/>
                <w:highlight w:val="none"/>
                <w:lang w:val="en-US" w:eastAsia="zh-CN"/>
              </w:rPr>
              <w:t>2、</w:t>
            </w:r>
            <w:r>
              <w:rPr>
                <w:rFonts w:hint="eastAsia" w:hAnsi="宋体"/>
                <w:b/>
                <w:sz w:val="24"/>
                <w:lang w:val="en-US" w:eastAsia="zh-CN"/>
              </w:rPr>
              <w:t>水污染</w:t>
            </w:r>
            <w:r>
              <w:rPr>
                <w:rFonts w:hint="eastAsia" w:ascii="Times New Roman" w:hAnsi="宋体" w:eastAsia="宋体" w:cs="Times New Roman"/>
                <w:b/>
                <w:sz w:val="24"/>
                <w:lang w:val="en-US" w:eastAsia="zh-CN"/>
              </w:rPr>
              <w:t>防治措施</w:t>
            </w:r>
          </w:p>
          <w:p>
            <w:pPr>
              <w:pStyle w:val="6"/>
              <w:keepNext w:val="0"/>
              <w:keepLines w:val="0"/>
              <w:pageBreakBefore w:val="0"/>
              <w:widowControl w:val="0"/>
              <w:kinsoku/>
              <w:wordWrap/>
              <w:overflowPunct/>
              <w:topLinePunct w:val="0"/>
              <w:bidi w:val="0"/>
              <w:adjustRightInd w:val="0"/>
              <w:snapToGrid w:val="0"/>
              <w:spacing w:beforeLines="0" w:beforeAutospacing="0" w:afterLines="0" w:afterAutospacing="0" w:line="360" w:lineRule="auto"/>
              <w:ind w:left="0" w:right="0" w:rightChars="0" w:firstLine="480" w:firstLineChars="200"/>
              <w:rPr>
                <w:rFonts w:ascii="Times New Roman" w:hAnsi="Times New Roman" w:eastAsia="宋体"/>
                <w:color w:val="auto"/>
                <w:sz w:val="24"/>
                <w:szCs w:val="24"/>
                <w:highlight w:val="none"/>
              </w:rPr>
            </w:pPr>
            <w:r>
              <w:rPr>
                <w:rFonts w:hint="eastAsia" w:ascii="Times New Roman" w:hAnsi="宋体" w:eastAsia="宋体" w:cs="Times New Roman"/>
                <w:color w:val="auto"/>
                <w:sz w:val="24"/>
                <w:szCs w:val="24"/>
                <w:highlight w:val="none"/>
                <w:lang w:eastAsia="zh-CN"/>
              </w:rPr>
              <w:t>①洗砂</w:t>
            </w:r>
            <w:r>
              <w:rPr>
                <w:rFonts w:ascii="Times New Roman" w:hAnsi="宋体" w:eastAsia="宋体"/>
                <w:color w:val="auto"/>
                <w:sz w:val="24"/>
                <w:szCs w:val="24"/>
                <w:highlight w:val="none"/>
              </w:rPr>
              <w:t>废水</w:t>
            </w:r>
          </w:p>
          <w:p>
            <w:pPr>
              <w:pStyle w:val="12"/>
              <w:keepNext w:val="0"/>
              <w:keepLines w:val="0"/>
              <w:pageBreakBefore w:val="0"/>
              <w:widowControl w:val="0"/>
              <w:kinsoku/>
              <w:wordWrap/>
              <w:overflowPunct/>
              <w:topLinePunct w:val="0"/>
              <w:autoSpaceDE/>
              <w:autoSpaceDN/>
              <w:bidi w:val="0"/>
              <w:adjustRightInd w:val="0"/>
              <w:snapToGrid w:val="0"/>
              <w:spacing w:before="0" w:after="0" w:line="360" w:lineRule="auto"/>
              <w:ind w:left="0" w:right="0" w:firstLine="471"/>
              <w:jc w:val="both"/>
              <w:textAlignment w:val="auto"/>
              <w:rPr>
                <w:color w:val="auto"/>
                <w:sz w:val="24"/>
                <w:highlight w:val="none"/>
              </w:rPr>
            </w:pPr>
            <w:r>
              <w:rPr>
                <w:rFonts w:hAnsi="宋体"/>
                <w:color w:val="auto"/>
                <w:sz w:val="24"/>
                <w:highlight w:val="none"/>
              </w:rPr>
              <w:t>本项目生产废水主要为洗砂废水，污染物为</w:t>
            </w:r>
            <w:r>
              <w:rPr>
                <w:color w:val="auto"/>
                <w:sz w:val="24"/>
                <w:highlight w:val="none"/>
              </w:rPr>
              <w:t>SS</w:t>
            </w:r>
            <w:r>
              <w:rPr>
                <w:rFonts w:hAnsi="宋体"/>
                <w:color w:val="auto"/>
                <w:sz w:val="24"/>
                <w:highlight w:val="none"/>
              </w:rPr>
              <w:t>，每天洗砂废水产生量约为</w:t>
            </w:r>
            <w:r>
              <w:rPr>
                <w:rFonts w:hint="eastAsia"/>
                <w:color w:val="auto"/>
                <w:sz w:val="24"/>
                <w:highlight w:val="none"/>
                <w:lang w:val="en-US" w:eastAsia="zh-CN"/>
              </w:rPr>
              <w:t>109.44</w:t>
            </w:r>
            <w:r>
              <w:rPr>
                <w:color w:val="auto"/>
                <w:sz w:val="24"/>
                <w:highlight w:val="none"/>
              </w:rPr>
              <w:t>m</w:t>
            </w:r>
            <w:r>
              <w:rPr>
                <w:color w:val="auto"/>
                <w:sz w:val="24"/>
                <w:highlight w:val="none"/>
                <w:vertAlign w:val="superscript"/>
              </w:rPr>
              <w:t>3</w:t>
            </w:r>
            <w:r>
              <w:rPr>
                <w:rFonts w:hAnsi="宋体"/>
                <w:color w:val="auto"/>
                <w:sz w:val="24"/>
                <w:highlight w:val="none"/>
              </w:rPr>
              <w:t>，本项目砂场加工区设置三级沉淀池</w:t>
            </w:r>
            <w:r>
              <w:rPr>
                <w:rFonts w:hint="eastAsia" w:hAnsi="宋体"/>
                <w:color w:val="auto"/>
                <w:sz w:val="24"/>
                <w:highlight w:val="none"/>
                <w:lang w:val="en-US" w:eastAsia="zh-CN"/>
              </w:rPr>
              <w:t>+压滤机</w:t>
            </w:r>
            <w:r>
              <w:rPr>
                <w:rFonts w:hAnsi="宋体"/>
                <w:color w:val="auto"/>
                <w:sz w:val="24"/>
                <w:highlight w:val="none"/>
              </w:rPr>
              <w:t>，沉淀池有效容积约为</w:t>
            </w:r>
            <w:r>
              <w:rPr>
                <w:rFonts w:hint="eastAsia"/>
                <w:color w:val="auto"/>
                <w:sz w:val="24"/>
                <w:highlight w:val="none"/>
                <w:lang w:val="en-US" w:eastAsia="zh-CN"/>
              </w:rPr>
              <w:t>400</w:t>
            </w:r>
            <w:r>
              <w:rPr>
                <w:color w:val="auto"/>
                <w:sz w:val="24"/>
                <w:highlight w:val="none"/>
              </w:rPr>
              <w:t>m</w:t>
            </w:r>
            <w:r>
              <w:rPr>
                <w:color w:val="auto"/>
                <w:sz w:val="24"/>
                <w:highlight w:val="none"/>
                <w:vertAlign w:val="superscript"/>
              </w:rPr>
              <w:t>3</w:t>
            </w:r>
            <w:r>
              <w:rPr>
                <w:rFonts w:hAnsi="宋体"/>
                <w:color w:val="auto"/>
                <w:sz w:val="24"/>
                <w:highlight w:val="none"/>
              </w:rPr>
              <w:t>，</w:t>
            </w:r>
            <w:r>
              <w:rPr>
                <w:rFonts w:hint="eastAsia" w:ascii="Times New Roman" w:hAnsi="Times New Roman" w:cs="Times New Roman"/>
                <w:b w:val="0"/>
                <w:bCs w:val="0"/>
                <w:color w:val="000000"/>
                <w:sz w:val="24"/>
                <w:szCs w:val="24"/>
                <w:lang w:eastAsia="zh-CN"/>
              </w:rPr>
              <w:t>压滤机用于固体和液体的分离。与其它固液分离设备相比，压滤机过滤后的泥饼有更高的含固率和优良的分离效果。固液分离的基本原理是：混合液流经过滤介质(滤布)，固体停留在滤布上，并逐渐在滤布上堆积形成过滤泥饼。而滤液部分则渗透过滤布，成为不含固体的清液。</w:t>
            </w:r>
            <w:r>
              <w:rPr>
                <w:rFonts w:hAnsi="宋体"/>
                <w:color w:val="auto"/>
                <w:sz w:val="24"/>
                <w:highlight w:val="none"/>
              </w:rPr>
              <w:t>洗砂废水经沉淀池</w:t>
            </w:r>
            <w:r>
              <w:rPr>
                <w:rFonts w:hint="eastAsia" w:hAnsi="宋体"/>
                <w:color w:val="auto"/>
                <w:sz w:val="24"/>
                <w:highlight w:val="none"/>
                <w:lang w:val="en-US" w:eastAsia="zh-CN"/>
              </w:rPr>
              <w:t>+压滤机</w:t>
            </w:r>
            <w:r>
              <w:rPr>
                <w:rFonts w:hAnsi="宋体"/>
                <w:color w:val="auto"/>
                <w:sz w:val="24"/>
                <w:highlight w:val="none"/>
              </w:rPr>
              <w:t>处理后回用，不外排。</w:t>
            </w:r>
          </w:p>
          <w:p>
            <w:pPr>
              <w:keepNext w:val="0"/>
              <w:keepLines w:val="0"/>
              <w:pageBreakBefore w:val="0"/>
              <w:widowControl w:val="0"/>
              <w:kinsoku/>
              <w:wordWrap/>
              <w:overflowPunct/>
              <w:topLinePunct w:val="0"/>
              <w:bidi w:val="0"/>
              <w:adjustRightInd w:val="0"/>
              <w:snapToGrid w:val="0"/>
              <w:spacing w:line="360" w:lineRule="auto"/>
              <w:ind w:firstLine="480" w:firstLineChars="200"/>
              <w:rPr>
                <w:rFonts w:ascii="Times New Roman" w:hAnsi="Times New Roman"/>
                <w:iCs/>
                <w:color w:val="auto"/>
                <w:sz w:val="24"/>
                <w:highlight w:val="none"/>
              </w:rPr>
            </w:pPr>
            <w:r>
              <w:rPr>
                <w:rFonts w:hAnsi="宋体"/>
                <w:iCs/>
                <w:color w:val="auto"/>
                <w:sz w:val="24"/>
                <w:highlight w:val="none"/>
              </w:rPr>
              <w:t>废水循环沉淀池，为钢筋混凝土结构，为避免生产废水下渗污染土壤及地下水体，要求沉淀池做防渗处理，采取上述措施后，生产废水对区域地下水无不利影响，生产废水治理措施可行。</w:t>
            </w:r>
          </w:p>
          <w:p>
            <w:pPr>
              <w:pStyle w:val="6"/>
              <w:keepNext w:val="0"/>
              <w:keepLines w:val="0"/>
              <w:pageBreakBefore w:val="0"/>
              <w:widowControl w:val="0"/>
              <w:kinsoku/>
              <w:wordWrap/>
              <w:overflowPunct/>
              <w:topLinePunct w:val="0"/>
              <w:bidi w:val="0"/>
              <w:adjustRightInd w:val="0"/>
              <w:snapToGrid w:val="0"/>
              <w:spacing w:beforeLines="0" w:beforeAutospacing="0" w:afterLines="0" w:afterAutospacing="0" w:line="360" w:lineRule="auto"/>
              <w:ind w:left="0" w:right="0" w:rightChars="0" w:firstLine="480" w:firstLineChars="200"/>
              <w:jc w:val="left"/>
              <w:rPr>
                <w:rFonts w:ascii="Times New Roman" w:hAnsi="Times New Roman" w:eastAsia="宋体"/>
                <w:color w:val="auto"/>
                <w:sz w:val="24"/>
                <w:szCs w:val="24"/>
                <w:highlight w:val="none"/>
              </w:rPr>
            </w:pPr>
            <w:r>
              <w:rPr>
                <w:rFonts w:ascii="Times New Roman" w:hAnsi="宋体" w:eastAsia="宋体"/>
                <w:color w:val="auto"/>
                <w:sz w:val="24"/>
                <w:szCs w:val="24"/>
                <w:highlight w:val="none"/>
              </w:rPr>
              <w:t>②运输车辆冲洗废水</w:t>
            </w:r>
          </w:p>
          <w:p>
            <w:pPr>
              <w:keepNext w:val="0"/>
              <w:keepLines w:val="0"/>
              <w:pageBreakBefore w:val="0"/>
              <w:widowControl w:val="0"/>
              <w:kinsoku/>
              <w:wordWrap/>
              <w:overflowPunct/>
              <w:topLinePunct w:val="0"/>
              <w:bidi w:val="0"/>
              <w:adjustRightInd w:val="0"/>
              <w:snapToGrid w:val="0"/>
              <w:spacing w:beforeAutospacing="0" w:afterAutospacing="0" w:line="360" w:lineRule="auto"/>
              <w:ind w:left="0" w:right="0" w:rightChars="0" w:firstLine="480" w:firstLineChars="200"/>
              <w:rPr>
                <w:rFonts w:ascii="Times New Roman" w:hAnsi="Times New Roman"/>
                <w:color w:val="auto"/>
                <w:sz w:val="24"/>
                <w:highlight w:val="none"/>
              </w:rPr>
            </w:pPr>
            <w:r>
              <w:rPr>
                <w:rFonts w:ascii="Times New Roman" w:hAnsi="宋体"/>
                <w:color w:val="auto"/>
                <w:sz w:val="24"/>
                <w:highlight w:val="none"/>
              </w:rPr>
              <w:t>采区设置运输车辆冲洗装置，定期对运输车辆进行车斗及周身冲洗，冲洗废水进入砂石加工厂沉淀池沉淀后回用于洗车工序，不外排。</w:t>
            </w:r>
          </w:p>
          <w:p>
            <w:pPr>
              <w:pStyle w:val="6"/>
              <w:keepNext w:val="0"/>
              <w:keepLines w:val="0"/>
              <w:pageBreakBefore w:val="0"/>
              <w:widowControl w:val="0"/>
              <w:kinsoku/>
              <w:wordWrap/>
              <w:overflowPunct/>
              <w:topLinePunct w:val="0"/>
              <w:bidi w:val="0"/>
              <w:adjustRightInd w:val="0"/>
              <w:snapToGrid w:val="0"/>
              <w:spacing w:beforeLines="0" w:beforeAutospacing="0" w:afterLines="0" w:afterAutospacing="0" w:line="360" w:lineRule="auto"/>
              <w:ind w:left="0" w:right="0" w:rightChars="0" w:firstLine="480" w:firstLineChars="200"/>
              <w:jc w:val="left"/>
              <w:rPr>
                <w:rFonts w:ascii="Times New Roman" w:hAnsi="宋体" w:eastAsia="宋体" w:cs="Times New Roman"/>
                <w:color w:val="auto"/>
                <w:sz w:val="24"/>
                <w:szCs w:val="24"/>
                <w:highlight w:val="none"/>
              </w:rPr>
            </w:pPr>
            <w:r>
              <w:rPr>
                <w:rFonts w:ascii="Times New Roman" w:hAnsi="宋体" w:eastAsia="宋体" w:cs="Times New Roman"/>
                <w:color w:val="auto"/>
                <w:sz w:val="24"/>
                <w:szCs w:val="24"/>
                <w:highlight w:val="none"/>
              </w:rPr>
              <w:t>③生活污水</w:t>
            </w:r>
          </w:p>
          <w:p>
            <w:pPr>
              <w:keepNext w:val="0"/>
              <w:keepLines w:val="0"/>
              <w:pageBreakBefore w:val="0"/>
              <w:widowControl w:val="0"/>
              <w:kinsoku/>
              <w:wordWrap/>
              <w:overflowPunct/>
              <w:topLinePunct w:val="0"/>
              <w:bidi w:val="0"/>
              <w:adjustRightInd w:val="0"/>
              <w:snapToGrid w:val="0"/>
              <w:spacing w:line="360" w:lineRule="auto"/>
              <w:ind w:firstLine="480" w:firstLineChars="200"/>
              <w:rPr>
                <w:rFonts w:hAnsi="宋体"/>
                <w:color w:val="auto"/>
                <w:sz w:val="24"/>
                <w:highlight w:val="none"/>
              </w:rPr>
            </w:pPr>
            <w:r>
              <w:rPr>
                <w:rFonts w:hAnsi="宋体"/>
                <w:color w:val="auto"/>
                <w:sz w:val="24"/>
                <w:highlight w:val="none"/>
              </w:rPr>
              <w:t>本项目采砂场设办公生活区，营运期生活污水产生量</w:t>
            </w:r>
            <w:r>
              <w:rPr>
                <w:color w:val="auto"/>
                <w:sz w:val="24"/>
                <w:highlight w:val="none"/>
              </w:rPr>
              <w:t>为0</w:t>
            </w:r>
            <w:r>
              <w:rPr>
                <w:rFonts w:hint="eastAsia"/>
                <w:color w:val="auto"/>
                <w:sz w:val="24"/>
                <w:highlight w:val="none"/>
                <w:lang w:val="en-US" w:eastAsia="zh-CN"/>
              </w:rPr>
              <w:t>.72</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lang w:val="en-US" w:eastAsia="zh-CN"/>
              </w:rPr>
              <w:t>216</w:t>
            </w:r>
            <w:r>
              <w:rPr>
                <w:color w:val="auto"/>
                <w:sz w:val="24"/>
                <w:highlight w:val="none"/>
              </w:rPr>
              <w:t>m</w:t>
            </w:r>
            <w:r>
              <w:rPr>
                <w:color w:val="auto"/>
                <w:sz w:val="24"/>
                <w:highlight w:val="none"/>
                <w:vertAlign w:val="superscript"/>
              </w:rPr>
              <w:t>3</w:t>
            </w:r>
            <w:r>
              <w:rPr>
                <w:color w:val="auto"/>
                <w:sz w:val="24"/>
                <w:highlight w:val="none"/>
              </w:rPr>
              <w:t>/a）</w:t>
            </w:r>
            <w:r>
              <w:rPr>
                <w:rFonts w:hAnsi="宋体"/>
                <w:color w:val="auto"/>
                <w:sz w:val="24"/>
                <w:highlight w:val="none"/>
              </w:rPr>
              <w:t>，主要污染物为</w:t>
            </w:r>
            <w:r>
              <w:rPr>
                <w:color w:val="auto"/>
                <w:sz w:val="24"/>
                <w:highlight w:val="none"/>
              </w:rPr>
              <w:t>COD</w:t>
            </w:r>
            <w:r>
              <w:rPr>
                <w:rFonts w:hAnsi="宋体"/>
                <w:color w:val="auto"/>
                <w:sz w:val="24"/>
                <w:highlight w:val="none"/>
              </w:rPr>
              <w:t>、氨氮、</w:t>
            </w:r>
            <w:r>
              <w:rPr>
                <w:color w:val="auto"/>
                <w:sz w:val="24"/>
                <w:highlight w:val="none"/>
              </w:rPr>
              <w:t>SS</w:t>
            </w:r>
            <w:r>
              <w:rPr>
                <w:rFonts w:hAnsi="宋体"/>
                <w:color w:val="auto"/>
                <w:sz w:val="24"/>
                <w:highlight w:val="none"/>
              </w:rPr>
              <w:t>，</w:t>
            </w:r>
            <w:r>
              <w:rPr>
                <w:rFonts w:hint="eastAsia" w:hAnsi="宋体"/>
                <w:color w:val="auto"/>
                <w:sz w:val="24"/>
                <w:highlight w:val="none"/>
                <w:lang w:eastAsia="zh-CN"/>
              </w:rPr>
              <w:t>水质简单，排入化粪池，化粪池定期拉运至生活污水处理厂。</w:t>
            </w:r>
          </w:p>
          <w:p>
            <w:pPr>
              <w:keepNext w:val="0"/>
              <w:keepLines w:val="0"/>
              <w:suppressLineNumbers w:val="0"/>
              <w:adjustRightInd w:val="0"/>
              <w:snapToGrid w:val="0"/>
              <w:spacing w:before="0" w:beforeAutospacing="0" w:after="0" w:afterAutospacing="0" w:line="360" w:lineRule="auto"/>
              <w:ind w:left="0" w:right="0" w:firstLine="482"/>
              <w:rPr>
                <w:rFonts w:hint="default" w:ascii="Times New Roman" w:hAnsi="Times New Roman" w:eastAsia="宋体" w:cs="Times New Roman"/>
                <w:sz w:val="24"/>
              </w:rPr>
            </w:pPr>
            <w:r>
              <w:rPr>
                <w:rFonts w:hint="eastAsia" w:ascii="Times New Roman" w:hAnsi="Times New Roman" w:eastAsia="宋体" w:cs="Times New Roman"/>
                <w:sz w:val="24"/>
                <w:lang w:eastAsia="zh-CN"/>
              </w:rPr>
              <w:t>④</w:t>
            </w:r>
            <w:r>
              <w:rPr>
                <w:rFonts w:hint="default" w:ascii="Times New Roman" w:hAnsi="Times New Roman" w:eastAsia="宋体" w:cs="Times New Roman"/>
                <w:sz w:val="24"/>
              </w:rPr>
              <w:t>食堂废水</w:t>
            </w:r>
          </w:p>
          <w:p>
            <w:pPr>
              <w:keepNext w:val="0"/>
              <w:keepLines w:val="0"/>
              <w:pageBreakBefore w:val="0"/>
              <w:widowControl w:val="0"/>
              <w:kinsoku/>
              <w:wordWrap/>
              <w:overflowPunct/>
              <w:topLinePunct w:val="0"/>
              <w:bidi w:val="0"/>
              <w:adjustRightInd w:val="0"/>
              <w:snapToGrid w:val="0"/>
              <w:spacing w:line="360" w:lineRule="auto"/>
              <w:ind w:firstLine="480" w:firstLineChars="200"/>
            </w:pPr>
            <w:r>
              <w:rPr>
                <w:rFonts w:hint="default" w:ascii="Times New Roman" w:hAnsi="Times New Roman" w:eastAsia="宋体" w:cs="Times New Roman"/>
                <w:sz w:val="24"/>
              </w:rPr>
              <w:t>项目食堂用水按每人20L/d计算，用餐人数为6人，每天提供三餐，则食堂用水量0.36m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/d（108m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/a），污水产生量按用水量的80%计，则食堂废水产生量为0.288m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/d（86.4m</w:t>
            </w:r>
            <w:r>
              <w:rPr>
                <w:rFonts w:hint="default" w:ascii="Times New Roman" w:hAnsi="Times New Roman" w:eastAsia="宋体" w:cs="Times New Roman"/>
                <w:sz w:val="24"/>
                <w:vertAlign w:val="superscript"/>
              </w:rPr>
              <w:t>3</w:t>
            </w:r>
            <w:r>
              <w:rPr>
                <w:rFonts w:hint="default" w:ascii="Times New Roman" w:hAnsi="Times New Roman" w:eastAsia="宋体" w:cs="Times New Roman"/>
                <w:sz w:val="24"/>
              </w:rPr>
              <w:t>/a），</w:t>
            </w:r>
            <w:r>
              <w:rPr>
                <w:rFonts w:hint="eastAsia" w:ascii="Calibri" w:hAnsi="Calibri" w:eastAsia="宋体" w:cs="Times New Roman"/>
                <w:kern w:val="0"/>
                <w:sz w:val="24"/>
              </w:rPr>
              <w:t>先由隔油</w:t>
            </w:r>
            <w:r>
              <w:rPr>
                <w:rFonts w:hint="eastAsia" w:ascii="Calibri" w:hAnsi="Calibri" w:eastAsia="宋体" w:cs="Times New Roman"/>
                <w:kern w:val="0"/>
                <w:sz w:val="24"/>
                <w:lang w:eastAsia="zh-CN"/>
              </w:rPr>
              <w:t>池</w:t>
            </w:r>
            <w:r>
              <w:rPr>
                <w:rFonts w:hint="default" w:ascii="Times New Roman" w:hAnsi="Times New Roman" w:eastAsia="宋体" w:cs="Times New Roman"/>
                <w:color w:val="auto"/>
                <w:sz w:val="24"/>
              </w:rPr>
              <w:t>（1m</w:t>
            </w:r>
            <w:r>
              <w:rPr>
                <w:rFonts w:hint="default" w:ascii="Times New Roman" w:hAnsi="Times New Roman" w:eastAsia="宋体" w:cs="Times New Roman"/>
                <w:color w:val="auto"/>
                <w:sz w:val="24"/>
                <w:vertAlign w:val="superscript"/>
              </w:rPr>
              <w:t>3</w:t>
            </w:r>
            <w:r>
              <w:rPr>
                <w:rFonts w:hint="default" w:ascii="Times New Roman" w:hAnsi="Times New Roman" w:eastAsia="宋体" w:cs="Times New Roman"/>
                <w:color w:val="auto"/>
                <w:sz w:val="24"/>
              </w:rPr>
              <w:t>）</w:t>
            </w:r>
            <w:r>
              <w:rPr>
                <w:rFonts w:hint="eastAsia" w:ascii="Calibri" w:hAnsi="Calibri" w:eastAsia="宋体" w:cs="Times New Roman"/>
                <w:kern w:val="0"/>
                <w:sz w:val="24"/>
              </w:rPr>
              <w:t>沉淀池处理后</w:t>
            </w:r>
            <w:r>
              <w:rPr>
                <w:rFonts w:hint="eastAsia" w:hAnsi="宋体"/>
                <w:color w:val="auto"/>
                <w:sz w:val="24"/>
                <w:highlight w:val="none"/>
                <w:lang w:eastAsia="zh-CN"/>
              </w:rPr>
              <w:t>排入化粪池，化粪池定期拉运至生活污水处理厂。</w:t>
            </w:r>
          </w:p>
          <w:p>
            <w:pPr>
              <w:pStyle w:val="27"/>
              <w:keepLines w:val="0"/>
              <w:pageBreakBefore w:val="0"/>
              <w:kinsoku/>
              <w:wordWrap/>
              <w:overflowPunct/>
              <w:topLinePunct w:val="0"/>
              <w:bidi w:val="0"/>
              <w:spacing w:before="0" w:beforeAutospacing="0" w:after="0" w:afterAutospacing="0" w:line="360" w:lineRule="auto"/>
              <w:ind w:left="0" w:leftChars="0" w:right="0" w:rightChars="0" w:firstLine="482" w:firstLineChars="200"/>
              <w:rPr>
                <w:rFonts w:hint="eastAsia" w:ascii="Times New Roman" w:hAnsi="Times New Roman" w:eastAsia="宋体" w:cs="Times New Roman"/>
                <w:b/>
                <w:bCs/>
                <w:color w:val="auto"/>
                <w:sz w:val="24"/>
                <w:highlight w:val="none"/>
                <w:lang w:val="en-US" w:eastAsia="zh-CN"/>
              </w:rPr>
            </w:pPr>
            <w:r>
              <w:rPr>
                <w:rFonts w:hint="eastAsia" w:ascii="Times New Roman" w:hAnsi="Times New Roman" w:eastAsia="宋体" w:cs="Times New Roman"/>
                <w:b/>
                <w:bCs/>
                <w:color w:val="auto"/>
                <w:sz w:val="24"/>
                <w:highlight w:val="none"/>
                <w:lang w:val="en-US" w:eastAsia="zh-CN"/>
              </w:rPr>
              <w:t>2.1措施可行性分析</w:t>
            </w:r>
          </w:p>
          <w:p>
            <w:pPr>
              <w:keepNext w:val="0"/>
              <w:keepLines w:val="0"/>
              <w:pageBreakBefore w:val="0"/>
              <w:widowControl w:val="0"/>
              <w:kinsoku/>
              <w:wordWrap/>
              <w:overflowPunct/>
              <w:topLinePunct w:val="0"/>
              <w:bidi w:val="0"/>
              <w:adjustRightInd w:val="0"/>
              <w:snapToGrid w:val="0"/>
              <w:spacing w:line="360" w:lineRule="auto"/>
              <w:ind w:firstLine="480" w:firstLineChars="200"/>
              <w:rPr>
                <w:rFonts w:hAnsi="宋体"/>
                <w:color w:val="auto"/>
                <w:sz w:val="24"/>
                <w:highlight w:val="none"/>
              </w:rPr>
            </w:pPr>
            <w:r>
              <w:rPr>
                <w:rFonts w:hint="eastAsia" w:ascii="Times New Roman"/>
                <w:bCs/>
                <w:color w:val="auto"/>
                <w:sz w:val="24"/>
                <w:szCs w:val="24"/>
                <w:highlight w:val="none"/>
              </w:rPr>
              <w:t>本项目运营期生活污水</w:t>
            </w:r>
            <w:r>
              <w:rPr>
                <w:rFonts w:hint="eastAsia" w:ascii="Times New Roman"/>
                <w:bCs/>
                <w:color w:val="auto"/>
                <w:sz w:val="24"/>
                <w:szCs w:val="24"/>
                <w:highlight w:val="none"/>
                <w:lang w:eastAsia="zh-CN"/>
              </w:rPr>
              <w:t>，</w:t>
            </w:r>
            <w:r>
              <w:rPr>
                <w:rFonts w:hint="eastAsia" w:ascii="Times New Roman"/>
                <w:bCs/>
                <w:color w:val="auto"/>
                <w:sz w:val="24"/>
                <w:szCs w:val="24"/>
                <w:highlight w:val="none"/>
              </w:rPr>
              <w:t>主要为职工洗漱废水，水质简单，</w:t>
            </w:r>
            <w:r>
              <w:rPr>
                <w:rFonts w:ascii="Times New Roman" w:hAnsi="宋体"/>
                <w:color w:val="auto"/>
                <w:sz w:val="24"/>
                <w:szCs w:val="24"/>
                <w:highlight w:val="none"/>
              </w:rPr>
              <w:t>经</w:t>
            </w:r>
            <w:r>
              <w:rPr>
                <w:rFonts w:hint="eastAsia" w:hAnsi="宋体"/>
                <w:color w:val="auto"/>
                <w:sz w:val="24"/>
                <w:highlight w:val="none"/>
                <w:lang w:eastAsia="zh-CN"/>
              </w:rPr>
              <w:t>化粪池处理后，定期拉运至生活污水处理厂。</w:t>
            </w:r>
          </w:p>
          <w:p>
            <w:pPr>
              <w:pStyle w:val="8"/>
              <w:rPr>
                <w:highlight w:val="none"/>
              </w:rPr>
            </w:pPr>
            <w:r>
              <w:rPr>
                <w:rFonts w:hint="eastAsia" w:ascii="Times New Roman" w:hAnsi="宋体"/>
                <w:color w:val="auto"/>
                <w:sz w:val="24"/>
                <w:szCs w:val="24"/>
                <w:highlight w:val="none"/>
                <w:lang w:eastAsia="zh-CN"/>
              </w:rPr>
              <w:t>食堂废水</w:t>
            </w:r>
            <w:r>
              <w:rPr>
                <w:rFonts w:hint="default" w:ascii="Times New Roman" w:hAnsi="Times New Roman" w:eastAsia="宋体" w:cs="Times New Roman"/>
                <w:color w:val="auto"/>
                <w:sz w:val="24"/>
                <w:highlight w:val="none"/>
              </w:rPr>
              <w:t>经隔油池（1m</w:t>
            </w:r>
            <w:r>
              <w:rPr>
                <w:rFonts w:hint="default" w:ascii="Times New Roman" w:hAnsi="Times New Roman" w:eastAsia="宋体" w:cs="Times New Roman"/>
                <w:color w:val="auto"/>
                <w:sz w:val="24"/>
                <w:highlight w:val="none"/>
                <w:vertAlign w:val="superscript"/>
              </w:rPr>
              <w:t>3</w:t>
            </w:r>
            <w:r>
              <w:rPr>
                <w:rFonts w:hint="default" w:ascii="Times New Roman" w:hAnsi="Times New Roman" w:eastAsia="宋体" w:cs="Times New Roman"/>
                <w:color w:val="auto"/>
                <w:sz w:val="24"/>
                <w:highlight w:val="none"/>
              </w:rPr>
              <w:t>）处理后</w:t>
            </w:r>
            <w:r>
              <w:rPr>
                <w:rFonts w:hint="eastAsia" w:ascii="Calibri" w:hAnsi="Calibri" w:eastAsia="宋体" w:cs="Times New Roman"/>
                <w:kern w:val="0"/>
                <w:sz w:val="24"/>
                <w:highlight w:val="none"/>
              </w:rPr>
              <w:t>排入</w:t>
            </w:r>
            <w:r>
              <w:rPr>
                <w:rFonts w:hint="eastAsia" w:hAnsi="宋体"/>
                <w:color w:val="auto"/>
                <w:sz w:val="24"/>
                <w:highlight w:val="none"/>
                <w:lang w:eastAsia="zh-CN"/>
              </w:rPr>
              <w:t>化粪池</w:t>
            </w:r>
            <w:r>
              <w:rPr>
                <w:rFonts w:hint="default" w:ascii="Times New Roman" w:hAnsi="Times New Roman" w:eastAsia="宋体" w:cs="Times New Roman"/>
                <w:sz w:val="24"/>
                <w:highlight w:val="none"/>
              </w:rPr>
              <w:t>。</w:t>
            </w:r>
          </w:p>
          <w:p>
            <w:pPr>
              <w:pStyle w:val="8"/>
              <w:keepNext/>
              <w:adjustRightInd w:val="0"/>
              <w:snapToGrid w:val="0"/>
              <w:ind w:firstLine="540" w:firstLineChars="200"/>
              <w:rPr>
                <w:rFonts w:ascii="Times New Roman"/>
                <w:bCs/>
                <w:color w:val="auto"/>
                <w:sz w:val="24"/>
                <w:szCs w:val="24"/>
                <w:highlight w:val="none"/>
              </w:rPr>
            </w:pPr>
            <w:r>
              <w:rPr>
                <w:rFonts w:hint="eastAsia" w:ascii="Times New Roman" w:hAnsi="宋体"/>
                <w:color w:val="auto"/>
                <w:sz w:val="24"/>
                <w:szCs w:val="24"/>
                <w:highlight w:val="none"/>
              </w:rPr>
              <w:t>本项目生产废水经沉淀池</w:t>
            </w:r>
            <w:r>
              <w:rPr>
                <w:rFonts w:hint="eastAsia" w:ascii="Times New Roman" w:hAnsi="宋体"/>
                <w:color w:val="auto"/>
                <w:sz w:val="24"/>
                <w:szCs w:val="24"/>
                <w:highlight w:val="none"/>
                <w:lang w:val="en-US" w:eastAsia="zh-CN"/>
              </w:rPr>
              <w:t>+压滤机</w:t>
            </w:r>
            <w:r>
              <w:rPr>
                <w:rFonts w:hint="eastAsia" w:ascii="Times New Roman" w:hAnsi="宋体"/>
                <w:color w:val="auto"/>
                <w:sz w:val="24"/>
                <w:szCs w:val="24"/>
                <w:highlight w:val="none"/>
              </w:rPr>
              <w:t>处理后循环使用，</w:t>
            </w:r>
            <w:r>
              <w:rPr>
                <w:rFonts w:hint="eastAsia"/>
                <w:color w:val="auto"/>
                <w:sz w:val="24"/>
                <w:szCs w:val="24"/>
                <w:highlight w:val="none"/>
              </w:rPr>
              <w:t>本项目</w:t>
            </w:r>
            <w:r>
              <w:rPr>
                <w:rFonts w:hint="eastAsia" w:ascii="Times New Roman"/>
                <w:bCs/>
                <w:color w:val="auto"/>
                <w:sz w:val="24"/>
                <w:szCs w:val="24"/>
                <w:highlight w:val="none"/>
              </w:rPr>
              <w:t>能够做到废水不外排，所采用技术为可行技术。</w:t>
            </w:r>
          </w:p>
          <w:p>
            <w:pPr>
              <w:spacing w:line="360" w:lineRule="auto"/>
              <w:ind w:firstLine="482" w:firstLineChars="200"/>
              <w:rPr>
                <w:rFonts w:hint="eastAsia" w:ascii="Times New Roman" w:hAnsi="Times New Roman" w:eastAsia="宋体" w:cs="Times New Roman"/>
                <w:b/>
                <w:bCs/>
                <w:snapToGrid w:val="0"/>
                <w:color w:val="auto"/>
                <w:kern w:val="0"/>
                <w:sz w:val="24"/>
                <w:highlight w:val="none"/>
                <w:lang w:val="en-US" w:eastAsia="zh-CN"/>
              </w:rPr>
            </w:pPr>
            <w:r>
              <w:rPr>
                <w:rFonts w:hint="eastAsia" w:ascii="Times New Roman" w:hAnsi="Times New Roman" w:eastAsia="宋体" w:cs="Times New Roman"/>
                <w:b/>
                <w:bCs/>
                <w:snapToGrid w:val="0"/>
                <w:color w:val="auto"/>
                <w:kern w:val="0"/>
                <w:sz w:val="24"/>
                <w:highlight w:val="none"/>
                <w:lang w:val="en-US" w:eastAsia="zh-CN"/>
              </w:rPr>
              <w:t>2.2监测计划要求</w:t>
            </w:r>
          </w:p>
          <w:p>
            <w:pPr>
              <w:tabs>
                <w:tab w:val="left" w:pos="5925"/>
              </w:tabs>
              <w:adjustRightInd w:val="0"/>
              <w:snapToGrid w:val="0"/>
              <w:spacing w:line="360" w:lineRule="auto"/>
              <w:ind w:left="420" w:leftChars="200"/>
              <w:rPr>
                <w:rFonts w:hint="eastAsia"/>
                <w:bCs/>
                <w:color w:val="auto"/>
                <w:sz w:val="24"/>
                <w:highlight w:val="none"/>
              </w:rPr>
            </w:pPr>
            <w:r>
              <w:rPr>
                <w:rFonts w:hint="eastAsia"/>
                <w:bCs/>
                <w:color w:val="auto"/>
                <w:sz w:val="24"/>
                <w:highlight w:val="none"/>
              </w:rPr>
              <w:t>本项目运营期无废水外排，不再对废水要求监测。</w:t>
            </w:r>
          </w:p>
          <w:p>
            <w:pPr>
              <w:pStyle w:val="27"/>
              <w:ind w:left="0" w:leftChars="0" w:firstLine="0" w:firstLineChars="0"/>
              <w:jc w:val="center"/>
              <w:rPr>
                <w:rFonts w:hint="default" w:ascii="Times New Roman" w:hAnsi="Times New Roman" w:eastAsia="宋体" w:cs="Times New Roman"/>
                <w:color w:val="000000"/>
                <w:highlight w:val="none"/>
                <w:vertAlign w:val="baseline"/>
                <w:lang w:val="en-US" w:eastAsia="zh-CN"/>
              </w:rPr>
            </w:pPr>
            <w:r>
              <w:rPr>
                <w:rFonts w:hint="default" w:ascii="Times New Roman" w:hAnsi="Times New Roman" w:cs="Times New Roman"/>
                <w:b/>
                <w:bCs/>
                <w:color w:val="000000"/>
                <w:highlight w:val="none"/>
                <w:vertAlign w:val="baseline"/>
                <w:lang w:val="en-US" w:eastAsia="zh-CN"/>
              </w:rPr>
              <w:t>表</w:t>
            </w:r>
            <w:r>
              <w:rPr>
                <w:rFonts w:hint="eastAsia" w:cs="Times New Roman"/>
                <w:b/>
                <w:bCs/>
                <w:color w:val="000000"/>
                <w:highlight w:val="none"/>
                <w:vertAlign w:val="baseline"/>
                <w:lang w:val="en-US" w:eastAsia="zh-CN"/>
              </w:rPr>
              <w:t>5-2</w:t>
            </w:r>
            <w:r>
              <w:rPr>
                <w:rFonts w:hint="default" w:ascii="Times New Roman" w:hAnsi="Times New Roman" w:cs="Times New Roman"/>
                <w:b/>
                <w:bCs/>
                <w:color w:val="000000"/>
                <w:highlight w:val="none"/>
                <w:vertAlign w:val="baseline"/>
                <w:lang w:val="en-US" w:eastAsia="zh-CN"/>
              </w:rPr>
              <w:t xml:space="preserve">    </w:t>
            </w:r>
            <w:r>
              <w:rPr>
                <w:rFonts w:hint="eastAsia" w:ascii="Times New Roman" w:hAnsi="Times New Roman" w:cs="Times New Roman"/>
                <w:b/>
                <w:bCs/>
                <w:color w:val="000000"/>
                <w:highlight w:val="none"/>
                <w:vertAlign w:val="baseline"/>
                <w:lang w:val="en-US" w:eastAsia="zh-CN"/>
              </w:rPr>
              <w:t xml:space="preserve">    </w:t>
            </w:r>
            <w:r>
              <w:rPr>
                <w:rFonts w:hint="default" w:ascii="Times New Roman" w:hAnsi="Times New Roman" w:cs="Times New Roman"/>
                <w:b/>
                <w:bCs/>
                <w:color w:val="000000"/>
                <w:highlight w:val="none"/>
                <w:vertAlign w:val="baseline"/>
                <w:lang w:val="en-US" w:eastAsia="zh-CN"/>
              </w:rPr>
              <w:t>项目废水产生及排放情况一览表</w:t>
            </w:r>
          </w:p>
          <w:tbl>
            <w:tblPr>
              <w:tblStyle w:val="29"/>
              <w:tblW w:w="0" w:type="auto"/>
              <w:jc w:val="center"/>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980"/>
              <w:gridCol w:w="704"/>
              <w:gridCol w:w="509"/>
              <w:gridCol w:w="562"/>
              <w:gridCol w:w="892"/>
              <w:gridCol w:w="529"/>
              <w:gridCol w:w="657"/>
              <w:gridCol w:w="561"/>
              <w:gridCol w:w="561"/>
              <w:gridCol w:w="561"/>
              <w:gridCol w:w="561"/>
              <w:gridCol w:w="561"/>
              <w:gridCol w:w="563"/>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restart"/>
                  <w:tcBorders>
                    <w:top w:val="single" w:color="auto" w:sz="4" w:space="0"/>
                    <w:left w:val="single" w:color="auto" w:sz="0"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废水类别</w:t>
                  </w:r>
                </w:p>
              </w:tc>
              <w:tc>
                <w:tcPr>
                  <w:tcW w:w="1016" w:type="dxa"/>
                  <w:vMerge w:val="restart"/>
                  <w:tcBorders>
                    <w:top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污染物种类</w:t>
                  </w:r>
                </w:p>
              </w:tc>
              <w:tc>
                <w:tcPr>
                  <w:tcW w:w="3365" w:type="dxa"/>
                  <w:gridSpan w:val="5"/>
                  <w:tcBorders>
                    <w:top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污染治理设施</w:t>
                  </w:r>
                </w:p>
              </w:tc>
              <w:tc>
                <w:tcPr>
                  <w:tcW w:w="714" w:type="dxa"/>
                  <w:vMerge w:val="restart"/>
                  <w:tcBorders>
                    <w:top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排放去向</w:t>
                  </w:r>
                </w:p>
              </w:tc>
              <w:tc>
                <w:tcPr>
                  <w:tcW w:w="606" w:type="dxa"/>
                  <w:vMerge w:val="restart"/>
                  <w:tcBorders>
                    <w:top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排放方式</w:t>
                  </w:r>
                </w:p>
              </w:tc>
              <w:tc>
                <w:tcPr>
                  <w:tcW w:w="606" w:type="dxa"/>
                  <w:vMerge w:val="restart"/>
                  <w:tcBorders>
                    <w:top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排放规律</w:t>
                  </w:r>
                </w:p>
              </w:tc>
              <w:tc>
                <w:tcPr>
                  <w:tcW w:w="606" w:type="dxa"/>
                  <w:vMerge w:val="restart"/>
                  <w:tcBorders>
                    <w:top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排放口编号</w:t>
                  </w:r>
                </w:p>
              </w:tc>
              <w:tc>
                <w:tcPr>
                  <w:tcW w:w="606" w:type="dxa"/>
                  <w:vMerge w:val="restart"/>
                  <w:tcBorders>
                    <w:top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排放口名称</w:t>
                  </w:r>
                </w:p>
              </w:tc>
              <w:tc>
                <w:tcPr>
                  <w:tcW w:w="606" w:type="dxa"/>
                  <w:vMerge w:val="restart"/>
                  <w:tcBorders>
                    <w:top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排放口设置是否符合要求</w:t>
                  </w:r>
                </w:p>
              </w:tc>
              <w:tc>
                <w:tcPr>
                  <w:tcW w:w="607" w:type="dxa"/>
                  <w:vMerge w:val="restart"/>
                  <w:tcBorders>
                    <w:top w:val="single" w:color="auto" w:sz="4" w:space="0"/>
                    <w:right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排放口类型</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vMerge w:val="continue"/>
                  <w:tcBorders>
                    <w:left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color w:val="000000"/>
                      <w:sz w:val="18"/>
                      <w:szCs w:val="18"/>
                      <w:highlight w:val="none"/>
                    </w:rPr>
                  </w:pPr>
                </w:p>
              </w:tc>
              <w:tc>
                <w:tcPr>
                  <w:tcW w:w="1016" w:type="dxa"/>
                  <w:vMerge w:val="continue"/>
                  <w:noWrap w:val="0"/>
                  <w:vAlign w:val="center"/>
                </w:tcPr>
                <w:p>
                  <w:pPr>
                    <w:pStyle w:val="9"/>
                    <w:adjustRightInd w:val="0"/>
                    <w:snapToGrid w:val="0"/>
                    <w:spacing w:after="0" w:line="240" w:lineRule="auto"/>
                    <w:ind w:left="-105" w:leftChars="-50" w:right="-105" w:rightChars="-50" w:firstLine="0" w:firstLineChars="0"/>
                    <w:jc w:val="center"/>
                    <w:rPr>
                      <w:color w:val="000000"/>
                      <w:sz w:val="18"/>
                      <w:szCs w:val="18"/>
                      <w:highlight w:val="none"/>
                    </w:rPr>
                  </w:pPr>
                </w:p>
              </w:tc>
              <w:tc>
                <w:tcPr>
                  <w:tcW w:w="724"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编号</w:t>
                  </w:r>
                </w:p>
              </w:tc>
              <w:tc>
                <w:tcPr>
                  <w:tcW w:w="547"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名称</w:t>
                  </w:r>
                </w:p>
              </w:tc>
              <w:tc>
                <w:tcPr>
                  <w:tcW w:w="607"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工艺</w:t>
                  </w:r>
                </w:p>
              </w:tc>
              <w:tc>
                <w:tcPr>
                  <w:tcW w:w="917"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处理量（</w:t>
                  </w:r>
                  <w:r>
                    <w:rPr>
                      <w:rFonts w:hint="eastAsia"/>
                      <w:color w:val="000000"/>
                      <w:sz w:val="18"/>
                      <w:szCs w:val="18"/>
                      <w:highlight w:val="none"/>
                      <w:lang w:val="en-US" w:eastAsia="zh-CN"/>
                    </w:rPr>
                    <w:t>m</w:t>
                  </w:r>
                  <w:r>
                    <w:rPr>
                      <w:rFonts w:hint="eastAsia"/>
                      <w:color w:val="000000"/>
                      <w:sz w:val="18"/>
                      <w:szCs w:val="18"/>
                      <w:highlight w:val="none"/>
                      <w:vertAlign w:val="superscript"/>
                      <w:lang w:val="en-US" w:eastAsia="zh-CN"/>
                    </w:rPr>
                    <w:t>3</w:t>
                  </w:r>
                  <w:r>
                    <w:rPr>
                      <w:rFonts w:hint="eastAsia"/>
                      <w:color w:val="000000"/>
                      <w:sz w:val="18"/>
                      <w:szCs w:val="18"/>
                      <w:highlight w:val="none"/>
                      <w:lang w:val="en-US" w:eastAsia="zh-CN"/>
                    </w:rPr>
                    <w:t>/</w:t>
                  </w:r>
                  <w:r>
                    <w:rPr>
                      <w:rFonts w:hint="eastAsia"/>
                      <w:color w:val="000000"/>
                      <w:sz w:val="18"/>
                      <w:szCs w:val="18"/>
                      <w:highlight w:val="none"/>
                    </w:rPr>
                    <w:t>d）</w:t>
                  </w:r>
                </w:p>
              </w:tc>
              <w:tc>
                <w:tcPr>
                  <w:tcW w:w="570"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是否为可行技术</w:t>
                  </w:r>
                </w:p>
              </w:tc>
              <w:tc>
                <w:tcPr>
                  <w:tcW w:w="714" w:type="dxa"/>
                  <w:vMerge w:val="continue"/>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p>
              </w:tc>
              <w:tc>
                <w:tcPr>
                  <w:tcW w:w="606" w:type="dxa"/>
                  <w:vMerge w:val="continue"/>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p>
              </w:tc>
              <w:tc>
                <w:tcPr>
                  <w:tcW w:w="606" w:type="dxa"/>
                  <w:vMerge w:val="continue"/>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p>
              </w:tc>
              <w:tc>
                <w:tcPr>
                  <w:tcW w:w="606" w:type="dxa"/>
                  <w:vMerge w:val="continue"/>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p>
              </w:tc>
              <w:tc>
                <w:tcPr>
                  <w:tcW w:w="606" w:type="dxa"/>
                  <w:vMerge w:val="continue"/>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p>
              </w:tc>
              <w:tc>
                <w:tcPr>
                  <w:tcW w:w="606" w:type="dxa"/>
                  <w:vMerge w:val="continue"/>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p>
              </w:tc>
              <w:tc>
                <w:tcPr>
                  <w:tcW w:w="607" w:type="dxa"/>
                  <w:vMerge w:val="continue"/>
                  <w:tcBorders>
                    <w:right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tcBorders>
                    <w:left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洗砂废水</w:t>
                  </w:r>
                </w:p>
              </w:tc>
              <w:tc>
                <w:tcPr>
                  <w:tcW w:w="1016"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SS</w:t>
                  </w:r>
                </w:p>
              </w:tc>
              <w:tc>
                <w:tcPr>
                  <w:tcW w:w="724"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TW001</w:t>
                  </w:r>
                </w:p>
              </w:tc>
              <w:tc>
                <w:tcPr>
                  <w:tcW w:w="547" w:type="dxa"/>
                  <w:noWrap w:val="0"/>
                  <w:vAlign w:val="center"/>
                </w:tcPr>
                <w:p>
                  <w:pPr>
                    <w:pStyle w:val="9"/>
                    <w:adjustRightInd w:val="0"/>
                    <w:snapToGrid w:val="0"/>
                    <w:spacing w:after="0" w:line="240" w:lineRule="auto"/>
                    <w:ind w:left="-105" w:leftChars="-50" w:right="-105" w:rightChars="-50" w:firstLine="0" w:firstLineChars="0"/>
                    <w:jc w:val="center"/>
                    <w:rPr>
                      <w:rFonts w:hint="eastAsia" w:eastAsia="宋体"/>
                      <w:color w:val="000000"/>
                      <w:sz w:val="18"/>
                      <w:szCs w:val="18"/>
                      <w:highlight w:val="none"/>
                      <w:vertAlign w:val="baseline"/>
                      <w:lang w:val="en-US" w:eastAsia="zh-CN"/>
                    </w:rPr>
                  </w:pPr>
                  <w:r>
                    <w:rPr>
                      <w:rFonts w:hint="eastAsia"/>
                      <w:color w:val="000000"/>
                      <w:sz w:val="18"/>
                      <w:szCs w:val="18"/>
                      <w:highlight w:val="none"/>
                    </w:rPr>
                    <w:t>沉淀池</w:t>
                  </w:r>
                  <w:r>
                    <w:rPr>
                      <w:rFonts w:hint="eastAsia"/>
                      <w:color w:val="000000"/>
                      <w:sz w:val="18"/>
                      <w:szCs w:val="18"/>
                      <w:highlight w:val="none"/>
                      <w:lang w:val="en-US" w:eastAsia="zh-CN"/>
                    </w:rPr>
                    <w:t>+压滤机</w:t>
                  </w:r>
                </w:p>
              </w:tc>
              <w:tc>
                <w:tcPr>
                  <w:tcW w:w="607" w:type="dxa"/>
                  <w:noWrap w:val="0"/>
                  <w:vAlign w:val="center"/>
                </w:tcPr>
                <w:p>
                  <w:pPr>
                    <w:pStyle w:val="9"/>
                    <w:adjustRightInd w:val="0"/>
                    <w:snapToGrid w:val="0"/>
                    <w:spacing w:after="0" w:line="240" w:lineRule="auto"/>
                    <w:ind w:left="-105" w:leftChars="-50" w:right="-105" w:rightChars="-50" w:firstLine="0" w:firstLineChars="0"/>
                    <w:jc w:val="center"/>
                    <w:rPr>
                      <w:rFonts w:hint="default" w:eastAsia="宋体"/>
                      <w:color w:val="000000"/>
                      <w:sz w:val="18"/>
                      <w:szCs w:val="18"/>
                      <w:highlight w:val="none"/>
                      <w:vertAlign w:val="baseline"/>
                      <w:lang w:val="en-US" w:eastAsia="zh-CN"/>
                    </w:rPr>
                  </w:pPr>
                  <w:r>
                    <w:rPr>
                      <w:rFonts w:hint="eastAsia"/>
                      <w:color w:val="000000"/>
                      <w:sz w:val="18"/>
                      <w:szCs w:val="18"/>
                      <w:highlight w:val="none"/>
                      <w:vertAlign w:val="baseline"/>
                      <w:lang w:val="en-US" w:eastAsia="zh-CN"/>
                    </w:rPr>
                    <w:t>/</w:t>
                  </w:r>
                </w:p>
              </w:tc>
              <w:tc>
                <w:tcPr>
                  <w:tcW w:w="917"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lang w:val="en-US" w:eastAsia="zh-CN"/>
                    </w:rPr>
                    <w:t>400</w:t>
                  </w:r>
                </w:p>
              </w:tc>
              <w:tc>
                <w:tcPr>
                  <w:tcW w:w="570"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是</w:t>
                  </w:r>
                </w:p>
              </w:tc>
              <w:tc>
                <w:tcPr>
                  <w:tcW w:w="714"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不外排</w:t>
                  </w:r>
                </w:p>
              </w:tc>
              <w:tc>
                <w:tcPr>
                  <w:tcW w:w="606"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无</w:t>
                  </w:r>
                </w:p>
              </w:tc>
              <w:tc>
                <w:tcPr>
                  <w:tcW w:w="606"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606"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606" w:type="dxa"/>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606" w:type="dxa"/>
                  <w:noWrap w:val="0"/>
                  <w:vAlign w:val="center"/>
                </w:tcPr>
                <w:p>
                  <w:pPr>
                    <w:adjustRightInd w:val="0"/>
                    <w:snapToGrid w:val="0"/>
                    <w:spacing w:line="240" w:lineRule="auto"/>
                    <w:ind w:left="-105" w:leftChars="-50" w:right="-105" w:rightChars="-5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607" w:type="dxa"/>
                  <w:tcBorders>
                    <w:right w:val="single" w:color="auto" w:sz="4" w:space="0"/>
                  </w:tcBorders>
                  <w:noWrap w:val="0"/>
                  <w:vAlign w:val="center"/>
                </w:tcPr>
                <w:p>
                  <w:pPr>
                    <w:adjustRightInd w:val="0"/>
                    <w:snapToGrid w:val="0"/>
                    <w:spacing w:line="240" w:lineRule="auto"/>
                    <w:ind w:left="-105" w:leftChars="-50" w:right="-105" w:rightChars="-5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06" w:type="dxa"/>
                  <w:tcBorders>
                    <w:left w:val="single" w:color="auto" w:sz="4" w:space="0"/>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生活废水</w:t>
                  </w:r>
                </w:p>
              </w:tc>
              <w:tc>
                <w:tcPr>
                  <w:tcW w:w="1016" w:type="dxa"/>
                  <w:tcBorders>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BOD</w:t>
                  </w:r>
                  <w:r>
                    <w:rPr>
                      <w:rFonts w:hint="eastAsia"/>
                      <w:color w:val="000000"/>
                      <w:sz w:val="18"/>
                      <w:szCs w:val="18"/>
                      <w:highlight w:val="none"/>
                      <w:vertAlign w:val="subscript"/>
                    </w:rPr>
                    <w:t>5</w:t>
                  </w:r>
                  <w:r>
                    <w:rPr>
                      <w:rFonts w:hint="eastAsia"/>
                      <w:color w:val="000000"/>
                      <w:sz w:val="18"/>
                      <w:szCs w:val="18"/>
                      <w:highlight w:val="none"/>
                    </w:rPr>
                    <w:t>、CODcr、SS、NH</w:t>
                  </w:r>
                  <w:r>
                    <w:rPr>
                      <w:rFonts w:hint="eastAsia"/>
                      <w:color w:val="000000"/>
                      <w:sz w:val="18"/>
                      <w:szCs w:val="18"/>
                      <w:highlight w:val="none"/>
                      <w:vertAlign w:val="subscript"/>
                    </w:rPr>
                    <w:t>3</w:t>
                  </w:r>
                  <w:r>
                    <w:rPr>
                      <w:rFonts w:hint="eastAsia"/>
                      <w:color w:val="000000"/>
                      <w:sz w:val="18"/>
                      <w:szCs w:val="18"/>
                      <w:highlight w:val="none"/>
                    </w:rPr>
                    <w:t>-N、动植物油等</w:t>
                  </w:r>
                </w:p>
              </w:tc>
              <w:tc>
                <w:tcPr>
                  <w:tcW w:w="724" w:type="dxa"/>
                  <w:tcBorders>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547" w:type="dxa"/>
                  <w:tcBorders>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607" w:type="dxa"/>
                  <w:tcBorders>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917" w:type="dxa"/>
                  <w:tcBorders>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570" w:type="dxa"/>
                  <w:tcBorders>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714" w:type="dxa"/>
                  <w:tcBorders>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hAnsi="宋体"/>
                      <w:sz w:val="18"/>
                      <w:szCs w:val="18"/>
                      <w:highlight w:val="none"/>
                      <w:lang w:eastAsia="zh-CN"/>
                    </w:rPr>
                    <w:t>生活污水处理厂</w:t>
                  </w:r>
                </w:p>
              </w:tc>
              <w:tc>
                <w:tcPr>
                  <w:tcW w:w="606" w:type="dxa"/>
                  <w:tcBorders>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eastAsia" w:eastAsia="宋体"/>
                      <w:color w:val="000000"/>
                      <w:sz w:val="18"/>
                      <w:szCs w:val="18"/>
                      <w:highlight w:val="none"/>
                      <w:vertAlign w:val="baseline"/>
                      <w:lang w:val="en-US" w:eastAsia="zh-CN"/>
                    </w:rPr>
                  </w:pPr>
                  <w:r>
                    <w:rPr>
                      <w:rFonts w:hint="eastAsia"/>
                      <w:color w:val="000000"/>
                      <w:sz w:val="18"/>
                      <w:szCs w:val="18"/>
                      <w:highlight w:val="none"/>
                      <w:lang w:eastAsia="zh-CN"/>
                    </w:rPr>
                    <w:t>拉运</w:t>
                  </w:r>
                </w:p>
              </w:tc>
              <w:tc>
                <w:tcPr>
                  <w:tcW w:w="606" w:type="dxa"/>
                  <w:tcBorders>
                    <w:bottom w:val="single" w:color="auto" w:sz="4" w:space="0"/>
                  </w:tcBorders>
                  <w:noWrap w:val="0"/>
                  <w:vAlign w:val="center"/>
                </w:tcPr>
                <w:p>
                  <w:pPr>
                    <w:pStyle w:val="9"/>
                    <w:adjustRightInd w:val="0"/>
                    <w:snapToGrid w:val="0"/>
                    <w:spacing w:after="0" w:line="240" w:lineRule="auto"/>
                    <w:ind w:left="-105" w:leftChars="-50" w:right="-105" w:rightChars="-50" w:firstLine="0" w:firstLineChars="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606" w:type="dxa"/>
                  <w:tcBorders>
                    <w:bottom w:val="single" w:color="auto" w:sz="4" w:space="0"/>
                  </w:tcBorders>
                  <w:noWrap w:val="0"/>
                  <w:vAlign w:val="center"/>
                </w:tcPr>
                <w:p>
                  <w:pPr>
                    <w:adjustRightInd w:val="0"/>
                    <w:snapToGrid w:val="0"/>
                    <w:spacing w:line="240" w:lineRule="auto"/>
                    <w:ind w:left="-105" w:leftChars="-50" w:right="-105" w:rightChars="-5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606" w:type="dxa"/>
                  <w:tcBorders>
                    <w:bottom w:val="single" w:color="auto" w:sz="4" w:space="0"/>
                  </w:tcBorders>
                  <w:noWrap w:val="0"/>
                  <w:vAlign w:val="center"/>
                </w:tcPr>
                <w:p>
                  <w:pPr>
                    <w:adjustRightInd w:val="0"/>
                    <w:snapToGrid w:val="0"/>
                    <w:spacing w:line="240" w:lineRule="auto"/>
                    <w:ind w:left="-105" w:leftChars="-50" w:right="-105" w:rightChars="-5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606" w:type="dxa"/>
                  <w:tcBorders>
                    <w:bottom w:val="single" w:color="auto" w:sz="4" w:space="0"/>
                  </w:tcBorders>
                  <w:noWrap w:val="0"/>
                  <w:vAlign w:val="center"/>
                </w:tcPr>
                <w:p>
                  <w:pPr>
                    <w:adjustRightInd w:val="0"/>
                    <w:snapToGrid w:val="0"/>
                    <w:spacing w:line="240" w:lineRule="auto"/>
                    <w:ind w:left="-105" w:leftChars="-50" w:right="-105" w:rightChars="-5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c>
                <w:tcPr>
                  <w:tcW w:w="607" w:type="dxa"/>
                  <w:tcBorders>
                    <w:bottom w:val="single" w:color="auto" w:sz="4" w:space="0"/>
                    <w:right w:val="single" w:color="auto" w:sz="4" w:space="0"/>
                  </w:tcBorders>
                  <w:noWrap w:val="0"/>
                  <w:vAlign w:val="center"/>
                </w:tcPr>
                <w:p>
                  <w:pPr>
                    <w:adjustRightInd w:val="0"/>
                    <w:snapToGrid w:val="0"/>
                    <w:spacing w:line="240" w:lineRule="auto"/>
                    <w:ind w:left="-105" w:leftChars="-50" w:right="-105" w:rightChars="-50"/>
                    <w:jc w:val="center"/>
                    <w:rPr>
                      <w:rFonts w:hint="default"/>
                      <w:color w:val="000000"/>
                      <w:sz w:val="18"/>
                      <w:szCs w:val="18"/>
                      <w:highlight w:val="none"/>
                      <w:vertAlign w:val="baseline"/>
                      <w:lang w:val="en-US" w:eastAsia="zh-CN"/>
                    </w:rPr>
                  </w:pPr>
                  <w:r>
                    <w:rPr>
                      <w:rFonts w:hint="eastAsia"/>
                      <w:color w:val="000000"/>
                      <w:sz w:val="18"/>
                      <w:szCs w:val="18"/>
                      <w:highlight w:val="none"/>
                    </w:rPr>
                    <w:t>/</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ascii="Times New Roman" w:hAnsi="Times New Roman"/>
                <w:b/>
                <w:color w:val="auto"/>
                <w:sz w:val="24"/>
                <w:szCs w:val="24"/>
                <w:highlight w:val="none"/>
              </w:rPr>
            </w:pPr>
            <w:r>
              <w:rPr>
                <w:rFonts w:hint="eastAsia"/>
                <w:b/>
                <w:color w:val="auto"/>
                <w:sz w:val="24"/>
                <w:szCs w:val="24"/>
                <w:highlight w:val="none"/>
                <w:lang w:val="en-US" w:eastAsia="zh-CN"/>
              </w:rPr>
              <w:t>3、</w:t>
            </w:r>
            <w:r>
              <w:rPr>
                <w:rFonts w:ascii="Times New Roman" w:hAnsi="Times New Roman"/>
                <w:b/>
                <w:bCs/>
                <w:color w:val="auto"/>
                <w:sz w:val="24"/>
                <w:highlight w:val="none"/>
              </w:rPr>
              <w:t>噪声防治措施</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ascii="Times New Roman" w:hAnsi="Times New Roman"/>
                <w:color w:val="auto"/>
                <w:sz w:val="24"/>
                <w:highlight w:val="none"/>
              </w:rPr>
            </w:pPr>
            <w:r>
              <w:rPr>
                <w:rFonts w:ascii="Times New Roman" w:hAnsi="宋体"/>
                <w:color w:val="auto"/>
                <w:sz w:val="24"/>
                <w:highlight w:val="none"/>
              </w:rPr>
              <w:t>对机械噪声，项目通过采取以下措施：</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ascii="Times New Roman" w:hAnsi="Times New Roman"/>
                <w:color w:val="auto"/>
                <w:sz w:val="24"/>
                <w:highlight w:val="none"/>
              </w:rPr>
            </w:pPr>
            <w:r>
              <w:rPr>
                <w:rFonts w:ascii="Times New Roman" w:hAnsi="宋体"/>
                <w:color w:val="auto"/>
                <w:sz w:val="24"/>
                <w:highlight w:val="none"/>
              </w:rPr>
              <w:t>①选用低噪声设备。</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ascii="Times New Roman" w:hAnsi="Times New Roman"/>
                <w:color w:val="auto"/>
                <w:sz w:val="24"/>
                <w:highlight w:val="none"/>
              </w:rPr>
            </w:pPr>
            <w:r>
              <w:rPr>
                <w:rFonts w:ascii="Times New Roman" w:hAnsi="宋体"/>
                <w:color w:val="auto"/>
                <w:sz w:val="24"/>
                <w:highlight w:val="none"/>
              </w:rPr>
              <w:t>②合理布局，筛分等高噪声工序远离居民点。</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ascii="Times New Roman" w:hAnsi="Times New Roman"/>
                <w:color w:val="auto"/>
                <w:sz w:val="24"/>
                <w:highlight w:val="none"/>
              </w:rPr>
            </w:pPr>
            <w:r>
              <w:rPr>
                <w:rFonts w:ascii="Times New Roman" w:hAnsi="宋体"/>
                <w:color w:val="auto"/>
                <w:sz w:val="24"/>
                <w:highlight w:val="none"/>
              </w:rPr>
              <w:t>③加强机械设备的保养和维修，保持设备处于良好的工作状态。</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ascii="Times New Roman" w:hAnsi="Times New Roman"/>
                <w:color w:val="auto"/>
                <w:sz w:val="24"/>
                <w:highlight w:val="none"/>
              </w:rPr>
            </w:pPr>
            <w:r>
              <w:rPr>
                <w:rFonts w:ascii="Times New Roman" w:hAnsi="宋体"/>
                <w:color w:val="auto"/>
                <w:sz w:val="24"/>
                <w:highlight w:val="none"/>
              </w:rPr>
              <w:t>④合理安排工作时间，夜间禁止生产。</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ascii="Times New Roman" w:hAnsi="Times New Roman"/>
                <w:color w:val="auto"/>
                <w:sz w:val="24"/>
                <w:highlight w:val="none"/>
              </w:rPr>
            </w:pPr>
            <w:r>
              <w:rPr>
                <w:rFonts w:ascii="Times New Roman" w:hAnsi="宋体"/>
                <w:color w:val="auto"/>
                <w:sz w:val="24"/>
                <w:highlight w:val="none"/>
              </w:rPr>
              <w:t>⑤本项目开采区在某一处开采产生的噪声影响是短期行为。昼间施工要进行良好的施工管理和采取必要的降噪措施以保证周围居民的声环境满足《声环境质量标准》（</w:t>
            </w:r>
            <w:r>
              <w:rPr>
                <w:rFonts w:ascii="Times New Roman" w:hAnsi="Times New Roman"/>
                <w:color w:val="auto"/>
                <w:sz w:val="24"/>
                <w:highlight w:val="none"/>
              </w:rPr>
              <w:t>GB3096-2008</w:t>
            </w:r>
            <w:r>
              <w:rPr>
                <w:rFonts w:ascii="Times New Roman" w:hAnsi="宋体"/>
                <w:color w:val="auto"/>
                <w:sz w:val="24"/>
                <w:highlight w:val="none"/>
              </w:rPr>
              <w:t>）</w:t>
            </w:r>
            <w:r>
              <w:rPr>
                <w:rFonts w:ascii="Times New Roman" w:hAnsi="Times New Roman"/>
                <w:color w:val="auto"/>
                <w:sz w:val="24"/>
                <w:highlight w:val="none"/>
              </w:rPr>
              <w:t>2</w:t>
            </w:r>
            <w:r>
              <w:rPr>
                <w:rFonts w:ascii="Times New Roman" w:hAnsi="宋体"/>
                <w:color w:val="auto"/>
                <w:sz w:val="24"/>
                <w:highlight w:val="none"/>
              </w:rPr>
              <w:t>类标准。高噪声作业区应远离声敏感点，应该避免多台设备同时作业。</w:t>
            </w:r>
          </w:p>
          <w:p>
            <w:pPr>
              <w:adjustRightInd w:val="0"/>
              <w:snapToGrid w:val="0"/>
              <w:spacing w:line="360" w:lineRule="auto"/>
              <w:ind w:firstLine="480"/>
              <w:rPr>
                <w:rFonts w:ascii="Times New Roman" w:hAnsi="Times New Roman"/>
                <w:color w:val="auto"/>
                <w:sz w:val="24"/>
                <w:highlight w:val="none"/>
              </w:rPr>
            </w:pPr>
            <w:r>
              <w:rPr>
                <w:rFonts w:ascii="Times New Roman" w:hAnsi="宋体"/>
                <w:color w:val="auto"/>
                <w:sz w:val="24"/>
                <w:highlight w:val="none"/>
              </w:rPr>
              <w:t>对于交通噪声采取如下措施：</w:t>
            </w:r>
          </w:p>
          <w:p>
            <w:pPr>
              <w:adjustRightInd w:val="0"/>
              <w:snapToGrid w:val="0"/>
              <w:spacing w:line="360" w:lineRule="auto"/>
              <w:ind w:firstLine="480"/>
              <w:rPr>
                <w:rFonts w:ascii="Times New Roman" w:hAnsi="Times New Roman"/>
                <w:color w:val="auto"/>
                <w:sz w:val="24"/>
                <w:highlight w:val="none"/>
              </w:rPr>
            </w:pPr>
            <w:r>
              <w:rPr>
                <w:rFonts w:ascii="Times New Roman" w:hAnsi="宋体"/>
                <w:color w:val="auto"/>
                <w:sz w:val="24"/>
                <w:highlight w:val="none"/>
              </w:rPr>
              <w:t>①合理制定运输计划，将运输任务安排在白天，夜间禁止运输；</w:t>
            </w:r>
          </w:p>
          <w:p>
            <w:pPr>
              <w:adjustRightInd w:val="0"/>
              <w:snapToGrid w:val="0"/>
              <w:spacing w:line="360" w:lineRule="auto"/>
              <w:ind w:firstLine="480"/>
              <w:rPr>
                <w:rFonts w:ascii="Times New Roman" w:hAnsi="Times New Roman"/>
                <w:color w:val="auto"/>
                <w:sz w:val="24"/>
                <w:highlight w:val="none"/>
              </w:rPr>
            </w:pPr>
            <w:r>
              <w:rPr>
                <w:rFonts w:ascii="Times New Roman" w:hAnsi="宋体"/>
                <w:color w:val="auto"/>
                <w:sz w:val="24"/>
                <w:highlight w:val="none"/>
              </w:rPr>
              <w:t>②运输车辆经过居民点时减速慢行、禁止鸣笛；</w:t>
            </w:r>
          </w:p>
          <w:p>
            <w:pPr>
              <w:adjustRightInd w:val="0"/>
              <w:snapToGrid w:val="0"/>
              <w:spacing w:line="360" w:lineRule="auto"/>
              <w:ind w:firstLine="480"/>
              <w:rPr>
                <w:rFonts w:ascii="Times New Roman" w:hAnsi="宋体"/>
                <w:color w:val="auto"/>
                <w:sz w:val="24"/>
                <w:highlight w:val="none"/>
              </w:rPr>
            </w:pPr>
            <w:r>
              <w:rPr>
                <w:rFonts w:ascii="Times New Roman" w:hAnsi="宋体"/>
                <w:color w:val="auto"/>
                <w:sz w:val="24"/>
                <w:highlight w:val="none"/>
              </w:rPr>
              <w:t>③加强运输车辆和运输道路的日常维护；</w:t>
            </w:r>
          </w:p>
          <w:p>
            <w:pPr>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 w:val="0"/>
                <w:bCs/>
                <w:color w:val="auto"/>
                <w:highlight w:val="none"/>
              </w:rPr>
            </w:pPr>
            <w:r>
              <w:rPr>
                <w:rFonts w:hint="eastAsia"/>
                <w:b w:val="0"/>
                <w:bCs/>
                <w:color w:val="auto"/>
                <w:sz w:val="24"/>
                <w:szCs w:val="24"/>
                <w:highlight w:val="none"/>
                <w:lang w:val="en-US" w:eastAsia="zh-CN"/>
              </w:rPr>
              <w:t>监测计划要求</w:t>
            </w:r>
          </w:p>
          <w:p>
            <w:pPr>
              <w:adjustRightInd w:val="0"/>
              <w:snapToGrid w:val="0"/>
              <w:spacing w:line="360" w:lineRule="auto"/>
              <w:jc w:val="center"/>
              <w:rPr>
                <w:rFonts w:ascii="Times New Roman" w:hAnsi="Times New Roman"/>
                <w:bCs/>
                <w:color w:val="auto"/>
                <w:sz w:val="24"/>
                <w:szCs w:val="24"/>
                <w:highlight w:val="none"/>
              </w:rPr>
            </w:pPr>
            <w:r>
              <w:rPr>
                <w:rFonts w:ascii="Times New Roman" w:hAnsi="宋体"/>
                <w:b/>
                <w:color w:val="auto"/>
                <w:sz w:val="24"/>
                <w:szCs w:val="24"/>
                <w:highlight w:val="none"/>
              </w:rPr>
              <w:t>表</w:t>
            </w:r>
            <w:r>
              <w:rPr>
                <w:rFonts w:hint="eastAsia" w:hAnsi="宋体"/>
                <w:b/>
                <w:color w:val="auto"/>
                <w:sz w:val="24"/>
                <w:szCs w:val="24"/>
                <w:highlight w:val="none"/>
                <w:lang w:val="en-US" w:eastAsia="zh-CN"/>
              </w:rPr>
              <w:t>5-3</w:t>
            </w:r>
            <w:r>
              <w:rPr>
                <w:rFonts w:hint="eastAsia" w:ascii="Times New Roman" w:hAnsi="Times New Roman"/>
                <w:b/>
                <w:color w:val="auto"/>
                <w:sz w:val="24"/>
                <w:szCs w:val="24"/>
                <w:highlight w:val="none"/>
              </w:rPr>
              <w:t xml:space="preserve">          </w:t>
            </w:r>
            <w:r>
              <w:rPr>
                <w:rFonts w:ascii="Times New Roman" w:hAnsi="Times New Roman"/>
                <w:b/>
                <w:color w:val="auto"/>
                <w:sz w:val="24"/>
                <w:szCs w:val="24"/>
                <w:highlight w:val="none"/>
              </w:rPr>
              <w:t xml:space="preserve"> </w:t>
            </w:r>
            <w:r>
              <w:rPr>
                <w:rFonts w:ascii="Times New Roman" w:hAnsi="宋体"/>
                <w:b/>
                <w:color w:val="auto"/>
                <w:sz w:val="24"/>
                <w:szCs w:val="24"/>
                <w:highlight w:val="none"/>
              </w:rPr>
              <w:t>运营期</w:t>
            </w:r>
            <w:r>
              <w:rPr>
                <w:rFonts w:ascii="Times New Roman" w:hAnsi="Times New Roman"/>
                <w:b/>
                <w:bCs/>
                <w:color w:val="auto"/>
                <w:sz w:val="24"/>
                <w:highlight w:val="none"/>
              </w:rPr>
              <w:t>噪声</w:t>
            </w:r>
            <w:r>
              <w:rPr>
                <w:rFonts w:ascii="Times New Roman" w:hAnsi="宋体"/>
                <w:b/>
                <w:color w:val="auto"/>
                <w:sz w:val="24"/>
                <w:szCs w:val="24"/>
                <w:highlight w:val="none"/>
              </w:rPr>
              <w:t>监测计划表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480"/>
              <w:gridCol w:w="1887"/>
              <w:gridCol w:w="1770"/>
              <w:gridCol w:w="226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8" w:hRule="atLeast"/>
              </w:trPr>
              <w:tc>
                <w:tcPr>
                  <w:tcW w:w="1605" w:type="dxa"/>
                  <w:noWrap w:val="0"/>
                  <w:vAlign w:val="center"/>
                </w:tcPr>
                <w:p>
                  <w:pPr>
                    <w:jc w:val="center"/>
                    <w:rPr>
                      <w:rFonts w:ascii="Times New Roman" w:hAnsi="Times New Roman"/>
                      <w:bCs/>
                      <w:color w:val="auto"/>
                      <w:szCs w:val="21"/>
                      <w:highlight w:val="none"/>
                    </w:rPr>
                  </w:pPr>
                  <w:r>
                    <w:rPr>
                      <w:rFonts w:ascii="Times New Roman" w:hAnsi="宋体"/>
                      <w:color w:val="auto"/>
                      <w:szCs w:val="21"/>
                      <w:highlight w:val="none"/>
                    </w:rPr>
                    <w:t>环境要素</w:t>
                  </w:r>
                </w:p>
              </w:tc>
              <w:tc>
                <w:tcPr>
                  <w:tcW w:w="2056" w:type="dxa"/>
                  <w:noWrap w:val="0"/>
                  <w:vAlign w:val="center"/>
                </w:tcPr>
                <w:p>
                  <w:pPr>
                    <w:jc w:val="center"/>
                    <w:rPr>
                      <w:rFonts w:ascii="Times New Roman" w:hAnsi="Times New Roman"/>
                      <w:bCs/>
                      <w:color w:val="auto"/>
                      <w:szCs w:val="21"/>
                      <w:highlight w:val="none"/>
                    </w:rPr>
                  </w:pPr>
                  <w:r>
                    <w:rPr>
                      <w:rFonts w:ascii="Times New Roman" w:hAnsi="宋体"/>
                      <w:color w:val="auto"/>
                      <w:szCs w:val="21"/>
                      <w:highlight w:val="none"/>
                    </w:rPr>
                    <w:t>检测位置</w:t>
                  </w:r>
                </w:p>
              </w:tc>
              <w:tc>
                <w:tcPr>
                  <w:tcW w:w="1926" w:type="dxa"/>
                  <w:noWrap w:val="0"/>
                  <w:vAlign w:val="center"/>
                </w:tcPr>
                <w:p>
                  <w:pPr>
                    <w:jc w:val="center"/>
                    <w:rPr>
                      <w:rFonts w:ascii="Times New Roman" w:hAnsi="Times New Roman"/>
                      <w:bCs/>
                      <w:color w:val="auto"/>
                      <w:szCs w:val="21"/>
                      <w:highlight w:val="none"/>
                    </w:rPr>
                  </w:pPr>
                  <w:r>
                    <w:rPr>
                      <w:rFonts w:ascii="Times New Roman" w:hAnsi="宋体"/>
                      <w:color w:val="auto"/>
                      <w:szCs w:val="21"/>
                      <w:highlight w:val="none"/>
                    </w:rPr>
                    <w:t>检测因子</w:t>
                  </w:r>
                </w:p>
              </w:tc>
              <w:tc>
                <w:tcPr>
                  <w:tcW w:w="2454" w:type="dxa"/>
                  <w:noWrap w:val="0"/>
                  <w:vAlign w:val="center"/>
                </w:tcPr>
                <w:p>
                  <w:pPr>
                    <w:jc w:val="center"/>
                    <w:rPr>
                      <w:rFonts w:ascii="Times New Roman" w:hAnsi="Times New Roman"/>
                      <w:bCs/>
                      <w:color w:val="auto"/>
                      <w:szCs w:val="21"/>
                      <w:highlight w:val="none"/>
                    </w:rPr>
                  </w:pPr>
                  <w:r>
                    <w:rPr>
                      <w:rFonts w:ascii="Times New Roman" w:hAnsi="宋体"/>
                      <w:color w:val="auto"/>
                      <w:szCs w:val="21"/>
                      <w:highlight w:val="none"/>
                    </w:rPr>
                    <w:t>检测频率</w:t>
                  </w:r>
                </w:p>
              </w:tc>
              <w:tc>
                <w:tcPr>
                  <w:tcW w:w="1457" w:type="dxa"/>
                  <w:noWrap w:val="0"/>
                  <w:vAlign w:val="center"/>
                </w:tcPr>
                <w:p>
                  <w:pPr>
                    <w:jc w:val="center"/>
                    <w:rPr>
                      <w:rFonts w:ascii="Times New Roman" w:hAnsi="Times New Roman"/>
                      <w:bCs/>
                      <w:color w:val="auto"/>
                      <w:szCs w:val="21"/>
                      <w:highlight w:val="none"/>
                    </w:rPr>
                  </w:pPr>
                  <w:r>
                    <w:rPr>
                      <w:rFonts w:ascii="Times New Roman" w:hAnsi="宋体"/>
                      <w:color w:val="auto"/>
                      <w:szCs w:val="21"/>
                      <w:highlight w:val="none"/>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6" w:hRule="atLeast"/>
              </w:trPr>
              <w:tc>
                <w:tcPr>
                  <w:tcW w:w="1605" w:type="dxa"/>
                  <w:noWrap w:val="0"/>
                  <w:vAlign w:val="center"/>
                </w:tcPr>
                <w:p>
                  <w:pPr>
                    <w:jc w:val="center"/>
                    <w:rPr>
                      <w:rFonts w:ascii="Times New Roman" w:hAnsi="Times New Roman"/>
                      <w:bCs/>
                      <w:color w:val="auto"/>
                      <w:szCs w:val="21"/>
                      <w:highlight w:val="none"/>
                    </w:rPr>
                  </w:pPr>
                  <w:r>
                    <w:rPr>
                      <w:rFonts w:ascii="Times New Roman" w:hAnsi="宋体"/>
                      <w:color w:val="auto"/>
                      <w:szCs w:val="21"/>
                      <w:highlight w:val="none"/>
                    </w:rPr>
                    <w:t>噪声</w:t>
                  </w:r>
                </w:p>
              </w:tc>
              <w:tc>
                <w:tcPr>
                  <w:tcW w:w="2056" w:type="dxa"/>
                  <w:noWrap w:val="0"/>
                  <w:vAlign w:val="center"/>
                </w:tcPr>
                <w:p>
                  <w:pPr>
                    <w:jc w:val="center"/>
                    <w:rPr>
                      <w:rFonts w:ascii="Times New Roman" w:hAnsi="Times New Roman"/>
                      <w:bCs/>
                      <w:color w:val="auto"/>
                      <w:szCs w:val="21"/>
                      <w:highlight w:val="none"/>
                    </w:rPr>
                  </w:pPr>
                  <w:r>
                    <w:rPr>
                      <w:rFonts w:ascii="Times New Roman" w:hAnsi="宋体"/>
                      <w:color w:val="auto"/>
                      <w:szCs w:val="21"/>
                      <w:highlight w:val="none"/>
                    </w:rPr>
                    <w:t>厂界四周</w:t>
                  </w:r>
                </w:p>
              </w:tc>
              <w:tc>
                <w:tcPr>
                  <w:tcW w:w="1926" w:type="dxa"/>
                  <w:noWrap w:val="0"/>
                  <w:vAlign w:val="center"/>
                </w:tcPr>
                <w:p>
                  <w:pPr>
                    <w:jc w:val="center"/>
                    <w:rPr>
                      <w:rFonts w:ascii="Times New Roman" w:hAnsi="Times New Roman"/>
                      <w:bCs/>
                      <w:color w:val="auto"/>
                      <w:szCs w:val="21"/>
                      <w:highlight w:val="none"/>
                    </w:rPr>
                  </w:pPr>
                  <w:r>
                    <w:rPr>
                      <w:rFonts w:ascii="Times New Roman" w:hAnsi="宋体"/>
                      <w:color w:val="auto"/>
                      <w:szCs w:val="21"/>
                      <w:highlight w:val="none"/>
                    </w:rPr>
                    <w:t>等效连续</w:t>
                  </w:r>
                  <w:r>
                    <w:rPr>
                      <w:rFonts w:ascii="Times New Roman" w:hAnsi="Times New Roman"/>
                      <w:color w:val="auto"/>
                      <w:szCs w:val="21"/>
                      <w:highlight w:val="none"/>
                    </w:rPr>
                    <w:t>A</w:t>
                  </w:r>
                  <w:r>
                    <w:rPr>
                      <w:rFonts w:ascii="Times New Roman" w:hAnsi="宋体"/>
                      <w:color w:val="auto"/>
                      <w:szCs w:val="21"/>
                      <w:highlight w:val="none"/>
                    </w:rPr>
                    <w:t>声级</w:t>
                  </w:r>
                </w:p>
              </w:tc>
              <w:tc>
                <w:tcPr>
                  <w:tcW w:w="2454" w:type="dxa"/>
                  <w:noWrap w:val="0"/>
                  <w:vAlign w:val="center"/>
                </w:tcPr>
                <w:p>
                  <w:pPr>
                    <w:jc w:val="center"/>
                    <w:rPr>
                      <w:rFonts w:ascii="Times New Roman" w:hAnsi="Times New Roman"/>
                      <w:bCs/>
                      <w:color w:val="auto"/>
                      <w:szCs w:val="21"/>
                      <w:highlight w:val="none"/>
                    </w:rPr>
                  </w:pPr>
                  <w:r>
                    <w:rPr>
                      <w:rFonts w:hint="eastAsia" w:ascii="Times New Roman" w:hAnsi="Times New Roman"/>
                      <w:color w:val="auto"/>
                      <w:szCs w:val="21"/>
                      <w:highlight w:val="none"/>
                    </w:rPr>
                    <w:t>4</w:t>
                  </w:r>
                  <w:r>
                    <w:rPr>
                      <w:rFonts w:ascii="Times New Roman" w:hAnsi="宋体"/>
                      <w:color w:val="auto"/>
                      <w:szCs w:val="21"/>
                      <w:highlight w:val="none"/>
                    </w:rPr>
                    <w:t>期</w:t>
                  </w:r>
                  <w:r>
                    <w:rPr>
                      <w:rFonts w:ascii="Times New Roman" w:hAnsi="Times New Roman"/>
                      <w:color w:val="auto"/>
                      <w:szCs w:val="21"/>
                      <w:highlight w:val="none"/>
                    </w:rPr>
                    <w:t>/</w:t>
                  </w:r>
                  <w:r>
                    <w:rPr>
                      <w:rFonts w:ascii="Times New Roman" w:hAnsi="宋体"/>
                      <w:color w:val="auto"/>
                      <w:szCs w:val="21"/>
                      <w:highlight w:val="none"/>
                    </w:rPr>
                    <w:t>年，</w:t>
                  </w:r>
                  <w:r>
                    <w:rPr>
                      <w:rFonts w:ascii="Times New Roman" w:hAnsi="Times New Roman"/>
                      <w:color w:val="auto"/>
                      <w:szCs w:val="21"/>
                      <w:highlight w:val="none"/>
                    </w:rPr>
                    <w:t>2</w:t>
                  </w:r>
                  <w:r>
                    <w:rPr>
                      <w:rFonts w:ascii="Times New Roman" w:hAnsi="宋体"/>
                      <w:color w:val="auto"/>
                      <w:szCs w:val="21"/>
                      <w:highlight w:val="none"/>
                    </w:rPr>
                    <w:t>天</w:t>
                  </w:r>
                  <w:r>
                    <w:rPr>
                      <w:rFonts w:ascii="Times New Roman" w:hAnsi="Times New Roman"/>
                      <w:color w:val="auto"/>
                      <w:szCs w:val="21"/>
                      <w:highlight w:val="none"/>
                    </w:rPr>
                    <w:t>/</w:t>
                  </w:r>
                  <w:r>
                    <w:rPr>
                      <w:rFonts w:ascii="Times New Roman" w:hAnsi="宋体"/>
                      <w:color w:val="auto"/>
                      <w:szCs w:val="21"/>
                      <w:highlight w:val="none"/>
                    </w:rPr>
                    <w:t>期，</w:t>
                  </w:r>
                  <w:r>
                    <w:rPr>
                      <w:rFonts w:ascii="Times New Roman" w:hAnsi="Times New Roman"/>
                      <w:color w:val="auto"/>
                      <w:szCs w:val="21"/>
                      <w:highlight w:val="none"/>
                    </w:rPr>
                    <w:t>2</w:t>
                  </w:r>
                  <w:r>
                    <w:rPr>
                      <w:rFonts w:ascii="Times New Roman" w:hAnsi="宋体"/>
                      <w:color w:val="auto"/>
                      <w:szCs w:val="21"/>
                      <w:highlight w:val="none"/>
                    </w:rPr>
                    <w:t>次</w:t>
                  </w:r>
                  <w:r>
                    <w:rPr>
                      <w:rFonts w:ascii="Times New Roman" w:hAnsi="Times New Roman"/>
                      <w:color w:val="auto"/>
                      <w:szCs w:val="21"/>
                      <w:highlight w:val="none"/>
                    </w:rPr>
                    <w:t>/</w:t>
                  </w:r>
                  <w:r>
                    <w:rPr>
                      <w:rFonts w:ascii="Times New Roman" w:hAnsi="宋体"/>
                      <w:color w:val="auto"/>
                      <w:szCs w:val="21"/>
                      <w:highlight w:val="none"/>
                    </w:rPr>
                    <w:t>天（昼夜）</w:t>
                  </w:r>
                </w:p>
              </w:tc>
              <w:tc>
                <w:tcPr>
                  <w:tcW w:w="1457" w:type="dxa"/>
                  <w:noWrap w:val="0"/>
                  <w:vAlign w:val="center"/>
                </w:tcPr>
                <w:p>
                  <w:pPr>
                    <w:jc w:val="center"/>
                    <w:rPr>
                      <w:rFonts w:ascii="Times New Roman" w:hAnsi="Times New Roman"/>
                      <w:bCs/>
                      <w:color w:val="auto"/>
                      <w:szCs w:val="21"/>
                      <w:highlight w:val="none"/>
                    </w:rPr>
                  </w:pPr>
                  <w:r>
                    <w:rPr>
                      <w:rFonts w:ascii="Times New Roman"/>
                      <w:bCs/>
                      <w:color w:val="auto"/>
                      <w:szCs w:val="21"/>
                      <w:highlight w:val="none"/>
                    </w:rPr>
                    <w:t>有资质单位</w:t>
                  </w:r>
                </w:p>
              </w:tc>
            </w:tr>
          </w:tbl>
          <w:p>
            <w:pPr>
              <w:adjustRightInd w:val="0"/>
              <w:snapToGrid w:val="0"/>
              <w:spacing w:line="360" w:lineRule="auto"/>
              <w:jc w:val="left"/>
              <w:rPr>
                <w:b/>
                <w:sz w:val="24"/>
              </w:rPr>
            </w:pPr>
            <w:r>
              <w:rPr>
                <w:rFonts w:hint="eastAsia" w:hAnsi="宋体"/>
                <w:b/>
                <w:sz w:val="24"/>
                <w:lang w:val="en-US" w:eastAsia="zh-CN"/>
              </w:rPr>
              <w:t>4、</w:t>
            </w:r>
            <w:r>
              <w:rPr>
                <w:rFonts w:hAnsi="宋体"/>
                <w:b/>
                <w:sz w:val="24"/>
              </w:rPr>
              <w:t>固体废物治理措施</w:t>
            </w:r>
          </w:p>
          <w:p>
            <w:pPr>
              <w:adjustRightInd w:val="0"/>
              <w:snapToGrid w:val="0"/>
              <w:spacing w:line="360" w:lineRule="auto"/>
              <w:ind w:firstLine="482" w:firstLineChars="200"/>
              <w:rPr>
                <w:rFonts w:hint="eastAsia" w:eastAsia="宋体"/>
                <w:b/>
                <w:sz w:val="24"/>
                <w:lang w:val="en-US" w:eastAsia="zh-CN"/>
              </w:rPr>
            </w:pPr>
            <w:r>
              <w:rPr>
                <w:rFonts w:hint="eastAsia"/>
                <w:b/>
                <w:sz w:val="24"/>
                <w:lang w:val="en-US" w:eastAsia="zh-CN"/>
              </w:rPr>
              <w:t>4.1</w:t>
            </w:r>
            <w:r>
              <w:rPr>
                <w:b/>
                <w:sz w:val="24"/>
              </w:rPr>
              <w:t>生活垃圾</w:t>
            </w:r>
            <w:r>
              <w:rPr>
                <w:rFonts w:hint="eastAsia"/>
                <w:b/>
                <w:sz w:val="24"/>
                <w:lang w:eastAsia="zh-CN"/>
              </w:rPr>
              <w:t>、生产废物</w:t>
            </w:r>
            <w:r>
              <w:rPr>
                <w:b/>
                <w:sz w:val="24"/>
              </w:rPr>
              <w:t>环保措施</w:t>
            </w:r>
          </w:p>
          <w:p>
            <w:pPr>
              <w:pStyle w:val="12"/>
              <w:keepNext w:val="0"/>
              <w:keepLines w:val="0"/>
              <w:pageBreakBefore w:val="0"/>
              <w:widowControl w:val="0"/>
              <w:kinsoku/>
              <w:wordWrap/>
              <w:overflowPunct/>
              <w:topLinePunct w:val="0"/>
              <w:autoSpaceDE/>
              <w:autoSpaceDN/>
              <w:bidi w:val="0"/>
              <w:adjustRightInd w:val="0"/>
              <w:snapToGrid w:val="0"/>
              <w:spacing w:after="0" w:line="360" w:lineRule="auto"/>
              <w:ind w:left="0" w:leftChars="0" w:right="0" w:firstLine="480" w:firstLineChars="200"/>
              <w:textAlignment w:val="auto"/>
              <w:rPr>
                <w:bCs/>
                <w:sz w:val="24"/>
              </w:rPr>
            </w:pPr>
            <w:r>
              <w:rPr>
                <w:bCs/>
                <w:sz w:val="24"/>
              </w:rPr>
              <w:t>本项目工作人员产生的生活垃圾量为</w:t>
            </w:r>
            <w:r>
              <w:rPr>
                <w:rFonts w:hint="eastAsia"/>
                <w:bCs/>
                <w:sz w:val="24"/>
                <w:lang w:val="en-US" w:eastAsia="zh-CN"/>
              </w:rPr>
              <w:t>1.5</w:t>
            </w:r>
            <w:r>
              <w:rPr>
                <w:bCs/>
                <w:sz w:val="24"/>
              </w:rPr>
              <w:t>t/a。生活垃圾禁止向环境随意倾倒，建立垃圾收集点，集中收集</w:t>
            </w:r>
            <w:r>
              <w:rPr>
                <w:bCs/>
                <w:color w:val="000000"/>
                <w:sz w:val="24"/>
              </w:rPr>
              <w:t>后</w:t>
            </w:r>
            <w:r>
              <w:rPr>
                <w:rFonts w:hint="default" w:ascii="Times New Roman" w:hAnsi="Times New Roman" w:eastAsia="宋体" w:cs="Times New Roman"/>
                <w:b w:val="0"/>
                <w:bCs w:val="0"/>
                <w:color w:val="000000"/>
                <w:sz w:val="24"/>
                <w:szCs w:val="24"/>
                <w:lang w:val="en-US" w:eastAsia="zh-CN"/>
              </w:rPr>
              <w:t>定</w:t>
            </w:r>
            <w:r>
              <w:rPr>
                <w:rFonts w:hint="default" w:ascii="Times New Roman" w:hAnsi="Times New Roman" w:cs="Times New Roman"/>
                <w:b w:val="0"/>
                <w:bCs w:val="0"/>
                <w:color w:val="000000"/>
                <w:sz w:val="24"/>
                <w:szCs w:val="24"/>
              </w:rPr>
              <w:t>期运往</w:t>
            </w:r>
            <w:r>
              <w:rPr>
                <w:rFonts w:hint="default" w:ascii="Times New Roman" w:hAnsi="Times New Roman" w:cs="Times New Roman"/>
                <w:b w:val="0"/>
                <w:bCs w:val="0"/>
                <w:color w:val="000000"/>
                <w:sz w:val="24"/>
                <w:szCs w:val="24"/>
                <w:lang w:eastAsia="zh-CN"/>
              </w:rPr>
              <w:t>环卫部门</w:t>
            </w:r>
            <w:r>
              <w:rPr>
                <w:rFonts w:hint="default" w:ascii="Times New Roman" w:hAnsi="Times New Roman" w:cs="Times New Roman"/>
                <w:b w:val="0"/>
                <w:bCs w:val="0"/>
                <w:color w:val="000000"/>
                <w:sz w:val="24"/>
                <w:szCs w:val="24"/>
              </w:rPr>
              <w:t>指定</w:t>
            </w:r>
            <w:r>
              <w:rPr>
                <w:rFonts w:hint="default" w:ascii="Times New Roman" w:hAnsi="Times New Roman" w:cs="Times New Roman"/>
                <w:b w:val="0"/>
                <w:bCs w:val="0"/>
                <w:color w:val="000000"/>
                <w:sz w:val="24"/>
                <w:szCs w:val="24"/>
                <w:lang w:eastAsia="zh-CN"/>
              </w:rPr>
              <w:t>地点处置</w:t>
            </w:r>
            <w:r>
              <w:rPr>
                <w:rFonts w:hint="default" w:ascii="Times New Roman" w:hAnsi="Times New Roman" w:cs="Times New Roman"/>
                <w:b w:val="0"/>
                <w:bCs w:val="0"/>
                <w:color w:val="000000"/>
                <w:sz w:val="24"/>
                <w:szCs w:val="24"/>
              </w:rPr>
              <w:t>。</w:t>
            </w:r>
            <w:r>
              <w:rPr>
                <w:bCs/>
                <w:sz w:val="24"/>
              </w:rPr>
              <w:t>生活垃圾处置措施经济投入不大，</w:t>
            </w:r>
            <w:r>
              <w:rPr>
                <w:rFonts w:hint="eastAsia"/>
                <w:bCs/>
                <w:sz w:val="24"/>
                <w:lang w:val="en-US" w:eastAsia="zh-CN"/>
              </w:rPr>
              <w:t>及时</w:t>
            </w:r>
            <w:r>
              <w:rPr>
                <w:bCs/>
                <w:sz w:val="24"/>
              </w:rPr>
              <w:t>清运，可防止蚊蝇滋生，防止环境污染，处置措施可行。</w:t>
            </w:r>
            <w:r>
              <w:rPr>
                <w:rFonts w:hAnsi="宋体" w:eastAsia="宋体"/>
                <w:color w:val="FF0000"/>
                <w:sz w:val="24"/>
                <w:szCs w:val="24"/>
                <w:lang w:val="en-US" w:eastAsia="zh-CN"/>
              </w:rPr>
              <w:t>剥离表层覆土</w:t>
            </w:r>
            <w:r>
              <w:rPr>
                <w:rFonts w:hint="eastAsia" w:hAnsi="宋体"/>
                <w:color w:val="FF0000"/>
                <w:sz w:val="24"/>
                <w:szCs w:val="24"/>
                <w:lang w:val="en-US" w:eastAsia="zh-CN"/>
              </w:rPr>
              <w:t>作为厂区绿化用土，其余剥离废土外买</w:t>
            </w:r>
            <w:r>
              <w:rPr>
                <w:rFonts w:hAnsi="宋体" w:eastAsia="宋体"/>
                <w:color w:val="FF0000"/>
                <w:sz w:val="24"/>
                <w:szCs w:val="24"/>
                <w:lang w:val="en-US" w:eastAsia="zh-CN"/>
              </w:rPr>
              <w:t>，</w:t>
            </w:r>
            <w:r>
              <w:rPr>
                <w:rFonts w:hint="eastAsia" w:hAnsi="宋体"/>
                <w:color w:val="FF0000"/>
                <w:sz w:val="24"/>
                <w:szCs w:val="24"/>
                <w:lang w:val="en-US" w:eastAsia="zh-CN"/>
              </w:rPr>
              <w:t>用于厂区平整、道路建设。</w:t>
            </w:r>
            <w:r>
              <w:rPr>
                <w:rFonts w:hint="eastAsia" w:hAnsi="宋体" w:eastAsia="宋体"/>
                <w:color w:val="FF0000"/>
                <w:kern w:val="2"/>
                <w:sz w:val="24"/>
                <w:szCs w:val="24"/>
                <w:lang w:val="en-US" w:eastAsia="zh-CN"/>
              </w:rPr>
              <w:t>沉淀池清掏泥沙</w:t>
            </w:r>
            <w:r>
              <w:rPr>
                <w:rFonts w:hint="eastAsia" w:hAnsi="宋体"/>
                <w:color w:val="FF0000"/>
                <w:kern w:val="2"/>
                <w:sz w:val="24"/>
                <w:szCs w:val="24"/>
                <w:lang w:val="en-US" w:eastAsia="zh-CN"/>
              </w:rPr>
              <w:t>回填采坑</w:t>
            </w:r>
            <w:r>
              <w:rPr>
                <w:rFonts w:hAnsi="宋体" w:eastAsia="宋体"/>
                <w:color w:val="FF0000"/>
                <w:kern w:val="2"/>
                <w:sz w:val="24"/>
                <w:szCs w:val="24"/>
                <w:lang w:val="en-US" w:eastAsia="zh-CN"/>
              </w:rPr>
              <w:t>。</w:t>
            </w:r>
          </w:p>
          <w:p>
            <w:pPr>
              <w:adjustRightInd w:val="0"/>
              <w:snapToGrid w:val="0"/>
              <w:spacing w:line="360" w:lineRule="auto"/>
              <w:ind w:firstLine="482" w:firstLineChars="200"/>
              <w:rPr>
                <w:b/>
                <w:sz w:val="24"/>
              </w:rPr>
            </w:pPr>
            <w:r>
              <w:rPr>
                <w:rFonts w:hint="eastAsia"/>
                <w:b/>
                <w:sz w:val="24"/>
                <w:lang w:val="en-US" w:eastAsia="zh-CN"/>
              </w:rPr>
              <w:t>4.2</w:t>
            </w:r>
            <w:r>
              <w:rPr>
                <w:b/>
                <w:sz w:val="24"/>
              </w:rPr>
              <w:t>危险废物处理措施</w:t>
            </w:r>
          </w:p>
          <w:p>
            <w:pPr>
              <w:spacing w:line="360" w:lineRule="auto"/>
              <w:jc w:val="left"/>
              <w:rPr>
                <w:kern w:val="0"/>
                <w:szCs w:val="21"/>
              </w:rPr>
            </w:pPr>
            <w:r>
              <w:rPr>
                <w:rFonts w:hint="eastAsia"/>
                <w:bCs/>
                <w:color w:val="FF0000"/>
                <w:sz w:val="24"/>
              </w:rPr>
              <w:t xml:space="preserve">    </w:t>
            </w:r>
            <w:r>
              <w:rPr>
                <w:rFonts w:hint="eastAsia"/>
                <w:bCs/>
                <w:color w:val="000000"/>
                <w:sz w:val="24"/>
              </w:rPr>
              <w:t>矿山</w:t>
            </w:r>
            <w:r>
              <w:rPr>
                <w:bCs/>
                <w:color w:val="000000"/>
                <w:sz w:val="24"/>
              </w:rPr>
              <w:t>机械维修检查和定期清洁时，会产生废机油约0.</w:t>
            </w:r>
            <w:r>
              <w:rPr>
                <w:rFonts w:hint="eastAsia"/>
                <w:bCs/>
                <w:color w:val="000000"/>
                <w:sz w:val="24"/>
                <w:lang w:val="en-US" w:eastAsia="zh-CN"/>
              </w:rPr>
              <w:t>2</w:t>
            </w:r>
            <w:r>
              <w:rPr>
                <w:bCs/>
                <w:color w:val="000000"/>
                <w:sz w:val="24"/>
              </w:rPr>
              <w:t>t/a，属于危险废</w:t>
            </w:r>
            <w:r>
              <w:rPr>
                <w:rFonts w:hint="eastAsia"/>
                <w:bCs/>
                <w:color w:val="000000"/>
                <w:sz w:val="24"/>
                <w:lang w:val="en-US" w:eastAsia="zh-CN"/>
              </w:rPr>
              <w:t>物</w:t>
            </w:r>
            <w:r>
              <w:rPr>
                <w:bCs/>
                <w:color w:val="000000"/>
                <w:sz w:val="24"/>
              </w:rPr>
              <w:t>（HW08</w:t>
            </w:r>
            <w:r>
              <w:rPr>
                <w:rFonts w:hint="eastAsia"/>
                <w:bCs/>
                <w:color w:val="000000"/>
                <w:sz w:val="24"/>
              </w:rPr>
              <w:t xml:space="preserve">  900-214-08 </w:t>
            </w:r>
            <w:r>
              <w:rPr>
                <w:rFonts w:hint="eastAsia" w:ascii="宋体" w:hAnsi="宋体"/>
                <w:color w:val="000000"/>
                <w:kern w:val="0"/>
                <w:sz w:val="24"/>
              </w:rPr>
              <w:t>车辆、轮船及其它机械维修过程中产生的废发动机油、制动器油、自动变速器油、齿轮油等废润滑油</w:t>
            </w:r>
            <w:r>
              <w:rPr>
                <w:bCs/>
                <w:color w:val="000000"/>
                <w:sz w:val="24"/>
              </w:rPr>
              <w:t>），集中</w:t>
            </w:r>
            <w:r>
              <w:rPr>
                <w:bCs/>
                <w:sz w:val="24"/>
              </w:rPr>
              <w:t>收集于危险废物临时贮存间，定期交由有资质的单位进行处置。本项目危险废物贮存间设置在</w:t>
            </w:r>
            <w:r>
              <w:rPr>
                <w:rFonts w:hint="eastAsia"/>
                <w:bCs/>
                <w:sz w:val="24"/>
                <w:lang w:val="en-US" w:eastAsia="zh-CN"/>
              </w:rPr>
              <w:t>生产线东侧</w:t>
            </w:r>
            <w:r>
              <w:rPr>
                <w:bCs/>
                <w:sz w:val="24"/>
              </w:rPr>
              <w:t>，占地</w:t>
            </w:r>
            <w:r>
              <w:rPr>
                <w:rFonts w:hint="eastAsia"/>
                <w:bCs/>
                <w:sz w:val="24"/>
                <w:lang w:val="en-US" w:eastAsia="zh-CN"/>
              </w:rPr>
              <w:t>10</w:t>
            </w:r>
            <w:r>
              <w:rPr>
                <w:bCs/>
                <w:sz w:val="24"/>
              </w:rPr>
              <w:t>m</w:t>
            </w:r>
            <w:r>
              <w:rPr>
                <w:bCs/>
                <w:sz w:val="24"/>
                <w:vertAlign w:val="superscript"/>
              </w:rPr>
              <w:t>2</w:t>
            </w:r>
            <w:r>
              <w:rPr>
                <w:bCs/>
                <w:sz w:val="24"/>
              </w:rPr>
              <w:t>，实施场地防渗和危险废物贮存管理台账制度，确保不对环境造成影响。</w:t>
            </w:r>
          </w:p>
          <w:p>
            <w:pPr>
              <w:adjustRightInd w:val="0"/>
              <w:snapToGrid w:val="0"/>
              <w:spacing w:line="360" w:lineRule="auto"/>
              <w:ind w:firstLine="480" w:firstLineChars="200"/>
              <w:rPr>
                <w:sz w:val="24"/>
              </w:rPr>
            </w:pPr>
            <w:r>
              <w:rPr>
                <w:sz w:val="24"/>
              </w:rPr>
              <w:t>本项目产生的危险废物应严格按照《中华人民共和国固体废物污染环境防治法》的规定进行申报登记，定点收集、定人管理、定期交有资质单位进行无害化处理。同时，危险废物贮存容器、设施的选址与设计、运行与管理、安全防护、环境监测及应急措施等严格按照《危险废物贮存污染控制标准》（GB18597-2001）（2013年修订）中有关规定和要求执行。分类收集，做好相应的防风、防雨、防晒、防渗漏处理。</w:t>
            </w:r>
          </w:p>
          <w:p>
            <w:pPr>
              <w:adjustRightInd w:val="0"/>
              <w:snapToGrid w:val="0"/>
              <w:spacing w:line="360" w:lineRule="auto"/>
              <w:ind w:firstLine="480" w:firstLineChars="200"/>
              <w:rPr>
                <w:sz w:val="24"/>
              </w:rPr>
            </w:pPr>
            <w:r>
              <w:rPr>
                <w:sz w:val="24"/>
              </w:rPr>
              <w:t>本项目危废暂存间具体防渗措施如下：（1）在危废暂存间里面四周设置收集沟，危废暂存间地面、裙角、收集沟做重点防渗处理，防渗层为至少1m厚粘土层（渗透系数≤1.0×10</w:t>
            </w:r>
            <w:r>
              <w:rPr>
                <w:sz w:val="24"/>
                <w:vertAlign w:val="superscript"/>
              </w:rPr>
              <w:t>-7</w:t>
            </w:r>
            <w:r>
              <w:rPr>
                <w:sz w:val="24"/>
              </w:rPr>
              <w:t xml:space="preserve"> cm/s），或 2mm厚高密度聚乙烯，或至少 2mm厚的其他人工材料，渗透系≤1.0×10 </w:t>
            </w:r>
            <w:r>
              <w:rPr>
                <w:sz w:val="24"/>
                <w:vertAlign w:val="superscript"/>
              </w:rPr>
              <w:t>-10</w:t>
            </w:r>
            <w:r>
              <w:rPr>
                <w:sz w:val="24"/>
              </w:rPr>
              <w:t xml:space="preserve"> cm/s，建议采用采用环氧树脂地坪；（2）危险废物采用专用收集桶分类妥善收集后，粘贴危险废物标签，标签内容应明示危险废物类别等相关信息，并在危废收集桶下方布置收集盘；（3）不相容的危险废物分开存放，并设有隔离间隔断；（4）危废暂存间内要有安全照明设施和观察窗口；（5）危废暂存间门口需张贴标准规范的危险废物标识和危废信息板，屋内张贴企业《危险废物管理制度》，危废暂存间需按照“双人双锁”制度管理。</w:t>
            </w:r>
          </w:p>
          <w:p>
            <w:pPr>
              <w:adjustRightInd w:val="0"/>
              <w:snapToGrid w:val="0"/>
              <w:spacing w:line="360" w:lineRule="auto"/>
              <w:ind w:firstLine="480" w:firstLineChars="200"/>
              <w:jc w:val="left"/>
              <w:rPr>
                <w:rFonts w:ascii="Times New Roman" w:hAnsi="Times New Roman"/>
                <w:spacing w:val="0"/>
                <w:kern w:val="2"/>
                <w:sz w:val="24"/>
                <w:szCs w:val="24"/>
                <w:lang w:val="en-US" w:eastAsia="zh-CN"/>
              </w:rPr>
            </w:pPr>
            <w:r>
              <w:rPr>
                <w:rFonts w:ascii="Times New Roman" w:hAnsi="Times New Roman"/>
                <w:spacing w:val="0"/>
                <w:kern w:val="2"/>
                <w:sz w:val="24"/>
                <w:szCs w:val="24"/>
                <w:lang w:val="en-US" w:eastAsia="zh-CN"/>
              </w:rPr>
              <w:t>本项目危废暂存间标识标牌设置应按照《环境保护图形标志-固体废物贮存（处置）场》（GB15562.2）要求标示环保标志，具体要求如下：（1）标志牌应设在与功能相应的醒目处；标志牌必须保持清晰、完整，当发现形象损坏、颜色污染或有变化、退色等不符合本标准的情况，应及时修复或更换，检查时间至少每年一次；（2）危险废物警告标志：形状为边长为40cm的等边三角形，背景颜色为黄色，图形颜色为黑色，警告标志外檐2.5cm；（3）危险废物标签：尺寸为40*40cm，底色为醒目的橘黄色，字体为黑字体，字体颜色为黑色，危险类型要按照危险物种类选择，材料为不干胶印刷品。</w:t>
            </w:r>
          </w:p>
          <w:p>
            <w:pPr>
              <w:adjustRightInd w:val="0"/>
              <w:snapToGrid w:val="0"/>
              <w:spacing w:line="360" w:lineRule="auto"/>
              <w:jc w:val="left"/>
              <w:rPr>
                <w:b/>
                <w:color w:val="auto"/>
                <w:sz w:val="24"/>
                <w:highlight w:val="none"/>
              </w:rPr>
            </w:pPr>
            <w:r>
              <w:rPr>
                <w:rFonts w:hint="eastAsia"/>
                <w:b/>
                <w:color w:val="auto"/>
                <w:sz w:val="24"/>
                <w:highlight w:val="none"/>
                <w:lang w:val="en-US" w:eastAsia="zh-CN"/>
              </w:rPr>
              <w:t>5、</w:t>
            </w:r>
            <w:r>
              <w:rPr>
                <w:rFonts w:hAnsi="宋体"/>
                <w:b/>
                <w:color w:val="auto"/>
                <w:sz w:val="24"/>
                <w:highlight w:val="none"/>
              </w:rPr>
              <w:t>生态保护措施</w:t>
            </w:r>
          </w:p>
          <w:p>
            <w:pPr>
              <w:adjustRightInd w:val="0"/>
              <w:snapToGrid w:val="0"/>
              <w:spacing w:line="360" w:lineRule="auto"/>
              <w:ind w:firstLine="482" w:firstLineChars="200"/>
              <w:rPr>
                <w:bCs/>
                <w:color w:val="auto"/>
                <w:sz w:val="24"/>
                <w:highlight w:val="none"/>
              </w:rPr>
            </w:pPr>
            <w:r>
              <w:rPr>
                <w:rFonts w:hint="eastAsia"/>
                <w:b/>
                <w:color w:val="auto"/>
                <w:sz w:val="24"/>
                <w:highlight w:val="none"/>
                <w:lang w:val="en-US" w:eastAsia="zh-CN"/>
              </w:rPr>
              <w:t>5</w:t>
            </w:r>
            <w:r>
              <w:rPr>
                <w:b/>
                <w:color w:val="auto"/>
                <w:sz w:val="24"/>
                <w:highlight w:val="none"/>
              </w:rPr>
              <w:t>.1开采区生态恢复治理</w:t>
            </w:r>
          </w:p>
          <w:p>
            <w:pPr>
              <w:adjustRightInd w:val="0"/>
              <w:snapToGrid w:val="0"/>
              <w:spacing w:line="360" w:lineRule="auto"/>
              <w:ind w:firstLine="480" w:firstLineChars="200"/>
              <w:rPr>
                <w:bCs/>
                <w:color w:val="auto"/>
                <w:sz w:val="24"/>
                <w:highlight w:val="none"/>
              </w:rPr>
            </w:pPr>
            <w:r>
              <w:rPr>
                <w:bCs/>
                <w:color w:val="auto"/>
                <w:sz w:val="24"/>
                <w:highlight w:val="none"/>
              </w:rPr>
              <w:t>本项目</w:t>
            </w:r>
            <w:r>
              <w:rPr>
                <w:rFonts w:hint="eastAsia"/>
                <w:bCs/>
                <w:color w:val="auto"/>
                <w:sz w:val="24"/>
                <w:highlight w:val="none"/>
              </w:rPr>
              <w:t>矿山</w:t>
            </w:r>
            <w:r>
              <w:rPr>
                <w:bCs/>
                <w:color w:val="auto"/>
                <w:sz w:val="24"/>
                <w:highlight w:val="none"/>
              </w:rPr>
              <w:t>采用露天开采方式，针对本项目开采方式、开采时顺，本次环评结合矿山环境恢复治理方案，遵循固体废物无害化、资源化、减量化处理原则，</w:t>
            </w:r>
            <w:r>
              <w:rPr>
                <w:rFonts w:hAnsi="宋体"/>
                <w:color w:val="auto"/>
                <w:sz w:val="24"/>
                <w:highlight w:val="none"/>
              </w:rPr>
              <w:t>结合矿山生态环境保护与恢复治理技术规范</w:t>
            </w:r>
            <w:r>
              <w:rPr>
                <w:color w:val="auto"/>
                <w:sz w:val="24"/>
                <w:highlight w:val="none"/>
              </w:rPr>
              <w:t>(HJ651- 2013)</w:t>
            </w:r>
            <w:r>
              <w:rPr>
                <w:rFonts w:hAnsi="宋体"/>
                <w:color w:val="auto"/>
                <w:sz w:val="24"/>
                <w:highlight w:val="none"/>
              </w:rPr>
              <w:t>和矿山开发利用方案</w:t>
            </w:r>
            <w:r>
              <w:rPr>
                <w:rFonts w:hint="eastAsia" w:hAnsi="宋体"/>
                <w:color w:val="auto"/>
                <w:sz w:val="24"/>
                <w:highlight w:val="none"/>
              </w:rPr>
              <w:t>，</w:t>
            </w:r>
            <w:r>
              <w:rPr>
                <w:bCs/>
                <w:color w:val="auto"/>
                <w:sz w:val="24"/>
                <w:highlight w:val="none"/>
              </w:rPr>
              <w:t>为实现绿色矿山建设，采用开采弃土对开采形成的开采区实施治理，开采期回填治理时序建议如下：</w:t>
            </w:r>
          </w:p>
          <w:p>
            <w:pPr>
              <w:tabs>
                <w:tab w:val="left" w:pos="720"/>
              </w:tabs>
              <w:adjustRightInd w:val="0"/>
              <w:snapToGrid w:val="0"/>
              <w:spacing w:line="360" w:lineRule="auto"/>
              <w:ind w:firstLine="480" w:firstLineChars="200"/>
              <w:rPr>
                <w:color w:val="auto"/>
                <w:sz w:val="24"/>
                <w:highlight w:val="none"/>
              </w:rPr>
            </w:pPr>
            <w:r>
              <w:rPr>
                <w:color w:val="auto"/>
                <w:sz w:val="24"/>
                <w:highlight w:val="none"/>
              </w:rPr>
              <w:t>⑴根据“谁开发谁保护，谁造成污染负责治理”的原则，建设单位要制定的取料场环境治理和生态恢复方案，切实履行矿产资源开发过程中的水土流失防治、植被恢复、生态恢复重建等责任。</w:t>
            </w:r>
          </w:p>
          <w:p>
            <w:pPr>
              <w:tabs>
                <w:tab w:val="left" w:pos="720"/>
              </w:tabs>
              <w:adjustRightInd w:val="0"/>
              <w:snapToGrid w:val="0"/>
              <w:spacing w:line="360" w:lineRule="auto"/>
              <w:ind w:firstLine="480" w:firstLineChars="200"/>
              <w:rPr>
                <w:color w:val="auto"/>
                <w:sz w:val="24"/>
                <w:highlight w:val="none"/>
              </w:rPr>
            </w:pPr>
            <w:r>
              <w:rPr>
                <w:color w:val="auto"/>
                <w:sz w:val="24"/>
                <w:highlight w:val="none"/>
              </w:rPr>
              <w:t>⑵建设单位须认真落实执行水土保持方案，避免项目建设及营运造成大范围的水土流失。</w:t>
            </w:r>
          </w:p>
          <w:p>
            <w:pPr>
              <w:tabs>
                <w:tab w:val="left" w:pos="720"/>
              </w:tabs>
              <w:adjustRightInd w:val="0"/>
              <w:snapToGrid w:val="0"/>
              <w:spacing w:line="360" w:lineRule="auto"/>
              <w:ind w:firstLine="480" w:firstLineChars="200"/>
              <w:rPr>
                <w:color w:val="auto"/>
                <w:sz w:val="24"/>
                <w:highlight w:val="none"/>
              </w:rPr>
            </w:pPr>
            <w:r>
              <w:rPr>
                <w:color w:val="auto"/>
                <w:sz w:val="24"/>
                <w:highlight w:val="none"/>
              </w:rPr>
              <w:t>⑶严格按照工程计划和规划的范围进行开发，禁止超范围开发，尽量减少施工临时占地面积，以减少对土地的破坏。工业场地与取料场道路建设等，开挖的土方禁止乱弃乱堆，应充分进行回填，并应注意依山边坡的稳定性，防止塌方或滑坡。</w:t>
            </w:r>
          </w:p>
          <w:p>
            <w:pPr>
              <w:tabs>
                <w:tab w:val="left" w:pos="720"/>
              </w:tabs>
              <w:adjustRightInd w:val="0"/>
              <w:snapToGrid w:val="0"/>
              <w:spacing w:line="360" w:lineRule="auto"/>
              <w:ind w:firstLine="480" w:firstLineChars="200"/>
              <w:rPr>
                <w:color w:val="auto"/>
                <w:sz w:val="24"/>
                <w:highlight w:val="none"/>
              </w:rPr>
            </w:pPr>
            <w:r>
              <w:rPr>
                <w:color w:val="auto"/>
                <w:sz w:val="24"/>
                <w:highlight w:val="none"/>
              </w:rPr>
              <w:t>⑷实行边开采边恢复措施，利用开采剥离表土（含表土层）或外来土源进行复垦：露天采场（工业场地及生活办公区、</w:t>
            </w:r>
            <w:r>
              <w:rPr>
                <w:rFonts w:hint="eastAsia"/>
                <w:color w:val="auto"/>
                <w:sz w:val="24"/>
                <w:highlight w:val="none"/>
              </w:rPr>
              <w:t>矿山</w:t>
            </w:r>
            <w:r>
              <w:rPr>
                <w:color w:val="auto"/>
                <w:sz w:val="24"/>
                <w:highlight w:val="none"/>
              </w:rPr>
              <w:t>公路）一带为基岩，覆土厚度2.0m，覆土后地表为壤土，含少量砂壤土。</w:t>
            </w:r>
          </w:p>
          <w:p>
            <w:pPr>
              <w:tabs>
                <w:tab w:val="left" w:pos="720"/>
              </w:tabs>
              <w:adjustRightInd w:val="0"/>
              <w:snapToGrid w:val="0"/>
              <w:spacing w:line="360" w:lineRule="auto"/>
              <w:ind w:firstLine="480" w:firstLineChars="200"/>
              <w:rPr>
                <w:color w:val="auto"/>
                <w:sz w:val="24"/>
                <w:highlight w:val="none"/>
              </w:rPr>
            </w:pPr>
            <w:r>
              <w:rPr>
                <w:color w:val="auto"/>
                <w:sz w:val="24"/>
                <w:highlight w:val="none"/>
              </w:rPr>
              <w:t>根据植被恢复适宜性评价结果以及被挖损、压占土地类型，将露天采场及生活办公区及堆砂场等地复垦为草地。</w:t>
            </w:r>
          </w:p>
          <w:p>
            <w:pPr>
              <w:tabs>
                <w:tab w:val="left" w:pos="720"/>
              </w:tabs>
              <w:adjustRightInd w:val="0"/>
              <w:snapToGrid w:val="0"/>
              <w:spacing w:line="360" w:lineRule="auto"/>
              <w:ind w:firstLine="480" w:firstLineChars="200"/>
              <w:rPr>
                <w:color w:val="auto"/>
                <w:sz w:val="24"/>
                <w:highlight w:val="none"/>
              </w:rPr>
            </w:pPr>
            <w:r>
              <w:rPr>
                <w:color w:val="auto"/>
                <w:sz w:val="24"/>
                <w:highlight w:val="none"/>
              </w:rPr>
              <w:t>⑸种植草本植物之后，要做好管护工作和抚育工作，精细管理，以保证栽种的成活率，死苗要及时补植。管护时间一般为3年，3年后可适当放宽管理措施。业主方应设置绿化专职管理机构，配备相关管理干部及绿化工人。</w:t>
            </w:r>
          </w:p>
          <w:p>
            <w:pPr>
              <w:adjustRightInd w:val="0"/>
              <w:snapToGrid w:val="0"/>
              <w:spacing w:line="360" w:lineRule="auto"/>
              <w:ind w:firstLine="480" w:firstLineChars="200"/>
              <w:rPr>
                <w:rFonts w:hint="eastAsia"/>
                <w:color w:val="auto"/>
                <w:sz w:val="24"/>
                <w:highlight w:val="none"/>
              </w:rPr>
            </w:pPr>
            <w:r>
              <w:rPr>
                <w:color w:val="auto"/>
                <w:sz w:val="24"/>
                <w:highlight w:val="none"/>
              </w:rPr>
              <w:t>在营运期内和服务期满后，建设单位须认真落实取料场生态恢复方案，按计划全面实施完成取料场生态恢复工作，经验收合格后方可退役。</w:t>
            </w:r>
          </w:p>
          <w:p>
            <w:pPr>
              <w:adjustRightInd w:val="0"/>
              <w:snapToGrid w:val="0"/>
              <w:spacing w:line="360" w:lineRule="auto"/>
              <w:ind w:firstLine="480"/>
              <w:rPr>
                <w:b/>
                <w:bCs/>
                <w:color w:val="auto"/>
                <w:sz w:val="24"/>
                <w:highlight w:val="none"/>
              </w:rPr>
            </w:pPr>
            <w:r>
              <w:rPr>
                <w:rFonts w:hint="eastAsia"/>
                <w:b/>
                <w:bCs/>
                <w:color w:val="auto"/>
                <w:sz w:val="24"/>
                <w:highlight w:val="none"/>
                <w:lang w:val="en-US" w:eastAsia="zh-CN"/>
              </w:rPr>
              <w:t>5.2</w:t>
            </w:r>
            <w:r>
              <w:rPr>
                <w:b/>
                <w:bCs/>
                <w:color w:val="auto"/>
                <w:sz w:val="24"/>
                <w:highlight w:val="none"/>
              </w:rPr>
              <w:t>闭矿复垦生态恢复建议</w:t>
            </w:r>
          </w:p>
          <w:p>
            <w:pPr>
              <w:keepNext w:val="0"/>
              <w:keepLines w:val="0"/>
              <w:widowControl/>
              <w:suppressLineNumbers w:val="0"/>
              <w:spacing w:line="360" w:lineRule="auto"/>
              <w:ind w:firstLine="480" w:firstLineChars="200"/>
              <w:jc w:val="left"/>
              <w:rPr>
                <w:color w:val="auto"/>
                <w:sz w:val="24"/>
                <w:szCs w:val="24"/>
                <w:highlight w:val="none"/>
              </w:rPr>
            </w:pPr>
            <w:r>
              <w:rPr>
                <w:rFonts w:hint="eastAsia" w:ascii="宋体" w:hAnsi="宋体" w:eastAsia="宋体" w:cs="宋体"/>
                <w:color w:val="auto"/>
                <w:kern w:val="0"/>
                <w:sz w:val="24"/>
                <w:szCs w:val="24"/>
                <w:highlight w:val="none"/>
                <w:lang w:val="en-US" w:eastAsia="zh-CN" w:bidi="ar"/>
              </w:rPr>
              <w:t>《</w:t>
            </w:r>
            <w:r>
              <w:rPr>
                <w:rFonts w:hint="eastAsia"/>
                <w:color w:val="auto"/>
                <w:sz w:val="24"/>
                <w:highlight w:val="none"/>
                <w:lang w:val="en-US" w:eastAsia="zh-CN"/>
              </w:rPr>
              <w:t>东乡族自治县达板镇舀水村建筑用砂石料二号矿区</w:t>
            </w:r>
            <w:r>
              <w:rPr>
                <w:rFonts w:hint="eastAsia" w:ascii="宋体" w:hAnsi="宋体" w:eastAsia="宋体" w:cs="宋体"/>
                <w:color w:val="auto"/>
                <w:kern w:val="0"/>
                <w:sz w:val="24"/>
                <w:szCs w:val="24"/>
                <w:highlight w:val="none"/>
                <w:lang w:val="en-US" w:eastAsia="zh-CN" w:bidi="ar"/>
              </w:rPr>
              <w:t xml:space="preserve">矿山地质环境保护与土地复垦方案》提出以下闭矿期生态恢复措施： </w:t>
            </w:r>
          </w:p>
          <w:p>
            <w:pPr>
              <w:spacing w:line="360" w:lineRule="auto"/>
              <w:ind w:firstLine="480" w:firstLineChars="200"/>
              <w:rPr>
                <w:color w:val="auto"/>
                <w:kern w:val="0"/>
                <w:sz w:val="24"/>
                <w:szCs w:val="24"/>
                <w:highlight w:val="none"/>
              </w:rPr>
            </w:pPr>
            <w:r>
              <w:rPr>
                <w:color w:val="auto"/>
                <w:kern w:val="0"/>
                <w:sz w:val="24"/>
                <w:szCs w:val="24"/>
                <w:highlight w:val="none"/>
              </w:rPr>
              <w:t>采矿工业场地评价单元复垦设计</w:t>
            </w:r>
          </w:p>
          <w:p>
            <w:pPr>
              <w:spacing w:line="360" w:lineRule="auto"/>
              <w:ind w:firstLine="480" w:firstLineChars="200"/>
              <w:rPr>
                <w:color w:val="auto"/>
                <w:kern w:val="0"/>
                <w:sz w:val="24"/>
                <w:szCs w:val="24"/>
                <w:highlight w:val="none"/>
              </w:rPr>
            </w:pPr>
            <w:r>
              <w:rPr>
                <w:color w:val="auto"/>
                <w:kern w:val="0"/>
                <w:sz w:val="24"/>
                <w:szCs w:val="24"/>
                <w:highlight w:val="none"/>
              </w:rPr>
              <w:t>（1）场地平整</w:t>
            </w:r>
          </w:p>
          <w:p>
            <w:pPr>
              <w:spacing w:line="360" w:lineRule="auto"/>
              <w:ind w:firstLine="480" w:firstLineChars="200"/>
              <w:rPr>
                <w:color w:val="auto"/>
                <w:kern w:val="0"/>
                <w:sz w:val="24"/>
                <w:szCs w:val="24"/>
                <w:highlight w:val="none"/>
              </w:rPr>
            </w:pPr>
            <w:r>
              <w:rPr>
                <w:color w:val="auto"/>
                <w:kern w:val="0"/>
                <w:sz w:val="24"/>
                <w:szCs w:val="24"/>
                <w:highlight w:val="none"/>
              </w:rPr>
              <w:t>闭矿后，对采矿工业场地坡底进行平整，使区内地形坡度不大于5°，地面高差不大于0.5m，平整采用推土机进行推平。平整面积约为</w:t>
            </w:r>
            <w:r>
              <w:rPr>
                <w:rFonts w:hint="eastAsia"/>
                <w:color w:val="auto"/>
                <w:kern w:val="0"/>
                <w:sz w:val="24"/>
                <w:szCs w:val="24"/>
                <w:highlight w:val="none"/>
              </w:rPr>
              <w:t>4.12</w:t>
            </w:r>
            <w:r>
              <w:rPr>
                <w:color w:val="auto"/>
                <w:kern w:val="0"/>
                <w:sz w:val="24"/>
                <w:szCs w:val="24"/>
                <w:highlight w:val="none"/>
              </w:rPr>
              <w:t>hm</w:t>
            </w:r>
            <w:r>
              <w:rPr>
                <w:color w:val="auto"/>
                <w:kern w:val="0"/>
                <w:sz w:val="24"/>
                <w:szCs w:val="24"/>
                <w:highlight w:val="none"/>
                <w:vertAlign w:val="superscript"/>
              </w:rPr>
              <w:t>2</w:t>
            </w:r>
            <w:r>
              <w:rPr>
                <w:color w:val="auto"/>
                <w:kern w:val="0"/>
                <w:sz w:val="24"/>
                <w:szCs w:val="24"/>
                <w:highlight w:val="none"/>
              </w:rPr>
              <w:t>，平均平整厚度约0.10m，平整方量约为</w:t>
            </w:r>
            <w:r>
              <w:rPr>
                <w:rFonts w:hint="eastAsia"/>
                <w:color w:val="auto"/>
                <w:kern w:val="0"/>
                <w:sz w:val="24"/>
                <w:szCs w:val="24"/>
                <w:highlight w:val="none"/>
              </w:rPr>
              <w:t>4120</w:t>
            </w:r>
            <w:r>
              <w:rPr>
                <w:color w:val="auto"/>
                <w:kern w:val="0"/>
                <w:sz w:val="24"/>
                <w:szCs w:val="24"/>
                <w:highlight w:val="none"/>
              </w:rPr>
              <w:t>m</w:t>
            </w:r>
            <w:r>
              <w:rPr>
                <w:color w:val="auto"/>
                <w:kern w:val="0"/>
                <w:sz w:val="24"/>
                <w:szCs w:val="24"/>
                <w:highlight w:val="none"/>
                <w:vertAlign w:val="superscript"/>
              </w:rPr>
              <w:t>3</w:t>
            </w:r>
            <w:r>
              <w:rPr>
                <w:color w:val="auto"/>
                <w:kern w:val="0"/>
                <w:sz w:val="24"/>
                <w:szCs w:val="24"/>
                <w:highlight w:val="none"/>
              </w:rPr>
              <w:t>。</w:t>
            </w:r>
          </w:p>
          <w:p>
            <w:pPr>
              <w:spacing w:line="360" w:lineRule="auto"/>
              <w:ind w:firstLine="480" w:firstLineChars="200"/>
              <w:rPr>
                <w:color w:val="auto"/>
                <w:kern w:val="0"/>
                <w:sz w:val="24"/>
                <w:szCs w:val="24"/>
                <w:highlight w:val="none"/>
              </w:rPr>
            </w:pPr>
            <w:r>
              <w:rPr>
                <w:color w:val="auto"/>
                <w:kern w:val="0"/>
                <w:sz w:val="24"/>
                <w:szCs w:val="24"/>
                <w:highlight w:val="none"/>
              </w:rPr>
              <w:t>（2）坡面清理</w:t>
            </w:r>
          </w:p>
          <w:p>
            <w:pPr>
              <w:spacing w:line="360" w:lineRule="auto"/>
              <w:ind w:firstLine="480" w:firstLineChars="200"/>
              <w:rPr>
                <w:color w:val="auto"/>
                <w:kern w:val="0"/>
                <w:sz w:val="24"/>
                <w:szCs w:val="24"/>
                <w:highlight w:val="none"/>
                <w:lang w:val="en-GB"/>
              </w:rPr>
            </w:pPr>
            <w:r>
              <w:rPr>
                <w:color w:val="auto"/>
                <w:kern w:val="0"/>
                <w:sz w:val="24"/>
                <w:szCs w:val="24"/>
                <w:highlight w:val="none"/>
                <w:lang w:val="en-GB"/>
              </w:rPr>
              <w:t>对采矿工业场地边坡及时开展坡面清理工作，清理方式采用人工清理，防止落实、掉块威胁坡脚工作人员及机械设备，清理坡面面积</w:t>
            </w:r>
            <w:r>
              <w:rPr>
                <w:rFonts w:hint="eastAsia"/>
                <w:color w:val="auto"/>
                <w:kern w:val="0"/>
                <w:sz w:val="24"/>
                <w:szCs w:val="24"/>
                <w:highlight w:val="none"/>
              </w:rPr>
              <w:t>4.48</w:t>
            </w:r>
            <w:r>
              <w:rPr>
                <w:color w:val="auto"/>
                <w:kern w:val="0"/>
                <w:sz w:val="24"/>
                <w:szCs w:val="24"/>
                <w:highlight w:val="none"/>
                <w:lang w:val="en-GB"/>
              </w:rPr>
              <w:t>hm</w:t>
            </w:r>
            <w:r>
              <w:rPr>
                <w:color w:val="auto"/>
                <w:kern w:val="0"/>
                <w:sz w:val="24"/>
                <w:szCs w:val="24"/>
                <w:highlight w:val="none"/>
                <w:vertAlign w:val="superscript"/>
                <w:lang w:val="en-GB"/>
              </w:rPr>
              <w:t>2</w:t>
            </w:r>
            <w:r>
              <w:rPr>
                <w:color w:val="auto"/>
                <w:kern w:val="0"/>
                <w:sz w:val="24"/>
                <w:szCs w:val="24"/>
                <w:highlight w:val="none"/>
                <w:lang w:val="en-GB"/>
              </w:rPr>
              <w:t>，清理平均厚度按0.</w:t>
            </w:r>
            <w:r>
              <w:rPr>
                <w:rFonts w:hint="eastAsia"/>
                <w:color w:val="auto"/>
                <w:kern w:val="0"/>
                <w:sz w:val="24"/>
                <w:szCs w:val="24"/>
                <w:highlight w:val="none"/>
                <w:lang w:val="en-GB"/>
              </w:rPr>
              <w:t>1</w:t>
            </w:r>
            <w:r>
              <w:rPr>
                <w:color w:val="auto"/>
                <w:kern w:val="0"/>
                <w:sz w:val="24"/>
                <w:szCs w:val="24"/>
                <w:highlight w:val="none"/>
                <w:lang w:val="en-GB"/>
              </w:rPr>
              <w:t>m计算，共需清理土石方</w:t>
            </w:r>
            <w:r>
              <w:rPr>
                <w:rFonts w:hint="eastAsia"/>
                <w:color w:val="auto"/>
                <w:kern w:val="0"/>
                <w:sz w:val="24"/>
                <w:szCs w:val="24"/>
                <w:highlight w:val="none"/>
              </w:rPr>
              <w:t>10667</w:t>
            </w:r>
            <w:r>
              <w:rPr>
                <w:color w:val="auto"/>
                <w:kern w:val="0"/>
                <w:sz w:val="24"/>
                <w:szCs w:val="24"/>
                <w:highlight w:val="none"/>
                <w:lang w:val="en-GB"/>
              </w:rPr>
              <w:t>m</w:t>
            </w:r>
            <w:r>
              <w:rPr>
                <w:color w:val="auto"/>
                <w:kern w:val="0"/>
                <w:sz w:val="24"/>
                <w:szCs w:val="24"/>
                <w:highlight w:val="none"/>
                <w:vertAlign w:val="superscript"/>
                <w:lang w:val="en-GB"/>
              </w:rPr>
              <w:t>3</w:t>
            </w:r>
            <w:r>
              <w:rPr>
                <w:color w:val="auto"/>
                <w:kern w:val="0"/>
                <w:sz w:val="24"/>
                <w:szCs w:val="24"/>
                <w:highlight w:val="none"/>
                <w:lang w:val="en-GB"/>
              </w:rPr>
              <w:t>。</w:t>
            </w:r>
          </w:p>
          <w:p>
            <w:pPr>
              <w:spacing w:line="360" w:lineRule="auto"/>
              <w:ind w:firstLine="480" w:firstLineChars="200"/>
              <w:rPr>
                <w:color w:val="auto"/>
                <w:kern w:val="0"/>
                <w:sz w:val="24"/>
                <w:szCs w:val="24"/>
                <w:highlight w:val="none"/>
              </w:rPr>
            </w:pPr>
            <w:r>
              <w:rPr>
                <w:color w:val="auto"/>
                <w:kern w:val="0"/>
                <w:sz w:val="24"/>
                <w:szCs w:val="24"/>
                <w:highlight w:val="none"/>
              </w:rPr>
              <w:t>（3）覆土</w:t>
            </w:r>
          </w:p>
          <w:p>
            <w:pPr>
              <w:spacing w:line="360" w:lineRule="auto"/>
              <w:ind w:firstLine="480" w:firstLineChars="200"/>
              <w:rPr>
                <w:color w:val="auto"/>
                <w:kern w:val="0"/>
                <w:sz w:val="24"/>
                <w:szCs w:val="24"/>
                <w:highlight w:val="none"/>
              </w:rPr>
            </w:pPr>
            <w:r>
              <w:rPr>
                <w:color w:val="auto"/>
                <w:kern w:val="0"/>
                <w:sz w:val="24"/>
                <w:szCs w:val="24"/>
                <w:highlight w:val="none"/>
              </w:rPr>
              <w:t>在平整后的场地及开采平台进行覆土，覆土工程采用机械设备为一台59kw推土机、一台挖掘机和3台5t自卸汽车，覆土来源为</w:t>
            </w:r>
            <w:r>
              <w:rPr>
                <w:rFonts w:hint="eastAsia"/>
                <w:color w:val="auto"/>
                <w:sz w:val="24"/>
                <w:szCs w:val="24"/>
                <w:highlight w:val="none"/>
              </w:rPr>
              <w:t>东乡县达板镇龙凤建材厂粘土矿</w:t>
            </w:r>
            <w:r>
              <w:rPr>
                <w:color w:val="auto"/>
                <w:kern w:val="0"/>
                <w:sz w:val="24"/>
                <w:szCs w:val="24"/>
                <w:highlight w:val="none"/>
              </w:rPr>
              <w:t>，</w:t>
            </w:r>
            <w:r>
              <w:rPr>
                <w:rFonts w:hint="eastAsia"/>
                <w:color w:val="auto"/>
                <w:kern w:val="0"/>
                <w:sz w:val="24"/>
                <w:szCs w:val="24"/>
                <w:highlight w:val="none"/>
              </w:rPr>
              <w:t>覆土</w:t>
            </w:r>
            <w:r>
              <w:rPr>
                <w:color w:val="auto"/>
                <w:kern w:val="0"/>
                <w:sz w:val="24"/>
                <w:szCs w:val="24"/>
                <w:highlight w:val="none"/>
              </w:rPr>
              <w:t>时可添加有机肥</w:t>
            </w:r>
            <w:r>
              <w:rPr>
                <w:rFonts w:hint="eastAsia"/>
                <w:color w:val="auto"/>
                <w:kern w:val="0"/>
                <w:sz w:val="24"/>
                <w:szCs w:val="24"/>
                <w:highlight w:val="none"/>
              </w:rPr>
              <w:t>，</w:t>
            </w:r>
            <w:r>
              <w:rPr>
                <w:color w:val="auto"/>
                <w:kern w:val="0"/>
                <w:sz w:val="24"/>
                <w:szCs w:val="24"/>
                <w:highlight w:val="none"/>
              </w:rPr>
              <w:t>增加土壤有机含量。根据场地其他草地的复垦方向，结合土地复垦质量要求，覆土厚度按0.</w:t>
            </w:r>
            <w:r>
              <w:rPr>
                <w:rFonts w:hint="eastAsia"/>
                <w:color w:val="auto"/>
                <w:kern w:val="0"/>
                <w:sz w:val="24"/>
                <w:szCs w:val="24"/>
                <w:highlight w:val="none"/>
              </w:rPr>
              <w:t>6</w:t>
            </w:r>
            <w:r>
              <w:rPr>
                <w:color w:val="auto"/>
                <w:kern w:val="0"/>
                <w:sz w:val="24"/>
                <w:szCs w:val="24"/>
                <w:highlight w:val="none"/>
              </w:rPr>
              <w:t>0m计，覆土面积为</w:t>
            </w:r>
            <w:r>
              <w:rPr>
                <w:rFonts w:hint="eastAsia"/>
                <w:color w:val="auto"/>
                <w:kern w:val="0"/>
                <w:sz w:val="24"/>
                <w:szCs w:val="24"/>
                <w:highlight w:val="none"/>
              </w:rPr>
              <w:t>6.36</w:t>
            </w:r>
            <w:r>
              <w:rPr>
                <w:color w:val="auto"/>
                <w:kern w:val="0"/>
                <w:sz w:val="24"/>
                <w:szCs w:val="24"/>
                <w:highlight w:val="none"/>
              </w:rPr>
              <w:t>hm</w:t>
            </w:r>
            <w:r>
              <w:rPr>
                <w:color w:val="auto"/>
                <w:kern w:val="0"/>
                <w:sz w:val="24"/>
                <w:szCs w:val="24"/>
                <w:highlight w:val="none"/>
                <w:vertAlign w:val="superscript"/>
              </w:rPr>
              <w:t>2</w:t>
            </w:r>
            <w:r>
              <w:rPr>
                <w:color w:val="auto"/>
                <w:kern w:val="0"/>
                <w:sz w:val="24"/>
                <w:szCs w:val="24"/>
                <w:highlight w:val="none"/>
              </w:rPr>
              <w:t>，该区闭矿后共需覆土</w:t>
            </w:r>
            <w:r>
              <w:rPr>
                <w:rFonts w:hint="eastAsia"/>
                <w:color w:val="auto"/>
                <w:kern w:val="0"/>
                <w:sz w:val="24"/>
                <w:szCs w:val="24"/>
                <w:highlight w:val="none"/>
              </w:rPr>
              <w:t>38160</w:t>
            </w:r>
            <w:r>
              <w:rPr>
                <w:color w:val="auto"/>
                <w:kern w:val="0"/>
                <w:sz w:val="24"/>
                <w:szCs w:val="24"/>
                <w:highlight w:val="none"/>
              </w:rPr>
              <w:t>m</w:t>
            </w:r>
            <w:r>
              <w:rPr>
                <w:color w:val="auto"/>
                <w:kern w:val="0"/>
                <w:sz w:val="24"/>
                <w:szCs w:val="24"/>
                <w:highlight w:val="none"/>
                <w:vertAlign w:val="superscript"/>
              </w:rPr>
              <w:t>3</w:t>
            </w:r>
            <w:r>
              <w:rPr>
                <w:color w:val="auto"/>
                <w:kern w:val="0"/>
                <w:sz w:val="24"/>
                <w:szCs w:val="24"/>
                <w:highlight w:val="none"/>
              </w:rPr>
              <w:t>。</w:t>
            </w:r>
          </w:p>
          <w:p>
            <w:pPr>
              <w:spacing w:line="360" w:lineRule="auto"/>
              <w:ind w:firstLine="480" w:firstLineChars="200"/>
              <w:rPr>
                <w:color w:val="auto"/>
                <w:kern w:val="0"/>
                <w:sz w:val="24"/>
                <w:szCs w:val="24"/>
                <w:highlight w:val="none"/>
              </w:rPr>
            </w:pPr>
            <w:r>
              <w:rPr>
                <w:color w:val="auto"/>
                <w:kern w:val="0"/>
                <w:sz w:val="24"/>
                <w:szCs w:val="24"/>
                <w:highlight w:val="none"/>
              </w:rPr>
              <w:t>（4）植草绿化</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场地平整、覆土等工程结束后，为了使该部分用地尽快恢复到之前的植被覆盖水平和减少新的水土流失，在该单元覆土场地播撒草籽绿化，草籽选择适宜当地气候和土壤环境的植物草籽。播撒密度按10kg/hm</w:t>
            </w:r>
            <w:r>
              <w:rPr>
                <w:color w:val="000000" w:themeColor="text1"/>
                <w:kern w:val="0"/>
                <w:sz w:val="24"/>
                <w:szCs w:val="24"/>
                <w:vertAlign w:val="superscript"/>
                <w14:textFill>
                  <w14:solidFill>
                    <w14:schemeClr w14:val="tx1"/>
                  </w14:solidFill>
                </w14:textFill>
              </w:rPr>
              <w:t>2</w:t>
            </w:r>
            <w:r>
              <w:rPr>
                <w:color w:val="000000" w:themeColor="text1"/>
                <w:kern w:val="0"/>
                <w:sz w:val="24"/>
                <w:szCs w:val="24"/>
                <w14:textFill>
                  <w14:solidFill>
                    <w14:schemeClr w14:val="tx1"/>
                  </w14:solidFill>
                </w14:textFill>
              </w:rPr>
              <w:t>，播撒草籽季节宜选择春季进行，该区闭矿后共需草籽</w:t>
            </w:r>
            <w:r>
              <w:rPr>
                <w:rFonts w:hint="eastAsia"/>
                <w:color w:val="000000" w:themeColor="text1"/>
                <w:kern w:val="0"/>
                <w:sz w:val="24"/>
                <w:szCs w:val="24"/>
                <w14:textFill>
                  <w14:solidFill>
                    <w14:schemeClr w14:val="tx1"/>
                  </w14:solidFill>
                </w14:textFill>
              </w:rPr>
              <w:t>63.6</w:t>
            </w:r>
            <w:r>
              <w:rPr>
                <w:color w:val="000000" w:themeColor="text1"/>
                <w:kern w:val="0"/>
                <w:sz w:val="24"/>
                <w:szCs w:val="24"/>
                <w14:textFill>
                  <w14:solidFill>
                    <w14:schemeClr w14:val="tx1"/>
                  </w14:solidFill>
                </w14:textFill>
              </w:rPr>
              <w:t>kg</w:t>
            </w:r>
            <w:r>
              <w:rPr>
                <w:rFonts w:hint="eastAsia"/>
                <w:color w:val="000000" w:themeColor="text1"/>
                <w:kern w:val="0"/>
                <w:sz w:val="24"/>
                <w:szCs w:val="24"/>
                <w14:textFill>
                  <w14:solidFill>
                    <w14:schemeClr w14:val="tx1"/>
                  </w14:solidFill>
                </w14:textFill>
              </w:rPr>
              <w:t>；</w:t>
            </w:r>
            <w:r>
              <w:rPr>
                <w:color w:val="000000" w:themeColor="text1"/>
                <w:kern w:val="0"/>
                <w:sz w:val="24"/>
                <w:szCs w:val="24"/>
                <w14:textFill>
                  <w14:solidFill>
                    <w14:schemeClr w14:val="tx1"/>
                  </w14:solidFill>
                </w14:textFill>
              </w:rPr>
              <w:t>同时在每个台阶靠近斜坡位置种植攀爬类植物</w:t>
            </w:r>
            <w:r>
              <w:rPr>
                <w:rFonts w:hint="eastAsia"/>
                <w:color w:val="000000" w:themeColor="text1"/>
                <w:kern w:val="0"/>
                <w:sz w:val="24"/>
                <w:szCs w:val="24"/>
                <w14:textFill>
                  <w14:solidFill>
                    <w14:schemeClr w14:val="tx1"/>
                  </w14:solidFill>
                </w14:textFill>
              </w:rPr>
              <w:t>。</w:t>
            </w:r>
          </w:p>
          <w:p>
            <w:pPr>
              <w:spacing w:line="360" w:lineRule="auto"/>
              <w:ind w:firstLine="480" w:firstLineChars="200"/>
              <w:rPr>
                <w:color w:val="000000" w:themeColor="text1"/>
                <w:kern w:val="0"/>
                <w:sz w:val="24"/>
                <w:szCs w:val="24"/>
                <w:lang w:val="en-GB"/>
                <w14:textFill>
                  <w14:solidFill>
                    <w14:schemeClr w14:val="tx1"/>
                  </w14:solidFill>
                </w14:textFill>
              </w:rPr>
            </w:pPr>
            <w:r>
              <w:rPr>
                <w:color w:val="000000" w:themeColor="text1"/>
                <w:kern w:val="0"/>
                <w:sz w:val="24"/>
                <w:szCs w:val="24"/>
                <w:lang w:val="en-GB"/>
                <w14:textFill>
                  <w14:solidFill>
                    <w14:schemeClr w14:val="tx1"/>
                  </w14:solidFill>
                </w14:textFill>
              </w:rPr>
              <w:t>工业场地评价单元复垦设计</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（1）建筑物拆除</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该工程主要在闭坑以后进行，一次性将复垦区内地面建（构）筑物拆除，拆迁方式建议人工加机械（图5-4）。拆除厚度平均为0.</w:t>
            </w:r>
            <w:r>
              <w:rPr>
                <w:rFonts w:hint="eastAsia"/>
                <w:color w:val="000000" w:themeColor="text1"/>
                <w:kern w:val="0"/>
                <w:sz w:val="24"/>
                <w:szCs w:val="24"/>
                <w14:textFill>
                  <w14:solidFill>
                    <w14:schemeClr w14:val="tx1"/>
                  </w14:solidFill>
                </w14:textFill>
              </w:rPr>
              <w:t>2</w:t>
            </w:r>
            <w:r>
              <w:rPr>
                <w:color w:val="000000" w:themeColor="text1"/>
                <w:kern w:val="0"/>
                <w:sz w:val="24"/>
                <w:szCs w:val="24"/>
                <w14:textFill>
                  <w14:solidFill>
                    <w14:schemeClr w14:val="tx1"/>
                  </w14:solidFill>
                </w14:textFill>
              </w:rPr>
              <w:t>0m，拆除面积</w:t>
            </w:r>
            <w:r>
              <w:rPr>
                <w:rFonts w:hint="eastAsia"/>
                <w:color w:val="000000" w:themeColor="text1"/>
                <w:kern w:val="0"/>
                <w:sz w:val="24"/>
                <w:szCs w:val="24"/>
                <w14:textFill>
                  <w14:solidFill>
                    <w14:schemeClr w14:val="tx1"/>
                  </w14:solidFill>
                </w14:textFill>
              </w:rPr>
              <w:t>1.22</w:t>
            </w:r>
            <w:r>
              <w:rPr>
                <w:color w:val="000000" w:themeColor="text1"/>
                <w:kern w:val="0"/>
                <w:sz w:val="24"/>
                <w:szCs w:val="24"/>
                <w:lang w:val="en-GB"/>
                <w14:textFill>
                  <w14:solidFill>
                    <w14:schemeClr w14:val="tx1"/>
                  </w14:solidFill>
                </w14:textFill>
              </w:rPr>
              <w:t>hm</w:t>
            </w:r>
            <w:r>
              <w:rPr>
                <w:color w:val="000000" w:themeColor="text1"/>
                <w:kern w:val="0"/>
                <w:sz w:val="24"/>
                <w:szCs w:val="24"/>
                <w:vertAlign w:val="superscript"/>
                <w:lang w:val="en-GB"/>
                <w14:textFill>
                  <w14:solidFill>
                    <w14:schemeClr w14:val="tx1"/>
                  </w14:solidFill>
                </w14:textFill>
              </w:rPr>
              <w:t>2</w:t>
            </w:r>
            <w:r>
              <w:rPr>
                <w:color w:val="000000" w:themeColor="text1"/>
                <w:kern w:val="0"/>
                <w:sz w:val="24"/>
                <w:szCs w:val="24"/>
                <w:lang w:val="en-GB"/>
                <w14:textFill>
                  <w14:solidFill>
                    <w14:schemeClr w14:val="tx1"/>
                  </w14:solidFill>
                </w14:textFill>
              </w:rPr>
              <w:t>，</w:t>
            </w:r>
            <w:r>
              <w:rPr>
                <w:color w:val="000000" w:themeColor="text1"/>
                <w:kern w:val="0"/>
                <w:sz w:val="24"/>
                <w:szCs w:val="24"/>
                <w14:textFill>
                  <w14:solidFill>
                    <w14:schemeClr w14:val="tx1"/>
                  </w14:solidFill>
                </w14:textFill>
              </w:rPr>
              <w:t>共产生建筑垃圾</w:t>
            </w:r>
            <w:r>
              <w:rPr>
                <w:rFonts w:hint="eastAsia"/>
                <w:color w:val="000000" w:themeColor="text1"/>
                <w:kern w:val="0"/>
                <w:sz w:val="24"/>
                <w:szCs w:val="24"/>
                <w14:textFill>
                  <w14:solidFill>
                    <w14:schemeClr w14:val="tx1"/>
                  </w14:solidFill>
                </w14:textFill>
              </w:rPr>
              <w:t>244</w:t>
            </w:r>
            <w:r>
              <w:rPr>
                <w:color w:val="000000" w:themeColor="text1"/>
                <w:kern w:val="0"/>
                <w:sz w:val="24"/>
                <w:szCs w:val="24"/>
                <w14:textFill>
                  <w14:solidFill>
                    <w14:schemeClr w14:val="tx1"/>
                  </w14:solidFill>
                </w14:textFill>
              </w:rPr>
              <w:t>0m</w:t>
            </w:r>
            <w:r>
              <w:rPr>
                <w:color w:val="000000" w:themeColor="text1"/>
                <w:kern w:val="0"/>
                <w:sz w:val="24"/>
                <w:szCs w:val="24"/>
                <w:vertAlign w:val="superscript"/>
                <w14:textFill>
                  <w14:solidFill>
                    <w14:schemeClr w14:val="tx1"/>
                  </w14:solidFill>
                </w14:textFill>
              </w:rPr>
              <w:t>3</w:t>
            </w:r>
            <w:r>
              <w:rPr>
                <w:color w:val="000000" w:themeColor="text1"/>
                <w:kern w:val="0"/>
                <w:sz w:val="24"/>
                <w:szCs w:val="24"/>
                <w14:textFill>
                  <w14:solidFill>
                    <w14:schemeClr w14:val="tx1"/>
                  </w14:solidFill>
                </w14:textFill>
              </w:rPr>
              <w:t>，拆除建筑垃圾拉运至5km以外的东乡县达板镇垃圾场填埋处理。</w:t>
            </w:r>
          </w:p>
          <w:p>
            <w:pPr>
              <w:widowControl/>
              <w:spacing w:line="360" w:lineRule="auto"/>
              <w:jc w:val="center"/>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drawing>
                <wp:inline distT="0" distB="0" distL="0" distR="0">
                  <wp:extent cx="3759835" cy="1704975"/>
                  <wp:effectExtent l="0" t="0" r="12065" b="952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noChangeArrowheads="1"/>
                          </pic:cNvPicPr>
                        </pic:nvPicPr>
                        <pic:blipFill>
                          <a:blip r:embed="rId38" cstate="print"/>
                          <a:srcRect/>
                          <a:stretch>
                            <a:fillRect/>
                          </a:stretch>
                        </pic:blipFill>
                        <pic:spPr>
                          <a:xfrm>
                            <a:off x="0" y="0"/>
                            <a:ext cx="3759835" cy="1704975"/>
                          </a:xfrm>
                          <a:prstGeom prst="rect">
                            <a:avLst/>
                          </a:prstGeom>
                          <a:noFill/>
                          <a:ln w="9525">
                            <a:noFill/>
                            <a:miter lim="800000"/>
                            <a:headEnd/>
                            <a:tailEnd/>
                          </a:ln>
                        </pic:spPr>
                      </pic:pic>
                    </a:graphicData>
                  </a:graphic>
                </wp:inline>
              </w:drawing>
            </w:r>
          </w:p>
          <w:p>
            <w:pPr>
              <w:spacing w:line="360" w:lineRule="auto"/>
              <w:jc w:val="center"/>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图</w:t>
            </w:r>
            <w:r>
              <w:rPr>
                <w:rFonts w:hint="eastAsia"/>
                <w:b/>
                <w:color w:val="000000" w:themeColor="text1"/>
                <w:sz w:val="24"/>
                <w:szCs w:val="24"/>
                <w:lang w:val="en-US" w:eastAsia="zh-CN"/>
                <w14:textFill>
                  <w14:solidFill>
                    <w14:schemeClr w14:val="tx1"/>
                  </w14:solidFill>
                </w14:textFill>
              </w:rPr>
              <w:t>5-1</w:t>
            </w:r>
            <w:r>
              <w:rPr>
                <w:b/>
                <w:color w:val="000000" w:themeColor="text1"/>
                <w:sz w:val="24"/>
                <w:szCs w:val="24"/>
                <w14:textFill>
                  <w14:solidFill>
                    <w14:schemeClr w14:val="tx1"/>
                  </w14:solidFill>
                </w14:textFill>
              </w:rPr>
              <w:t xml:space="preserve"> 建筑物拆除示意图</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（2）场地平整</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拆除工程完毕后，需对场地进行平整，使区内地形坡度不大于5°，地面高差不大于0.4m，平整采用推土机进行推平。平整面积约为</w:t>
            </w:r>
            <w:r>
              <w:rPr>
                <w:rFonts w:hint="eastAsia"/>
                <w:color w:val="000000" w:themeColor="text1"/>
                <w:kern w:val="0"/>
                <w:sz w:val="24"/>
                <w:szCs w:val="24"/>
                <w14:textFill>
                  <w14:solidFill>
                    <w14:schemeClr w14:val="tx1"/>
                  </w14:solidFill>
                </w14:textFill>
              </w:rPr>
              <w:t>1.22</w:t>
            </w:r>
            <w:r>
              <w:rPr>
                <w:color w:val="000000" w:themeColor="text1"/>
                <w:kern w:val="0"/>
                <w:sz w:val="24"/>
                <w:szCs w:val="24"/>
                <w14:textFill>
                  <w14:solidFill>
                    <w14:schemeClr w14:val="tx1"/>
                  </w14:solidFill>
                </w14:textFill>
              </w:rPr>
              <w:t>hm</w:t>
            </w:r>
            <w:r>
              <w:rPr>
                <w:color w:val="000000" w:themeColor="text1"/>
                <w:kern w:val="0"/>
                <w:sz w:val="24"/>
                <w:szCs w:val="24"/>
                <w:vertAlign w:val="superscript"/>
                <w14:textFill>
                  <w14:solidFill>
                    <w14:schemeClr w14:val="tx1"/>
                  </w14:solidFill>
                </w14:textFill>
              </w:rPr>
              <w:t>2</w:t>
            </w:r>
            <w:r>
              <w:rPr>
                <w:color w:val="000000" w:themeColor="text1"/>
                <w:kern w:val="0"/>
                <w:sz w:val="24"/>
                <w:szCs w:val="24"/>
                <w14:textFill>
                  <w14:solidFill>
                    <w14:schemeClr w14:val="tx1"/>
                  </w14:solidFill>
                </w14:textFill>
              </w:rPr>
              <w:t>，平均平整厚度为0.10m，平整土方量约为</w:t>
            </w:r>
            <w:r>
              <w:rPr>
                <w:rFonts w:hint="eastAsia"/>
                <w:color w:val="000000" w:themeColor="text1"/>
                <w:kern w:val="0"/>
                <w:sz w:val="24"/>
                <w:szCs w:val="24"/>
                <w14:textFill>
                  <w14:solidFill>
                    <w14:schemeClr w14:val="tx1"/>
                  </w14:solidFill>
                </w14:textFill>
              </w:rPr>
              <w:t>1220</w:t>
            </w:r>
            <w:r>
              <w:rPr>
                <w:color w:val="000000" w:themeColor="text1"/>
                <w:kern w:val="0"/>
                <w:sz w:val="24"/>
                <w:szCs w:val="24"/>
                <w14:textFill>
                  <w14:solidFill>
                    <w14:schemeClr w14:val="tx1"/>
                  </w14:solidFill>
                </w14:textFill>
              </w:rPr>
              <w:t>m</w:t>
            </w:r>
            <w:r>
              <w:rPr>
                <w:color w:val="000000" w:themeColor="text1"/>
                <w:kern w:val="0"/>
                <w:sz w:val="24"/>
                <w:szCs w:val="24"/>
                <w:vertAlign w:val="superscript"/>
                <w14:textFill>
                  <w14:solidFill>
                    <w14:schemeClr w14:val="tx1"/>
                  </w14:solidFill>
                </w14:textFill>
              </w:rPr>
              <w:t>3</w:t>
            </w:r>
            <w:r>
              <w:rPr>
                <w:color w:val="000000" w:themeColor="text1"/>
                <w:kern w:val="0"/>
                <w:sz w:val="24"/>
                <w:szCs w:val="24"/>
                <w14:textFill>
                  <w14:solidFill>
                    <w14:schemeClr w14:val="tx1"/>
                  </w14:solidFill>
                </w14:textFill>
              </w:rPr>
              <w:t>。</w:t>
            </w:r>
          </w:p>
          <w:p>
            <w:pPr>
              <w:spacing w:line="360" w:lineRule="auto"/>
              <w:ind w:firstLine="480" w:firstLineChars="200"/>
              <w:rPr>
                <w:color w:val="000000" w:themeColor="text1"/>
                <w:kern w:val="0"/>
                <w:sz w:val="24"/>
                <w:szCs w:val="24"/>
                <w:lang w:val="en-GB"/>
                <w14:textFill>
                  <w14:solidFill>
                    <w14:schemeClr w14:val="tx1"/>
                  </w14:solidFill>
                </w14:textFill>
              </w:rPr>
            </w:pPr>
            <w:r>
              <w:rPr>
                <w:color w:val="000000" w:themeColor="text1"/>
                <w:kern w:val="0"/>
                <w:sz w:val="24"/>
                <w:szCs w:val="24"/>
                <w:lang w:val="en-GB"/>
                <w14:textFill>
                  <w14:solidFill>
                    <w14:schemeClr w14:val="tx1"/>
                  </w14:solidFill>
                </w14:textFill>
              </w:rPr>
              <w:t>（</w:t>
            </w:r>
            <w:r>
              <w:rPr>
                <w:color w:val="000000" w:themeColor="text1"/>
                <w:kern w:val="0"/>
                <w:sz w:val="24"/>
                <w:szCs w:val="24"/>
                <w14:textFill>
                  <w14:solidFill>
                    <w14:schemeClr w14:val="tx1"/>
                  </w14:solidFill>
                </w14:textFill>
              </w:rPr>
              <w:t>3</w:t>
            </w:r>
            <w:r>
              <w:rPr>
                <w:color w:val="000000" w:themeColor="text1"/>
                <w:kern w:val="0"/>
                <w:sz w:val="24"/>
                <w:szCs w:val="24"/>
                <w:lang w:val="en-GB"/>
                <w14:textFill>
                  <w14:solidFill>
                    <w14:schemeClr w14:val="tx1"/>
                  </w14:solidFill>
                </w14:textFill>
              </w:rPr>
              <w:t>）覆土</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在平整后的场地表层进行覆土，覆土工程采用机械设备为一台59kw推土机、一台挖掘机和3台5t自卸汽车，覆土来源为</w:t>
            </w:r>
            <w:r>
              <w:rPr>
                <w:rFonts w:hint="eastAsia"/>
                <w:sz w:val="24"/>
                <w:szCs w:val="24"/>
              </w:rPr>
              <w:t>东乡县达板镇龙凤建材厂粘土矿</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覆土</w:t>
            </w:r>
            <w:r>
              <w:rPr>
                <w:color w:val="000000" w:themeColor="text1"/>
                <w:kern w:val="0"/>
                <w:sz w:val="24"/>
                <w:szCs w:val="24"/>
                <w14:textFill>
                  <w14:solidFill>
                    <w14:schemeClr w14:val="tx1"/>
                  </w14:solidFill>
                </w14:textFill>
              </w:rPr>
              <w:t>时可添加有机肥</w:t>
            </w:r>
            <w:r>
              <w:rPr>
                <w:rFonts w:hint="eastAsia"/>
                <w:color w:val="000000" w:themeColor="text1"/>
                <w:kern w:val="0"/>
                <w:sz w:val="24"/>
                <w:szCs w:val="24"/>
                <w14:textFill>
                  <w14:solidFill>
                    <w14:schemeClr w14:val="tx1"/>
                  </w14:solidFill>
                </w14:textFill>
              </w:rPr>
              <w:t>，</w:t>
            </w:r>
            <w:r>
              <w:rPr>
                <w:color w:val="000000" w:themeColor="text1"/>
                <w:kern w:val="0"/>
                <w:sz w:val="24"/>
                <w:szCs w:val="24"/>
                <w14:textFill>
                  <w14:solidFill>
                    <w14:schemeClr w14:val="tx1"/>
                  </w14:solidFill>
                </w14:textFill>
              </w:rPr>
              <w:t>增加土壤有机含量。根据场地旱地的复垦方向，结合土地复垦质量要求，覆土厚度按0.</w:t>
            </w: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0m计，覆土面积为</w:t>
            </w:r>
            <w:r>
              <w:rPr>
                <w:rFonts w:hint="eastAsia"/>
                <w:color w:val="000000" w:themeColor="text1"/>
                <w:kern w:val="0"/>
                <w:sz w:val="24"/>
                <w:szCs w:val="24"/>
                <w14:textFill>
                  <w14:solidFill>
                    <w14:schemeClr w14:val="tx1"/>
                  </w14:solidFill>
                </w14:textFill>
              </w:rPr>
              <w:t>1.22</w:t>
            </w:r>
            <w:r>
              <w:rPr>
                <w:color w:val="000000" w:themeColor="text1"/>
                <w:kern w:val="0"/>
                <w:sz w:val="24"/>
                <w:szCs w:val="24"/>
                <w14:textFill>
                  <w14:solidFill>
                    <w14:schemeClr w14:val="tx1"/>
                  </w14:solidFill>
                </w14:textFill>
              </w:rPr>
              <w:t>hm</w:t>
            </w:r>
            <w:r>
              <w:rPr>
                <w:color w:val="000000" w:themeColor="text1"/>
                <w:kern w:val="0"/>
                <w:sz w:val="24"/>
                <w:szCs w:val="24"/>
                <w:vertAlign w:val="superscript"/>
                <w14:textFill>
                  <w14:solidFill>
                    <w14:schemeClr w14:val="tx1"/>
                  </w14:solidFill>
                </w14:textFill>
              </w:rPr>
              <w:t>2</w:t>
            </w:r>
            <w:r>
              <w:rPr>
                <w:color w:val="000000" w:themeColor="text1"/>
                <w:kern w:val="0"/>
                <w:sz w:val="24"/>
                <w:szCs w:val="24"/>
                <w14:textFill>
                  <w14:solidFill>
                    <w14:schemeClr w14:val="tx1"/>
                  </w14:solidFill>
                </w14:textFill>
              </w:rPr>
              <w:t>，该区闭矿后共需覆土</w:t>
            </w:r>
            <w:r>
              <w:rPr>
                <w:rFonts w:hint="eastAsia"/>
                <w:color w:val="000000" w:themeColor="text1"/>
                <w:kern w:val="0"/>
                <w:sz w:val="24"/>
                <w:szCs w:val="24"/>
                <w14:textFill>
                  <w14:solidFill>
                    <w14:schemeClr w14:val="tx1"/>
                  </w14:solidFill>
                </w14:textFill>
              </w:rPr>
              <w:t>7320</w:t>
            </w:r>
            <w:r>
              <w:rPr>
                <w:color w:val="000000" w:themeColor="text1"/>
                <w:kern w:val="0"/>
                <w:sz w:val="24"/>
                <w:szCs w:val="24"/>
                <w14:textFill>
                  <w14:solidFill>
                    <w14:schemeClr w14:val="tx1"/>
                  </w14:solidFill>
                </w14:textFill>
              </w:rPr>
              <w:t>m</w:t>
            </w:r>
            <w:r>
              <w:rPr>
                <w:color w:val="000000" w:themeColor="text1"/>
                <w:kern w:val="0"/>
                <w:sz w:val="24"/>
                <w:szCs w:val="24"/>
                <w:vertAlign w:val="superscript"/>
                <w14:textFill>
                  <w14:solidFill>
                    <w14:schemeClr w14:val="tx1"/>
                  </w14:solidFill>
                </w14:textFill>
              </w:rPr>
              <w:t>3</w:t>
            </w:r>
            <w:r>
              <w:rPr>
                <w:color w:val="000000" w:themeColor="text1"/>
                <w:kern w:val="0"/>
                <w:sz w:val="24"/>
                <w:szCs w:val="24"/>
                <w14:textFill>
                  <w14:solidFill>
                    <w14:schemeClr w14:val="tx1"/>
                  </w14:solidFill>
                </w14:textFill>
              </w:rPr>
              <w:t>。</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4</w:t>
            </w:r>
            <w:r>
              <w:rPr>
                <w:color w:val="000000" w:themeColor="text1"/>
                <w:kern w:val="0"/>
                <w:sz w:val="24"/>
                <w:szCs w:val="24"/>
                <w14:textFill>
                  <w14:solidFill>
                    <w14:schemeClr w14:val="tx1"/>
                  </w14:solidFill>
                </w14:textFill>
              </w:rPr>
              <w:t>）植草绿化</w:t>
            </w:r>
          </w:p>
          <w:p>
            <w:pPr>
              <w:pStyle w:val="14"/>
              <w:spacing w:line="360" w:lineRule="auto"/>
              <w:ind w:firstLine="200"/>
              <w:rPr>
                <w:rFonts w:ascii="Times New Roman" w:hAnsi="Times New Roman"/>
                <w:color w:val="000000" w:themeColor="text1"/>
                <w:kern w:val="0"/>
                <w:sz w:val="24"/>
                <w:szCs w:val="24"/>
                <w14:textFill>
                  <w14:solidFill>
                    <w14:schemeClr w14:val="tx1"/>
                  </w14:solidFill>
                </w14:textFill>
              </w:rPr>
            </w:pPr>
            <w:r>
              <w:rPr>
                <w:rFonts w:ascii="Times New Roman" w:hAnsi="Times New Roman"/>
                <w:color w:val="000000" w:themeColor="text1"/>
                <w:kern w:val="0"/>
                <w:sz w:val="24"/>
                <w:szCs w:val="24"/>
                <w14:textFill>
                  <w14:solidFill>
                    <w14:schemeClr w14:val="tx1"/>
                  </w14:solidFill>
                </w14:textFill>
              </w:rPr>
              <w:t>场地平整、覆土等工程结束后，为了使该部分用地尽快恢复到之前的植被覆盖水平和减少新的水土流失，在该单元覆土场地播撒草籽绿化，草籽选择适宜当地气候和土壤环境的植物草籽。播撒密度按10kg/hm</w:t>
            </w:r>
            <w:r>
              <w:rPr>
                <w:rFonts w:ascii="Times New Roman" w:hAnsi="Times New Roman"/>
                <w:color w:val="000000" w:themeColor="text1"/>
                <w:kern w:val="0"/>
                <w:sz w:val="24"/>
                <w:szCs w:val="24"/>
                <w:vertAlign w:val="superscript"/>
                <w14:textFill>
                  <w14:solidFill>
                    <w14:schemeClr w14:val="tx1"/>
                  </w14:solidFill>
                </w14:textFill>
              </w:rPr>
              <w:t>2</w:t>
            </w:r>
            <w:r>
              <w:rPr>
                <w:rFonts w:ascii="Times New Roman" w:hAnsi="Times New Roman"/>
                <w:color w:val="000000" w:themeColor="text1"/>
                <w:kern w:val="0"/>
                <w:sz w:val="24"/>
                <w:szCs w:val="24"/>
                <w14:textFill>
                  <w14:solidFill>
                    <w14:schemeClr w14:val="tx1"/>
                  </w14:solidFill>
                </w14:textFill>
              </w:rPr>
              <w:t>，播撒草籽季节宜选择春季进行，该区闭矿后共需草籽</w:t>
            </w:r>
            <w:r>
              <w:rPr>
                <w:rFonts w:hint="eastAsia" w:ascii="Times New Roman" w:hAnsi="Times New Roman"/>
                <w:color w:val="000000" w:themeColor="text1"/>
                <w:kern w:val="0"/>
                <w:sz w:val="24"/>
                <w:szCs w:val="24"/>
                <w14:textFill>
                  <w14:solidFill>
                    <w14:schemeClr w14:val="tx1"/>
                  </w14:solidFill>
                </w14:textFill>
              </w:rPr>
              <w:t>12.2</w:t>
            </w:r>
            <w:r>
              <w:rPr>
                <w:rFonts w:ascii="Times New Roman" w:hAnsi="Times New Roman"/>
                <w:color w:val="000000" w:themeColor="text1"/>
                <w:kern w:val="0"/>
                <w:sz w:val="24"/>
                <w:szCs w:val="24"/>
                <w14:textFill>
                  <w14:solidFill>
                    <w14:schemeClr w14:val="tx1"/>
                  </w14:solidFill>
                </w14:textFill>
              </w:rPr>
              <w:t>kg。</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矿山道路评价单元复垦设计</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（1）场地平整</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闭矿后对矿山道路进行场地平整，平整过程中将粗颗粒置于底部，将细颗粒置于顶部并碾压整平，平整面积为</w:t>
            </w:r>
            <w:r>
              <w:rPr>
                <w:rFonts w:hint="eastAsia"/>
                <w:color w:val="000000" w:themeColor="text1"/>
                <w:sz w:val="24"/>
                <w:szCs w:val="24"/>
                <w14:textFill>
                  <w14:solidFill>
                    <w14:schemeClr w14:val="tx1"/>
                  </w14:solidFill>
                </w14:textFill>
              </w:rPr>
              <w:t>1.01</w:t>
            </w:r>
            <w:r>
              <w:rPr>
                <w:color w:val="000000" w:themeColor="text1"/>
                <w:sz w:val="24"/>
                <w:szCs w:val="24"/>
                <w14:textFill>
                  <w14:solidFill>
                    <w14:schemeClr w14:val="tx1"/>
                  </w14:solidFill>
                </w14:textFill>
              </w:rPr>
              <w:t>hm</w:t>
            </w:r>
            <w:r>
              <w:rPr>
                <w:color w:val="000000" w:themeColor="text1"/>
                <w:sz w:val="24"/>
                <w:szCs w:val="24"/>
                <w:vertAlign w:val="superscript"/>
                <w14:textFill>
                  <w14:solidFill>
                    <w14:schemeClr w14:val="tx1"/>
                  </w14:solidFill>
                </w14:textFill>
              </w:rPr>
              <w:t>2</w:t>
            </w:r>
            <w:r>
              <w:rPr>
                <w:color w:val="000000" w:themeColor="text1"/>
                <w:sz w:val="24"/>
                <w:szCs w:val="24"/>
                <w14:textFill>
                  <w14:solidFill>
                    <w14:schemeClr w14:val="tx1"/>
                  </w14:solidFill>
                </w14:textFill>
              </w:rPr>
              <w:t>，压实平整厚度按0.10m计算，平整土方量为</w:t>
            </w:r>
            <w:r>
              <w:rPr>
                <w:rFonts w:hint="eastAsia"/>
                <w:color w:val="000000" w:themeColor="text1"/>
                <w:sz w:val="24"/>
                <w:szCs w:val="24"/>
                <w14:textFill>
                  <w14:solidFill>
                    <w14:schemeClr w14:val="tx1"/>
                  </w14:solidFill>
                </w14:textFill>
              </w:rPr>
              <w:t>1010</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w:t>
            </w:r>
          </w:p>
          <w:p>
            <w:pPr>
              <w:spacing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（2）覆土</w:t>
            </w:r>
          </w:p>
          <w:p>
            <w:pPr>
              <w:spacing w:line="360" w:lineRule="auto"/>
              <w:ind w:firstLine="480" w:firstLineChars="200"/>
              <w:rPr>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矿山道路压实平整完成后进行覆土，覆土工程采用机械设备为一台59kw推土机、一台挖掘机和3台5t自卸汽车，覆土来源为</w:t>
            </w:r>
            <w:r>
              <w:rPr>
                <w:rFonts w:hint="eastAsia"/>
                <w:sz w:val="24"/>
                <w:szCs w:val="24"/>
              </w:rPr>
              <w:t>东乡县达板镇龙凤建材厂粘土矿</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覆土</w:t>
            </w:r>
            <w:r>
              <w:rPr>
                <w:color w:val="000000" w:themeColor="text1"/>
                <w:kern w:val="0"/>
                <w:sz w:val="24"/>
                <w:szCs w:val="24"/>
                <w14:textFill>
                  <w14:solidFill>
                    <w14:schemeClr w14:val="tx1"/>
                  </w14:solidFill>
                </w14:textFill>
              </w:rPr>
              <w:t>时可添加有机肥</w:t>
            </w:r>
            <w:r>
              <w:rPr>
                <w:rFonts w:hint="eastAsia"/>
                <w:color w:val="000000" w:themeColor="text1"/>
                <w:kern w:val="0"/>
                <w:sz w:val="24"/>
                <w:szCs w:val="24"/>
                <w14:textFill>
                  <w14:solidFill>
                    <w14:schemeClr w14:val="tx1"/>
                  </w14:solidFill>
                </w14:textFill>
              </w:rPr>
              <w:t>，</w:t>
            </w:r>
            <w:r>
              <w:rPr>
                <w:color w:val="000000" w:themeColor="text1"/>
                <w:kern w:val="0"/>
                <w:sz w:val="24"/>
                <w:szCs w:val="24"/>
                <w14:textFill>
                  <w14:solidFill>
                    <w14:schemeClr w14:val="tx1"/>
                  </w14:solidFill>
                </w14:textFill>
              </w:rPr>
              <w:t>增加土壤有机含量。根据场地其他草地的复垦方向，结合土地复垦质量要求，覆土厚度按0.</w:t>
            </w:r>
            <w:r>
              <w:rPr>
                <w:rFonts w:hint="eastAsia"/>
                <w:color w:val="000000" w:themeColor="text1"/>
                <w:kern w:val="0"/>
                <w:sz w:val="24"/>
                <w:szCs w:val="24"/>
                <w14:textFill>
                  <w14:solidFill>
                    <w14:schemeClr w14:val="tx1"/>
                  </w14:solidFill>
                </w14:textFill>
              </w:rPr>
              <w:t>6</w:t>
            </w:r>
            <w:r>
              <w:rPr>
                <w:color w:val="000000" w:themeColor="text1"/>
                <w:kern w:val="0"/>
                <w:sz w:val="24"/>
                <w:szCs w:val="24"/>
                <w14:textFill>
                  <w14:solidFill>
                    <w14:schemeClr w14:val="tx1"/>
                  </w14:solidFill>
                </w14:textFill>
              </w:rPr>
              <w:t>0m计，覆土面积为1.</w:t>
            </w:r>
            <w:r>
              <w:rPr>
                <w:rFonts w:hint="eastAsia"/>
                <w:color w:val="000000" w:themeColor="text1"/>
                <w:kern w:val="0"/>
                <w:sz w:val="24"/>
                <w:szCs w:val="24"/>
                <w14:textFill>
                  <w14:solidFill>
                    <w14:schemeClr w14:val="tx1"/>
                  </w14:solidFill>
                </w14:textFill>
              </w:rPr>
              <w:t>01</w:t>
            </w:r>
            <w:r>
              <w:rPr>
                <w:color w:val="000000" w:themeColor="text1"/>
                <w:kern w:val="0"/>
                <w:sz w:val="24"/>
                <w:szCs w:val="24"/>
                <w14:textFill>
                  <w14:solidFill>
                    <w14:schemeClr w14:val="tx1"/>
                  </w14:solidFill>
                </w14:textFill>
              </w:rPr>
              <w:t>hm</w:t>
            </w:r>
            <w:r>
              <w:rPr>
                <w:color w:val="000000" w:themeColor="text1"/>
                <w:kern w:val="0"/>
                <w:sz w:val="24"/>
                <w:szCs w:val="24"/>
                <w:vertAlign w:val="superscript"/>
                <w14:textFill>
                  <w14:solidFill>
                    <w14:schemeClr w14:val="tx1"/>
                  </w14:solidFill>
                </w14:textFill>
              </w:rPr>
              <w:t>2</w:t>
            </w:r>
            <w:r>
              <w:rPr>
                <w:color w:val="000000" w:themeColor="text1"/>
                <w:kern w:val="0"/>
                <w:sz w:val="24"/>
                <w:szCs w:val="24"/>
                <w14:textFill>
                  <w14:solidFill>
                    <w14:schemeClr w14:val="tx1"/>
                  </w14:solidFill>
                </w14:textFill>
              </w:rPr>
              <w:t>，该区闭矿后共需覆土</w:t>
            </w:r>
            <w:r>
              <w:rPr>
                <w:rFonts w:hint="eastAsia"/>
                <w:color w:val="000000" w:themeColor="text1"/>
                <w:kern w:val="0"/>
                <w:sz w:val="24"/>
                <w:szCs w:val="24"/>
                <w14:textFill>
                  <w14:solidFill>
                    <w14:schemeClr w14:val="tx1"/>
                  </w14:solidFill>
                </w14:textFill>
              </w:rPr>
              <w:t>6060</w:t>
            </w:r>
            <w:r>
              <w:rPr>
                <w:color w:val="000000" w:themeColor="text1"/>
                <w:kern w:val="0"/>
                <w:sz w:val="24"/>
                <w:szCs w:val="24"/>
                <w14:textFill>
                  <w14:solidFill>
                    <w14:schemeClr w14:val="tx1"/>
                  </w14:solidFill>
                </w14:textFill>
              </w:rPr>
              <w:t>m</w:t>
            </w:r>
            <w:r>
              <w:rPr>
                <w:color w:val="000000" w:themeColor="text1"/>
                <w:kern w:val="0"/>
                <w:sz w:val="24"/>
                <w:szCs w:val="24"/>
                <w:vertAlign w:val="superscript"/>
                <w14:textFill>
                  <w14:solidFill>
                    <w14:schemeClr w14:val="tx1"/>
                  </w14:solidFill>
                </w14:textFill>
              </w:rPr>
              <w:t>3</w:t>
            </w:r>
            <w:r>
              <w:rPr>
                <w:color w:val="000000" w:themeColor="text1"/>
                <w:kern w:val="0"/>
                <w:sz w:val="24"/>
                <w:szCs w:val="24"/>
                <w14:textFill>
                  <w14:solidFill>
                    <w14:schemeClr w14:val="tx1"/>
                  </w14:solidFill>
                </w14:textFill>
              </w:rPr>
              <w:t>。</w:t>
            </w:r>
          </w:p>
          <w:p>
            <w:pPr>
              <w:spacing w:line="360" w:lineRule="auto"/>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（3）植草绿化</w:t>
            </w:r>
          </w:p>
          <w:p>
            <w:pPr>
              <w:adjustRightInd w:val="0"/>
              <w:snapToGrid w:val="0"/>
              <w:spacing w:line="360" w:lineRule="auto"/>
              <w:ind w:firstLine="480" w:firstLineChars="200"/>
              <w:rPr>
                <w:rFonts w:ascii="宋体" w:hAnsi="宋体"/>
                <w:spacing w:val="0"/>
                <w:sz w:val="24"/>
                <w:szCs w:val="24"/>
                <w:highlight w:val="yellow"/>
                <w:lang w:val="en-US" w:eastAsia="zh-CN"/>
              </w:rPr>
            </w:pPr>
            <w:r>
              <w:rPr>
                <w:color w:val="000000" w:themeColor="text1"/>
                <w:kern w:val="0"/>
                <w:sz w:val="24"/>
                <w:szCs w:val="24"/>
                <w14:textFill>
                  <w14:solidFill>
                    <w14:schemeClr w14:val="tx1"/>
                  </w14:solidFill>
                </w14:textFill>
              </w:rPr>
              <w:t>场地平整、覆土等工程结束后，为了使该部分用地尽快恢复到之前的植被覆盖水平和减少新的水土流失，在该单元覆土场地播撒草籽绿化，草籽选择适宜当地气候和土壤环境的植物草籽。播撒密度按10kg/hm</w:t>
            </w:r>
            <w:r>
              <w:rPr>
                <w:color w:val="000000" w:themeColor="text1"/>
                <w:kern w:val="0"/>
                <w:sz w:val="24"/>
                <w:szCs w:val="24"/>
                <w:vertAlign w:val="superscript"/>
                <w14:textFill>
                  <w14:solidFill>
                    <w14:schemeClr w14:val="tx1"/>
                  </w14:solidFill>
                </w14:textFill>
              </w:rPr>
              <w:t>2</w:t>
            </w:r>
            <w:r>
              <w:rPr>
                <w:color w:val="000000" w:themeColor="text1"/>
                <w:kern w:val="0"/>
                <w:sz w:val="24"/>
                <w:szCs w:val="24"/>
                <w14:textFill>
                  <w14:solidFill>
                    <w14:schemeClr w14:val="tx1"/>
                  </w14:solidFill>
                </w14:textFill>
              </w:rPr>
              <w:t>，播撒草籽季节宜选择春季进行，该区闭矿后共需草籽</w:t>
            </w:r>
            <w:r>
              <w:rPr>
                <w:rFonts w:hint="eastAsia"/>
                <w:color w:val="000000" w:themeColor="text1"/>
                <w:kern w:val="0"/>
                <w:sz w:val="24"/>
                <w:szCs w:val="24"/>
                <w14:textFill>
                  <w14:solidFill>
                    <w14:schemeClr w14:val="tx1"/>
                  </w14:solidFill>
                </w14:textFill>
              </w:rPr>
              <w:t>10.1</w:t>
            </w:r>
            <w:r>
              <w:rPr>
                <w:color w:val="000000" w:themeColor="text1"/>
                <w:kern w:val="0"/>
                <w:sz w:val="24"/>
                <w:szCs w:val="24"/>
                <w14:textFill>
                  <w14:solidFill>
                    <w14:schemeClr w14:val="tx1"/>
                  </w14:solidFill>
                </w14:textFill>
              </w:rPr>
              <w:t>kg。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441" w:type="dxa"/>
            <w:noWrap w:val="0"/>
            <w:vAlign w:val="center"/>
          </w:tcPr>
          <w:p>
            <w:pPr>
              <w:adjustRightInd w:val="0"/>
              <w:snapToGrid w:val="0"/>
              <w:jc w:val="center"/>
              <w:rPr>
                <w:bCs/>
                <w:spacing w:val="10"/>
                <w:szCs w:val="21"/>
                <w:highlight w:val="yellow"/>
              </w:rPr>
            </w:pPr>
            <w:r>
              <w:rPr>
                <w:bCs/>
                <w:szCs w:val="21"/>
              </w:rPr>
              <w:t>其他</w:t>
            </w:r>
          </w:p>
        </w:tc>
        <w:tc>
          <w:tcPr>
            <w:tcW w:w="8978" w:type="dxa"/>
            <w:noWrap w:val="0"/>
            <w:vAlign w:val="top"/>
          </w:tcPr>
          <w:p>
            <w:pPr>
              <w:adjustRightInd w:val="0"/>
              <w:snapToGrid w:val="0"/>
              <w:spacing w:line="360" w:lineRule="auto"/>
              <w:rPr>
                <w:rFonts w:hint="eastAsia" w:eastAsia="宋体"/>
                <w:bCs/>
                <w:spacing w:val="10"/>
                <w:szCs w:val="21"/>
                <w:highlight w:val="yellow"/>
                <w:lang w:eastAsia="zh-CN"/>
              </w:rPr>
            </w:pPr>
            <w:r>
              <w:rPr>
                <w:rFonts w:hint="eastAsia"/>
                <w:bCs/>
                <w:spacing w:val="10"/>
                <w:szCs w:val="21"/>
                <w:highlight w:val="none"/>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441" w:type="dxa"/>
            <w:noWrap w:val="0"/>
            <w:vAlign w:val="center"/>
          </w:tcPr>
          <w:p>
            <w:pPr>
              <w:adjustRightInd w:val="0"/>
              <w:snapToGrid w:val="0"/>
              <w:jc w:val="center"/>
              <w:rPr>
                <w:bCs/>
                <w:spacing w:val="10"/>
                <w:szCs w:val="21"/>
                <w:highlight w:val="yellow"/>
              </w:rPr>
            </w:pPr>
            <w:r>
              <w:rPr>
                <w:bCs/>
                <w:szCs w:val="21"/>
              </w:rPr>
              <w:t>环保投资</w:t>
            </w:r>
          </w:p>
        </w:tc>
        <w:tc>
          <w:tcPr>
            <w:tcW w:w="8978" w:type="dxa"/>
            <w:noWrap w:val="0"/>
            <w:vAlign w:val="top"/>
          </w:tcPr>
          <w:p>
            <w:pPr>
              <w:pStyle w:val="8"/>
              <w:adjustRightInd w:val="0"/>
              <w:snapToGrid w:val="0"/>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此次扩建项目总投资为3500万元，其中环保投资83.1万元，占总投资的2.37%，具体环保投资情况见表5-</w:t>
            </w:r>
            <w:r>
              <w:rPr>
                <w:rFonts w:hint="eastAsia" w:ascii="Times New Roman" w:hAnsi="Times New Roman" w:cs="Times New Roman"/>
                <w:sz w:val="24"/>
                <w:szCs w:val="24"/>
                <w:lang w:val="en-US" w:eastAsia="zh-CN"/>
              </w:rPr>
              <w:t>4</w:t>
            </w:r>
            <w:r>
              <w:rPr>
                <w:rFonts w:hint="default" w:ascii="Times New Roman" w:hAnsi="Times New Roman" w:eastAsia="宋体" w:cs="Times New Roman"/>
                <w:sz w:val="24"/>
                <w:szCs w:val="24"/>
                <w:lang w:val="en-US" w:eastAsia="zh-CN"/>
              </w:rPr>
              <w:t>。</w:t>
            </w:r>
          </w:p>
          <w:p>
            <w:pPr>
              <w:pStyle w:val="8"/>
              <w:adjustRightInd w:val="0"/>
              <w:snapToGrid w:val="0"/>
              <w:ind w:firstLine="542"/>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rPr>
              <w:t>表</w:t>
            </w:r>
            <w:r>
              <w:rPr>
                <w:rFonts w:hint="default" w:ascii="Times New Roman" w:hAnsi="Times New Roman" w:eastAsia="宋体" w:cs="Times New Roman"/>
                <w:b/>
                <w:bCs/>
                <w:sz w:val="24"/>
                <w:szCs w:val="24"/>
                <w:lang w:val="en-US" w:eastAsia="zh-CN"/>
              </w:rPr>
              <w:t>5-</w:t>
            </w:r>
            <w:r>
              <w:rPr>
                <w:rFonts w:hint="eastAsia" w:ascii="Times New Roman" w:hAnsi="Times New Roman" w:cs="Times New Roman"/>
                <w:b/>
                <w:bCs/>
                <w:sz w:val="24"/>
                <w:szCs w:val="24"/>
                <w:lang w:val="en-US" w:eastAsia="zh-CN"/>
              </w:rPr>
              <w:t>4</w:t>
            </w:r>
            <w:r>
              <w:rPr>
                <w:rFonts w:hint="default" w:ascii="Times New Roman" w:hAnsi="Times New Roman" w:eastAsia="宋体" w:cs="Times New Roman"/>
                <w:b/>
                <w:bCs/>
                <w:sz w:val="24"/>
                <w:szCs w:val="24"/>
              </w:rPr>
              <w:t xml:space="preserve"> </w:t>
            </w:r>
            <w:r>
              <w:rPr>
                <w:rFonts w:hint="default" w:ascii="Times New Roman" w:hAnsi="Times New Roman" w:eastAsia="宋体" w:cs="Times New Roman"/>
                <w:b/>
                <w:bCs/>
                <w:sz w:val="24"/>
                <w:szCs w:val="24"/>
                <w:lang w:eastAsia="zh-CN"/>
              </w:rPr>
              <w:t xml:space="preserve">             </w:t>
            </w:r>
            <w:r>
              <w:rPr>
                <w:rFonts w:hint="default" w:ascii="Times New Roman" w:hAnsi="Times New Roman" w:eastAsia="宋体" w:cs="Times New Roman"/>
                <w:b/>
                <w:bCs/>
                <w:sz w:val="24"/>
                <w:szCs w:val="24"/>
              </w:rPr>
              <w:t xml:space="preserve"> 环保投资一览表</w:t>
            </w:r>
          </w:p>
          <w:tbl>
            <w:tblPr>
              <w:tblStyle w:val="28"/>
              <w:tblW w:w="48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35"/>
              <w:gridCol w:w="689"/>
              <w:gridCol w:w="94"/>
              <w:gridCol w:w="1410"/>
              <w:gridCol w:w="3267"/>
              <w:gridCol w:w="1338"/>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noWrap w:val="0"/>
                  <w:tcMar>
                    <w:top w:w="0" w:type="dxa"/>
                    <w:left w:w="28" w:type="dxa"/>
                    <w:bottom w:w="0" w:type="dxa"/>
                    <w:right w:w="28" w:type="dxa"/>
                  </w:tcMar>
                  <w:vAlign w:val="center"/>
                </w:tcPr>
                <w:p>
                  <w:pPr>
                    <w:adjustRightInd w:val="0"/>
                    <w:snapToGrid w:val="0"/>
                    <w:jc w:val="center"/>
                  </w:pPr>
                  <w:r>
                    <w:t>类别</w:t>
                  </w:r>
                </w:p>
              </w:tc>
              <w:tc>
                <w:tcPr>
                  <w:tcW w:w="1280" w:type="pct"/>
                  <w:gridSpan w:val="3"/>
                  <w:noWrap w:val="0"/>
                  <w:tcMar>
                    <w:top w:w="0" w:type="dxa"/>
                    <w:left w:w="28" w:type="dxa"/>
                    <w:bottom w:w="0" w:type="dxa"/>
                    <w:right w:w="28" w:type="dxa"/>
                  </w:tcMar>
                  <w:vAlign w:val="center"/>
                </w:tcPr>
                <w:p>
                  <w:pPr>
                    <w:adjustRightInd w:val="0"/>
                    <w:snapToGrid w:val="0"/>
                    <w:jc w:val="center"/>
                    <w:rPr>
                      <w:rFonts w:hint="eastAsia"/>
                      <w:lang w:eastAsia="zh-CN"/>
                    </w:rPr>
                  </w:pPr>
                  <w:r>
                    <w:rPr>
                      <w:rFonts w:hint="eastAsia"/>
                      <w:lang w:val="en-US" w:eastAsia="zh-CN"/>
                    </w:rPr>
                    <w:t>项目</w:t>
                  </w:r>
                </w:p>
              </w:tc>
              <w:tc>
                <w:tcPr>
                  <w:tcW w:w="1907" w:type="pct"/>
                  <w:noWrap w:val="0"/>
                  <w:tcMar>
                    <w:top w:w="0" w:type="dxa"/>
                    <w:left w:w="28" w:type="dxa"/>
                    <w:bottom w:w="0" w:type="dxa"/>
                    <w:right w:w="28" w:type="dxa"/>
                  </w:tcMar>
                  <w:vAlign w:val="center"/>
                </w:tcPr>
                <w:p>
                  <w:pPr>
                    <w:adjustRightInd w:val="0"/>
                    <w:snapToGrid w:val="0"/>
                    <w:jc w:val="center"/>
                  </w:pPr>
                  <w:r>
                    <w:t>污染控制措施</w:t>
                  </w:r>
                </w:p>
              </w:tc>
              <w:tc>
                <w:tcPr>
                  <w:tcW w:w="781" w:type="pct"/>
                  <w:noWrap w:val="0"/>
                  <w:vAlign w:val="center"/>
                </w:tcPr>
                <w:p>
                  <w:pPr>
                    <w:snapToGrid w:val="0"/>
                    <w:jc w:val="center"/>
                    <w:rPr>
                      <w:rFonts w:hint="default"/>
                    </w:rPr>
                  </w:pPr>
                  <w:r>
                    <w:rPr>
                      <w:rFonts w:hint="default"/>
                    </w:rPr>
                    <w:t>投资估算</w:t>
                  </w:r>
                </w:p>
                <w:p>
                  <w:pPr>
                    <w:adjustRightInd w:val="0"/>
                    <w:snapToGrid w:val="0"/>
                    <w:jc w:val="center"/>
                  </w:pPr>
                  <w:r>
                    <w:rPr>
                      <w:rFonts w:hint="default"/>
                    </w:rPr>
                    <w:t>（万元）</w:t>
                  </w:r>
                </w:p>
              </w:tc>
              <w:tc>
                <w:tcPr>
                  <w:tcW w:w="427" w:type="pct"/>
                  <w:noWrap w:val="0"/>
                  <w:vAlign w:val="center"/>
                </w:tcPr>
                <w:p>
                  <w:pPr>
                    <w:adjustRightInd w:val="0"/>
                    <w:snapToGrid w:val="0"/>
                    <w:jc w:val="center"/>
                    <w:rPr>
                      <w:rFonts w:hint="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trPr>
              <w:tc>
                <w:tcPr>
                  <w:tcW w:w="604" w:type="pct"/>
                  <w:vMerge w:val="restart"/>
                  <w:noWrap w:val="0"/>
                  <w:tcMar>
                    <w:top w:w="0" w:type="dxa"/>
                    <w:left w:w="28" w:type="dxa"/>
                    <w:bottom w:w="0" w:type="dxa"/>
                    <w:right w:w="28" w:type="dxa"/>
                  </w:tcMar>
                  <w:vAlign w:val="center"/>
                </w:tcPr>
                <w:p>
                  <w:pPr>
                    <w:adjustRightInd w:val="0"/>
                    <w:snapToGrid w:val="0"/>
                    <w:jc w:val="center"/>
                  </w:pPr>
                  <w:r>
                    <w:t>废气</w:t>
                  </w:r>
                </w:p>
              </w:tc>
              <w:tc>
                <w:tcPr>
                  <w:tcW w:w="457" w:type="pct"/>
                  <w:gridSpan w:val="2"/>
                  <w:noWrap w:val="0"/>
                  <w:tcMar>
                    <w:top w:w="0" w:type="dxa"/>
                    <w:left w:w="28" w:type="dxa"/>
                    <w:bottom w:w="0" w:type="dxa"/>
                    <w:right w:w="28" w:type="dxa"/>
                  </w:tcMar>
                  <w:vAlign w:val="center"/>
                </w:tcPr>
                <w:p>
                  <w:pPr>
                    <w:pStyle w:val="6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pPr>
                  <w:r>
                    <w:rPr>
                      <w:rFonts w:hint="default"/>
                    </w:rPr>
                    <w:t>开采区</w:t>
                  </w:r>
                </w:p>
              </w:tc>
              <w:tc>
                <w:tcPr>
                  <w:tcW w:w="823" w:type="pct"/>
                  <w:noWrap w:val="0"/>
                  <w:tcMar>
                    <w:top w:w="0" w:type="dxa"/>
                    <w:left w:w="28" w:type="dxa"/>
                    <w:bottom w:w="0" w:type="dxa"/>
                    <w:right w:w="28" w:type="dxa"/>
                  </w:tcMar>
                  <w:vAlign w:val="center"/>
                </w:tcPr>
                <w:p>
                  <w:pPr>
                    <w:pStyle w:val="62"/>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center"/>
                    <w:textAlignment w:val="auto"/>
                    <w:rPr>
                      <w:rFonts w:hint="default"/>
                    </w:rPr>
                  </w:pPr>
                  <w:r>
                    <w:rPr>
                      <w:rFonts w:hint="default"/>
                    </w:rPr>
                    <w:t>砂石料铲装粉尘、表土</w:t>
                  </w:r>
                </w:p>
                <w:p>
                  <w:pPr>
                    <w:pStyle w:val="6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rPr>
                  </w:pPr>
                  <w:r>
                    <w:rPr>
                      <w:rFonts w:hint="default"/>
                    </w:rPr>
                    <w:t>剥离粉尘</w:t>
                  </w:r>
                  <w:r>
                    <w:rPr>
                      <w:rFonts w:hint="eastAsia"/>
                      <w:lang w:eastAsia="zh-CN"/>
                    </w:rPr>
                    <w:t>、运输扬尘</w:t>
                  </w:r>
                </w:p>
              </w:tc>
              <w:tc>
                <w:tcPr>
                  <w:tcW w:w="1907" w:type="pct"/>
                  <w:noWrap w:val="0"/>
                  <w:tcMar>
                    <w:top w:w="0" w:type="dxa"/>
                    <w:left w:w="28" w:type="dxa"/>
                    <w:bottom w:w="0" w:type="dxa"/>
                    <w:right w:w="28" w:type="dxa"/>
                  </w:tcMar>
                  <w:vAlign w:val="center"/>
                </w:tcPr>
                <w:p>
                  <w:pPr>
                    <w:pStyle w:val="6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lang w:val="en-US" w:eastAsia="zh-CN"/>
                    </w:rPr>
                  </w:pPr>
                  <w:r>
                    <w:rPr>
                      <w:rFonts w:hint="eastAsia"/>
                      <w:lang w:eastAsia="zh-CN"/>
                    </w:rPr>
                    <w:t>开采区设置雾炮机</w:t>
                  </w:r>
                  <w:r>
                    <w:rPr>
                      <w:rFonts w:hint="eastAsia"/>
                      <w:lang w:val="en-US" w:eastAsia="zh-CN"/>
                    </w:rPr>
                    <w:t>1</w:t>
                  </w:r>
                  <w:r>
                    <w:rPr>
                      <w:rFonts w:hint="eastAsia"/>
                      <w:lang w:eastAsia="zh-CN"/>
                    </w:rPr>
                    <w:t>台，并</w:t>
                  </w:r>
                  <w:r>
                    <w:rPr>
                      <w:rFonts w:hint="default"/>
                    </w:rPr>
                    <w:t>设置</w:t>
                  </w:r>
                  <w:r>
                    <w:rPr>
                      <w:rFonts w:hint="eastAsia"/>
                      <w:lang w:val="en-US" w:eastAsia="zh-CN"/>
                    </w:rPr>
                    <w:t>1</w:t>
                  </w:r>
                  <w:r>
                    <w:rPr>
                      <w:rFonts w:hint="default"/>
                    </w:rPr>
                    <w:t>辆洒水车对开采区</w:t>
                  </w:r>
                  <w:r>
                    <w:rPr>
                      <w:rFonts w:hint="eastAsia"/>
                      <w:lang w:val="en-US" w:eastAsia="zh-CN"/>
                    </w:rPr>
                    <w:t>作业面</w:t>
                  </w:r>
                  <w:r>
                    <w:rPr>
                      <w:rFonts w:hint="default"/>
                    </w:rPr>
                    <w:t>及运输道路定期进行洒水降尘</w:t>
                  </w:r>
                  <w:r>
                    <w:rPr>
                      <w:rFonts w:hint="eastAsia"/>
                      <w:lang w:eastAsia="zh-CN"/>
                    </w:rPr>
                    <w:t>，</w:t>
                  </w:r>
                  <w:r>
                    <w:rPr>
                      <w:rFonts w:hint="eastAsia"/>
                      <w:lang w:val="en-US" w:eastAsia="zh-CN"/>
                    </w:rPr>
                    <w:t>并进行抑尘网遮盖</w:t>
                  </w:r>
                </w:p>
              </w:tc>
              <w:tc>
                <w:tcPr>
                  <w:tcW w:w="781" w:type="pct"/>
                  <w:noWrap w:val="0"/>
                  <w:vAlign w:val="center"/>
                </w:tcPr>
                <w:p>
                  <w:pPr>
                    <w:adjustRightInd w:val="0"/>
                    <w:snapToGrid w:val="0"/>
                    <w:jc w:val="center"/>
                    <w:rPr>
                      <w:rFonts w:hint="default"/>
                      <w:lang w:val="en-US" w:eastAsia="zh-CN"/>
                    </w:rPr>
                  </w:pPr>
                  <w:r>
                    <w:rPr>
                      <w:rFonts w:hint="eastAsia"/>
                      <w:lang w:val="en-US" w:eastAsia="zh-CN"/>
                    </w:rPr>
                    <w:t>5.4</w:t>
                  </w:r>
                </w:p>
              </w:tc>
              <w:tc>
                <w:tcPr>
                  <w:tcW w:w="427" w:type="pct"/>
                  <w:noWrap w:val="0"/>
                  <w:vAlign w:val="center"/>
                </w:tcPr>
                <w:p>
                  <w:pPr>
                    <w:adjustRightInd w:val="0"/>
                    <w:snapToGrid w:val="0"/>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92" w:hRule="atLeast"/>
              </w:trPr>
              <w:tc>
                <w:tcPr>
                  <w:tcW w:w="604" w:type="pct"/>
                  <w:vMerge w:val="continue"/>
                  <w:noWrap w:val="0"/>
                  <w:vAlign w:val="center"/>
                </w:tcPr>
                <w:p>
                  <w:pPr>
                    <w:widowControl/>
                    <w:jc w:val="left"/>
                  </w:pPr>
                </w:p>
              </w:tc>
              <w:tc>
                <w:tcPr>
                  <w:tcW w:w="457" w:type="pct"/>
                  <w:gridSpan w:val="2"/>
                  <w:vMerge w:val="restart"/>
                  <w:noWrap w:val="0"/>
                  <w:tcMar>
                    <w:top w:w="0" w:type="dxa"/>
                    <w:left w:w="28" w:type="dxa"/>
                    <w:bottom w:w="0" w:type="dxa"/>
                    <w:right w:w="28" w:type="dxa"/>
                  </w:tcMar>
                  <w:vAlign w:val="center"/>
                </w:tcPr>
                <w:p>
                  <w:pPr>
                    <w:adjustRightInd w:val="0"/>
                    <w:snapToGrid w:val="0"/>
                    <w:jc w:val="center"/>
                    <w:rPr>
                      <w:rFonts w:hint="eastAsia"/>
                      <w:lang w:eastAsia="zh-CN"/>
                    </w:rPr>
                  </w:pPr>
                  <w:r>
                    <w:rPr>
                      <w:rFonts w:hint="eastAsia"/>
                      <w:lang w:val="en-US" w:eastAsia="zh-CN"/>
                    </w:rPr>
                    <w:t>加工区</w:t>
                  </w:r>
                </w:p>
              </w:tc>
              <w:tc>
                <w:tcPr>
                  <w:tcW w:w="823" w:type="pct"/>
                  <w:noWrap w:val="0"/>
                  <w:tcMar>
                    <w:top w:w="0" w:type="dxa"/>
                    <w:left w:w="28" w:type="dxa"/>
                    <w:bottom w:w="0" w:type="dxa"/>
                    <w:right w:w="28" w:type="dxa"/>
                  </w:tcMar>
                  <w:vAlign w:val="center"/>
                </w:tcPr>
                <w:p>
                  <w:pPr>
                    <w:autoSpaceDE w:val="0"/>
                    <w:autoSpaceDN w:val="0"/>
                    <w:adjustRightInd w:val="0"/>
                    <w:snapToGrid w:val="0"/>
                    <w:jc w:val="center"/>
                    <w:rPr>
                      <w:rFonts w:hint="default"/>
                      <w:lang w:val="en-US" w:eastAsia="zh-CN"/>
                    </w:rPr>
                  </w:pPr>
                  <w:r>
                    <w:rPr>
                      <w:rFonts w:hint="default"/>
                      <w:lang w:eastAsia="zh-CN"/>
                    </w:rPr>
                    <w:t>原料及成品</w:t>
                  </w:r>
                  <w:r>
                    <w:rPr>
                      <w:rFonts w:hint="default"/>
                    </w:rPr>
                    <w:t>堆场</w:t>
                  </w:r>
                  <w:r>
                    <w:rPr>
                      <w:rFonts w:hint="default"/>
                      <w:lang w:eastAsia="zh-CN"/>
                    </w:rPr>
                    <w:t>扬尘</w:t>
                  </w:r>
                </w:p>
              </w:tc>
              <w:tc>
                <w:tcPr>
                  <w:tcW w:w="1907" w:type="pct"/>
                  <w:noWrap w:val="0"/>
                  <w:tcMar>
                    <w:top w:w="0" w:type="dxa"/>
                    <w:left w:w="28" w:type="dxa"/>
                    <w:bottom w:w="0" w:type="dxa"/>
                    <w:right w:w="28" w:type="dxa"/>
                  </w:tcMar>
                  <w:vAlign w:val="center"/>
                </w:tcPr>
                <w:p>
                  <w:pPr>
                    <w:autoSpaceDE w:val="0"/>
                    <w:autoSpaceDN w:val="0"/>
                    <w:adjustRightInd w:val="0"/>
                    <w:snapToGrid w:val="0"/>
                    <w:jc w:val="center"/>
                    <w:rPr>
                      <w:rFonts w:hint="default"/>
                      <w:lang w:val="en-GB" w:eastAsia="zh-CN"/>
                    </w:rPr>
                  </w:pPr>
                  <w:r>
                    <w:rPr>
                      <w:rFonts w:hint="default"/>
                      <w:lang w:eastAsia="zh-CN"/>
                    </w:rPr>
                    <w:t>设置</w:t>
                  </w:r>
                  <w:r>
                    <w:rPr>
                      <w:rFonts w:hint="eastAsia"/>
                      <w:lang w:eastAsia="zh-CN"/>
                    </w:rPr>
                    <w:t>半</w:t>
                  </w:r>
                  <w:r>
                    <w:rPr>
                      <w:rFonts w:hint="default"/>
                      <w:lang w:eastAsia="zh-CN"/>
                    </w:rPr>
                    <w:t>封闭式</w:t>
                  </w:r>
                  <w:r>
                    <w:rPr>
                      <w:rFonts w:hint="eastAsia"/>
                      <w:lang w:eastAsia="zh-CN"/>
                    </w:rPr>
                    <w:t>堆棚，进行篷布遮盖，并定期洒水降尘</w:t>
                  </w:r>
                </w:p>
              </w:tc>
              <w:tc>
                <w:tcPr>
                  <w:tcW w:w="781" w:type="pct"/>
                  <w:noWrap w:val="0"/>
                  <w:vAlign w:val="center"/>
                </w:tcPr>
                <w:p>
                  <w:pPr>
                    <w:widowControl/>
                    <w:jc w:val="center"/>
                    <w:rPr>
                      <w:rFonts w:hint="default"/>
                      <w:lang w:val="en-US" w:eastAsia="zh-CN"/>
                    </w:rPr>
                  </w:pPr>
                  <w:r>
                    <w:rPr>
                      <w:rFonts w:hint="eastAsia"/>
                      <w:lang w:val="en-US" w:eastAsia="zh-CN"/>
                    </w:rPr>
                    <w:t>5.0</w:t>
                  </w:r>
                </w:p>
              </w:tc>
              <w:tc>
                <w:tcPr>
                  <w:tcW w:w="427" w:type="pct"/>
                  <w:noWrap w:val="0"/>
                  <w:vAlign w:val="center"/>
                </w:tcPr>
                <w:p>
                  <w:pPr>
                    <w:widowControl/>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604" w:hRule="atLeast"/>
              </w:trPr>
              <w:tc>
                <w:tcPr>
                  <w:tcW w:w="604" w:type="pct"/>
                  <w:vMerge w:val="continue"/>
                  <w:noWrap w:val="0"/>
                  <w:vAlign w:val="center"/>
                </w:tcPr>
                <w:p>
                  <w:pPr>
                    <w:widowControl/>
                    <w:jc w:val="left"/>
                  </w:pPr>
                </w:p>
              </w:tc>
              <w:tc>
                <w:tcPr>
                  <w:tcW w:w="457" w:type="pct"/>
                  <w:gridSpan w:val="2"/>
                  <w:vMerge w:val="continue"/>
                  <w:noWrap w:val="0"/>
                  <w:tcMar>
                    <w:top w:w="0" w:type="dxa"/>
                    <w:left w:w="28" w:type="dxa"/>
                    <w:bottom w:w="0" w:type="dxa"/>
                    <w:right w:w="28" w:type="dxa"/>
                  </w:tcMar>
                  <w:vAlign w:val="center"/>
                </w:tcPr>
                <w:p>
                  <w:pPr>
                    <w:adjustRightInd w:val="0"/>
                    <w:snapToGrid w:val="0"/>
                    <w:jc w:val="center"/>
                    <w:rPr>
                      <w:rFonts w:hint="eastAsia"/>
                      <w:lang w:val="en-US" w:eastAsia="zh-CN"/>
                    </w:rPr>
                  </w:pPr>
                </w:p>
              </w:tc>
              <w:tc>
                <w:tcPr>
                  <w:tcW w:w="823" w:type="pct"/>
                  <w:noWrap w:val="0"/>
                  <w:tcMar>
                    <w:top w:w="0" w:type="dxa"/>
                    <w:left w:w="28" w:type="dxa"/>
                    <w:bottom w:w="0" w:type="dxa"/>
                    <w:right w:w="28" w:type="dxa"/>
                  </w:tcMar>
                  <w:vAlign w:val="center"/>
                </w:tcPr>
                <w:p>
                  <w:pPr>
                    <w:autoSpaceDE w:val="0"/>
                    <w:autoSpaceDN w:val="0"/>
                    <w:adjustRightInd w:val="0"/>
                    <w:snapToGrid w:val="0"/>
                    <w:jc w:val="center"/>
                    <w:rPr>
                      <w:rFonts w:hint="default"/>
                      <w:lang w:val="en-US" w:eastAsia="zh-CN"/>
                    </w:rPr>
                  </w:pPr>
                  <w:r>
                    <w:rPr>
                      <w:rFonts w:hint="eastAsia"/>
                      <w:lang w:val="en-US" w:eastAsia="zh-CN"/>
                    </w:rPr>
                    <w:t>破碎筛分</w:t>
                  </w:r>
                </w:p>
              </w:tc>
              <w:tc>
                <w:tcPr>
                  <w:tcW w:w="1907" w:type="pct"/>
                  <w:noWrap w:val="0"/>
                  <w:tcMar>
                    <w:top w:w="0" w:type="dxa"/>
                    <w:left w:w="28" w:type="dxa"/>
                    <w:bottom w:w="0" w:type="dxa"/>
                    <w:right w:w="28" w:type="dxa"/>
                  </w:tcMar>
                  <w:vAlign w:val="center"/>
                </w:tcPr>
                <w:p>
                  <w:pPr>
                    <w:autoSpaceDE w:val="0"/>
                    <w:autoSpaceDN w:val="0"/>
                    <w:adjustRightInd w:val="0"/>
                    <w:snapToGrid w:val="0"/>
                    <w:jc w:val="center"/>
                    <w:rPr>
                      <w:rFonts w:hint="default"/>
                      <w:lang w:val="en-US" w:eastAsia="zh-CN"/>
                    </w:rPr>
                  </w:pPr>
                  <w:r>
                    <w:rPr>
                      <w:rFonts w:hint="eastAsia"/>
                      <w:lang w:val="zh-CN"/>
                    </w:rPr>
                    <w:t>设置全封闭厂房，车间进行喷淋降尘</w:t>
                  </w:r>
                  <w:r>
                    <w:rPr>
                      <w:rFonts w:hint="eastAsia"/>
                    </w:rPr>
                    <w:t>处理</w:t>
                  </w:r>
                  <w:r>
                    <w:rPr>
                      <w:rFonts w:hint="eastAsia"/>
                      <w:lang w:val="zh-CN"/>
                    </w:rPr>
                    <w:t>，破碎机、筛分机、制砂机</w:t>
                  </w:r>
                  <w:r>
                    <w:rPr>
                      <w:rFonts w:hint="eastAsia"/>
                      <w:lang w:eastAsia="zh-CN"/>
                    </w:rPr>
                    <w:t>设置冲水管道</w:t>
                  </w:r>
                  <w:r>
                    <w:rPr>
                      <w:rFonts w:hint="eastAsia"/>
                    </w:rPr>
                    <w:t>，项目皮带传送采用密闭传送带。</w:t>
                  </w:r>
                  <w:r>
                    <w:rPr>
                      <w:rFonts w:hint="eastAsia"/>
                      <w:lang w:eastAsia="zh-CN"/>
                    </w:rPr>
                    <w:t>运输路进行碎石硬化，加工区进出道路进行碎石硬化</w:t>
                  </w:r>
                  <w:r>
                    <w:rPr>
                      <w:rFonts w:hint="eastAsia"/>
                      <w:lang w:val="en-US" w:eastAsia="zh-CN"/>
                    </w:rPr>
                    <w:t>,并时时进行洒水</w:t>
                  </w:r>
                </w:p>
              </w:tc>
              <w:tc>
                <w:tcPr>
                  <w:tcW w:w="781" w:type="pct"/>
                  <w:noWrap w:val="0"/>
                  <w:vAlign w:val="center"/>
                </w:tcPr>
                <w:p>
                  <w:pPr>
                    <w:widowControl/>
                    <w:jc w:val="center"/>
                    <w:rPr>
                      <w:rFonts w:hint="default"/>
                      <w:lang w:val="en-US" w:eastAsia="zh-CN"/>
                    </w:rPr>
                  </w:pPr>
                  <w:r>
                    <w:rPr>
                      <w:rFonts w:hint="eastAsia"/>
                      <w:lang w:val="en-US" w:eastAsia="zh-CN"/>
                    </w:rPr>
                    <w:t>14.4</w:t>
                  </w:r>
                </w:p>
              </w:tc>
              <w:tc>
                <w:tcPr>
                  <w:tcW w:w="427" w:type="pct"/>
                  <w:noWrap w:val="0"/>
                  <w:vAlign w:val="center"/>
                </w:tcPr>
                <w:p>
                  <w:pPr>
                    <w:widowControl/>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vMerge w:val="restart"/>
                  <w:noWrap w:val="0"/>
                  <w:tcMar>
                    <w:top w:w="0" w:type="dxa"/>
                    <w:left w:w="28" w:type="dxa"/>
                    <w:bottom w:w="0" w:type="dxa"/>
                    <w:right w:w="28" w:type="dxa"/>
                  </w:tcMar>
                  <w:vAlign w:val="center"/>
                </w:tcPr>
                <w:p>
                  <w:pPr>
                    <w:adjustRightInd w:val="0"/>
                    <w:snapToGrid w:val="0"/>
                    <w:jc w:val="center"/>
                  </w:pPr>
                  <w:r>
                    <w:t>废水</w:t>
                  </w:r>
                </w:p>
              </w:tc>
              <w:tc>
                <w:tcPr>
                  <w:tcW w:w="1280" w:type="pct"/>
                  <w:gridSpan w:val="3"/>
                  <w:noWrap w:val="0"/>
                  <w:tcMar>
                    <w:top w:w="0" w:type="dxa"/>
                    <w:left w:w="28" w:type="dxa"/>
                    <w:bottom w:w="0" w:type="dxa"/>
                    <w:right w:w="28" w:type="dxa"/>
                  </w:tcMar>
                  <w:vAlign w:val="center"/>
                </w:tcPr>
                <w:p>
                  <w:pPr>
                    <w:adjustRightInd w:val="0"/>
                    <w:snapToGrid w:val="0"/>
                    <w:jc w:val="center"/>
                  </w:pPr>
                  <w:r>
                    <w:t>生活污水</w:t>
                  </w:r>
                </w:p>
              </w:tc>
              <w:tc>
                <w:tcPr>
                  <w:tcW w:w="1907" w:type="pct"/>
                  <w:noWrap w:val="0"/>
                  <w:tcMar>
                    <w:top w:w="0" w:type="dxa"/>
                    <w:left w:w="28" w:type="dxa"/>
                    <w:bottom w:w="0" w:type="dxa"/>
                    <w:right w:w="28" w:type="dxa"/>
                  </w:tcMar>
                  <w:vAlign w:val="center"/>
                </w:tcPr>
                <w:p>
                  <w:pPr>
                    <w:adjustRightInd w:val="0"/>
                    <w:snapToGrid w:val="0"/>
                    <w:jc w:val="center"/>
                    <w:rPr>
                      <w:rFonts w:hint="eastAsia"/>
                      <w:lang w:eastAsia="zh-CN"/>
                    </w:rPr>
                  </w:pPr>
                  <w:r>
                    <w:rPr>
                      <w:rFonts w:hint="eastAsia"/>
                      <w:lang w:eastAsia="zh-CN"/>
                    </w:rPr>
                    <w:t>化粪池</w:t>
                  </w:r>
                </w:p>
              </w:tc>
              <w:tc>
                <w:tcPr>
                  <w:tcW w:w="781" w:type="pct"/>
                  <w:noWrap w:val="0"/>
                  <w:vAlign w:val="center"/>
                </w:tcPr>
                <w:p>
                  <w:pPr>
                    <w:adjustRightInd w:val="0"/>
                    <w:snapToGrid w:val="0"/>
                    <w:jc w:val="center"/>
                    <w:rPr>
                      <w:rFonts w:hint="default"/>
                      <w:lang w:val="en-US" w:eastAsia="zh-CN"/>
                    </w:rPr>
                  </w:pPr>
                  <w:r>
                    <w:rPr>
                      <w:rFonts w:hint="eastAsia"/>
                      <w:lang w:val="en-US" w:eastAsia="zh-CN"/>
                    </w:rPr>
                    <w:t>1.5</w:t>
                  </w:r>
                </w:p>
              </w:tc>
              <w:tc>
                <w:tcPr>
                  <w:tcW w:w="427" w:type="pct"/>
                  <w:noWrap w:val="0"/>
                  <w:vAlign w:val="center"/>
                </w:tcPr>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vMerge w:val="continue"/>
                  <w:noWrap w:val="0"/>
                  <w:tcMar>
                    <w:top w:w="0" w:type="dxa"/>
                    <w:left w:w="28" w:type="dxa"/>
                    <w:bottom w:w="0" w:type="dxa"/>
                    <w:right w:w="28" w:type="dxa"/>
                  </w:tcMar>
                  <w:vAlign w:val="center"/>
                </w:tcPr>
                <w:p>
                  <w:pPr>
                    <w:adjustRightInd w:val="0"/>
                    <w:snapToGrid w:val="0"/>
                    <w:jc w:val="center"/>
                  </w:pPr>
                </w:p>
              </w:tc>
              <w:tc>
                <w:tcPr>
                  <w:tcW w:w="1280" w:type="pct"/>
                  <w:gridSpan w:val="3"/>
                  <w:noWrap w:val="0"/>
                  <w:tcMar>
                    <w:top w:w="0" w:type="dxa"/>
                    <w:left w:w="28" w:type="dxa"/>
                    <w:bottom w:w="0" w:type="dxa"/>
                    <w:right w:w="28" w:type="dxa"/>
                  </w:tcMar>
                  <w:vAlign w:val="center"/>
                </w:tcPr>
                <w:p>
                  <w:pPr>
                    <w:autoSpaceDE w:val="0"/>
                    <w:autoSpaceDN w:val="0"/>
                    <w:adjustRightInd w:val="0"/>
                    <w:snapToGrid w:val="0"/>
                    <w:jc w:val="center"/>
                    <w:rPr>
                      <w:rFonts w:hint="default"/>
                      <w:lang w:val="en-US" w:eastAsia="zh-CN"/>
                    </w:rPr>
                  </w:pPr>
                  <w:r>
                    <w:rPr>
                      <w:rFonts w:hint="eastAsia"/>
                      <w:lang w:eastAsia="zh-CN"/>
                    </w:rPr>
                    <w:t>洗砂</w:t>
                  </w:r>
                  <w:r>
                    <w:rPr>
                      <w:rFonts w:hint="default"/>
                      <w:lang w:eastAsia="zh-CN"/>
                    </w:rPr>
                    <w:t>废水</w:t>
                  </w:r>
                </w:p>
              </w:tc>
              <w:tc>
                <w:tcPr>
                  <w:tcW w:w="1907" w:type="pct"/>
                  <w:noWrap w:val="0"/>
                  <w:tcMar>
                    <w:top w:w="0" w:type="dxa"/>
                    <w:left w:w="28" w:type="dxa"/>
                    <w:bottom w:w="0" w:type="dxa"/>
                    <w:right w:w="28" w:type="dxa"/>
                  </w:tcMar>
                  <w:vAlign w:val="center"/>
                </w:tcPr>
                <w:p>
                  <w:pPr>
                    <w:autoSpaceDE w:val="0"/>
                    <w:autoSpaceDN w:val="0"/>
                    <w:adjustRightInd w:val="0"/>
                    <w:snapToGrid w:val="0"/>
                    <w:jc w:val="center"/>
                    <w:rPr>
                      <w:rFonts w:hint="default"/>
                      <w:lang w:val="en-US" w:eastAsia="zh-CN"/>
                    </w:rPr>
                  </w:pPr>
                  <w:r>
                    <w:rPr>
                      <w:rFonts w:hint="eastAsia"/>
                      <w:lang w:val="en-US" w:eastAsia="zh-CN"/>
                    </w:rPr>
                    <w:t>压滤机</w:t>
                  </w:r>
                </w:p>
              </w:tc>
              <w:tc>
                <w:tcPr>
                  <w:tcW w:w="781" w:type="pct"/>
                  <w:noWrap w:val="0"/>
                  <w:vAlign w:val="center"/>
                </w:tcPr>
                <w:p>
                  <w:pPr>
                    <w:adjustRightInd w:val="0"/>
                    <w:snapToGrid w:val="0"/>
                    <w:jc w:val="center"/>
                    <w:rPr>
                      <w:rFonts w:hint="default"/>
                      <w:lang w:val="en-US" w:eastAsia="zh-CN"/>
                    </w:rPr>
                  </w:pPr>
                  <w:r>
                    <w:rPr>
                      <w:rFonts w:hint="eastAsia"/>
                      <w:lang w:val="en-US" w:eastAsia="zh-CN"/>
                    </w:rPr>
                    <w:t>2.0</w:t>
                  </w:r>
                </w:p>
              </w:tc>
              <w:tc>
                <w:tcPr>
                  <w:tcW w:w="427" w:type="pct"/>
                  <w:noWrap w:val="0"/>
                  <w:vAlign w:val="center"/>
                </w:tcPr>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0" w:hRule="atLeast"/>
              </w:trPr>
              <w:tc>
                <w:tcPr>
                  <w:tcW w:w="604" w:type="pct"/>
                  <w:vMerge w:val="restart"/>
                  <w:noWrap w:val="0"/>
                  <w:tcMar>
                    <w:top w:w="0" w:type="dxa"/>
                    <w:left w:w="28" w:type="dxa"/>
                    <w:bottom w:w="0" w:type="dxa"/>
                    <w:right w:w="28" w:type="dxa"/>
                  </w:tcMar>
                  <w:vAlign w:val="center"/>
                </w:tcPr>
                <w:p>
                  <w:pPr>
                    <w:adjustRightInd w:val="0"/>
                    <w:snapToGrid w:val="0"/>
                    <w:jc w:val="center"/>
                  </w:pPr>
                  <w:r>
                    <w:t>噪声</w:t>
                  </w:r>
                </w:p>
              </w:tc>
              <w:tc>
                <w:tcPr>
                  <w:tcW w:w="1280" w:type="pct"/>
                  <w:gridSpan w:val="3"/>
                  <w:noWrap w:val="0"/>
                  <w:tcMar>
                    <w:top w:w="0" w:type="dxa"/>
                    <w:left w:w="28" w:type="dxa"/>
                    <w:bottom w:w="0" w:type="dxa"/>
                    <w:right w:w="28" w:type="dxa"/>
                  </w:tcMar>
                  <w:vAlign w:val="center"/>
                </w:tcPr>
                <w:p>
                  <w:pPr>
                    <w:adjustRightInd w:val="0"/>
                    <w:snapToGrid w:val="0"/>
                    <w:jc w:val="center"/>
                    <w:rPr>
                      <w:rFonts w:hint="default"/>
                      <w:lang w:val="en-US" w:eastAsia="zh-CN"/>
                    </w:rPr>
                  </w:pPr>
                  <w:r>
                    <w:t>筛分</w:t>
                  </w:r>
                  <w:r>
                    <w:rPr>
                      <w:rFonts w:hint="eastAsia"/>
                      <w:lang w:val="en-US" w:eastAsia="zh-CN"/>
                    </w:rPr>
                    <w:t>及制砂工序</w:t>
                  </w:r>
                </w:p>
              </w:tc>
              <w:tc>
                <w:tcPr>
                  <w:tcW w:w="1907" w:type="pct"/>
                  <w:noWrap w:val="0"/>
                  <w:tcMar>
                    <w:top w:w="0" w:type="dxa"/>
                    <w:left w:w="28" w:type="dxa"/>
                    <w:bottom w:w="0" w:type="dxa"/>
                    <w:right w:w="28" w:type="dxa"/>
                  </w:tcMar>
                  <w:vAlign w:val="center"/>
                </w:tcPr>
                <w:p>
                  <w:pPr>
                    <w:adjustRightInd w:val="0"/>
                    <w:snapToGrid w:val="0"/>
                    <w:jc w:val="center"/>
                  </w:pPr>
                  <w:r>
                    <w:t>人员防护、基础减震、建筑隔声</w:t>
                  </w:r>
                </w:p>
              </w:tc>
              <w:tc>
                <w:tcPr>
                  <w:tcW w:w="781" w:type="pct"/>
                  <w:vMerge w:val="restart"/>
                  <w:noWrap w:val="0"/>
                  <w:vAlign w:val="center"/>
                </w:tcPr>
                <w:p>
                  <w:pPr>
                    <w:adjustRightInd w:val="0"/>
                    <w:snapToGrid w:val="0"/>
                    <w:jc w:val="center"/>
                    <w:rPr>
                      <w:rFonts w:hint="default"/>
                      <w:lang w:val="en-US" w:eastAsia="zh-CN"/>
                    </w:rPr>
                  </w:pPr>
                  <w:r>
                    <w:rPr>
                      <w:rFonts w:hint="eastAsia"/>
                      <w:lang w:val="en-US" w:eastAsia="zh-CN"/>
                    </w:rPr>
                    <w:t>2.4</w:t>
                  </w:r>
                </w:p>
              </w:tc>
              <w:tc>
                <w:tcPr>
                  <w:tcW w:w="427" w:type="pct"/>
                  <w:vMerge w:val="restart"/>
                  <w:noWrap w:val="0"/>
                  <w:vAlign w:val="center"/>
                </w:tcPr>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vMerge w:val="continue"/>
                  <w:noWrap w:val="0"/>
                  <w:vAlign w:val="center"/>
                </w:tcPr>
                <w:p>
                  <w:pPr>
                    <w:widowControl/>
                    <w:jc w:val="left"/>
                  </w:pPr>
                </w:p>
              </w:tc>
              <w:tc>
                <w:tcPr>
                  <w:tcW w:w="1280" w:type="pct"/>
                  <w:gridSpan w:val="3"/>
                  <w:noWrap w:val="0"/>
                  <w:tcMar>
                    <w:top w:w="0" w:type="dxa"/>
                    <w:left w:w="28" w:type="dxa"/>
                    <w:bottom w:w="0" w:type="dxa"/>
                    <w:right w:w="28" w:type="dxa"/>
                  </w:tcMar>
                  <w:vAlign w:val="center"/>
                </w:tcPr>
                <w:p>
                  <w:pPr>
                    <w:adjustRightInd w:val="0"/>
                    <w:snapToGrid w:val="0"/>
                    <w:jc w:val="center"/>
                  </w:pPr>
                  <w:r>
                    <w:t>风机等设备</w:t>
                  </w:r>
                </w:p>
              </w:tc>
              <w:tc>
                <w:tcPr>
                  <w:tcW w:w="1907" w:type="pct"/>
                  <w:noWrap w:val="0"/>
                  <w:tcMar>
                    <w:top w:w="0" w:type="dxa"/>
                    <w:left w:w="28" w:type="dxa"/>
                    <w:bottom w:w="0" w:type="dxa"/>
                    <w:right w:w="28" w:type="dxa"/>
                  </w:tcMar>
                  <w:vAlign w:val="center"/>
                </w:tcPr>
                <w:p>
                  <w:pPr>
                    <w:adjustRightInd w:val="0"/>
                    <w:snapToGrid w:val="0"/>
                    <w:jc w:val="center"/>
                  </w:pPr>
                  <w:r>
                    <w:t>基础减震、设置隔声罩</w:t>
                  </w:r>
                </w:p>
              </w:tc>
              <w:tc>
                <w:tcPr>
                  <w:tcW w:w="781" w:type="pct"/>
                  <w:vMerge w:val="continue"/>
                  <w:noWrap w:val="0"/>
                  <w:vAlign w:val="center"/>
                </w:tcPr>
                <w:p>
                  <w:pPr>
                    <w:widowControl/>
                    <w:jc w:val="center"/>
                  </w:pPr>
                </w:p>
              </w:tc>
              <w:tc>
                <w:tcPr>
                  <w:tcW w:w="427" w:type="pct"/>
                  <w:vMerge w:val="continue"/>
                  <w:noWrap w:val="0"/>
                  <w:vAlign w:val="center"/>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vMerge w:val="restart"/>
                  <w:noWrap w:val="0"/>
                  <w:vAlign w:val="center"/>
                </w:tcPr>
                <w:p>
                  <w:pPr>
                    <w:adjustRightInd w:val="0"/>
                    <w:snapToGrid w:val="0"/>
                    <w:jc w:val="center"/>
                  </w:pPr>
                  <w:r>
                    <w:t>固废</w:t>
                  </w:r>
                </w:p>
              </w:tc>
              <w:tc>
                <w:tcPr>
                  <w:tcW w:w="402" w:type="pct"/>
                  <w:vMerge w:val="restart"/>
                  <w:noWrap w:val="0"/>
                  <w:tcMar>
                    <w:top w:w="0" w:type="dxa"/>
                    <w:left w:w="28" w:type="dxa"/>
                    <w:bottom w:w="0" w:type="dxa"/>
                    <w:right w:w="28" w:type="dxa"/>
                  </w:tcMar>
                  <w:vAlign w:val="center"/>
                </w:tcPr>
                <w:p>
                  <w:pPr>
                    <w:pStyle w:val="6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lang w:val="en-US"/>
                    </w:rPr>
                  </w:pPr>
                  <w:r>
                    <w:rPr>
                      <w:rFonts w:hint="eastAsia"/>
                      <w:lang w:val="en-US" w:eastAsia="zh-CN"/>
                    </w:rPr>
                    <w:t>一般固废</w:t>
                  </w:r>
                </w:p>
              </w:tc>
              <w:tc>
                <w:tcPr>
                  <w:tcW w:w="877" w:type="pct"/>
                  <w:gridSpan w:val="2"/>
                  <w:noWrap w:val="0"/>
                  <w:tcMar>
                    <w:top w:w="0" w:type="dxa"/>
                    <w:left w:w="28" w:type="dxa"/>
                    <w:bottom w:w="0" w:type="dxa"/>
                    <w:right w:w="28" w:type="dxa"/>
                  </w:tcMar>
                  <w:vAlign w:val="center"/>
                </w:tcPr>
                <w:p>
                  <w:pPr>
                    <w:pStyle w:val="6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pPr>
                  <w:r>
                    <w:rPr>
                      <w:rFonts w:hint="eastAsia"/>
                      <w:lang w:eastAsia="zh-CN"/>
                    </w:rPr>
                    <w:t>表层剥离土</w:t>
                  </w:r>
                </w:p>
              </w:tc>
              <w:tc>
                <w:tcPr>
                  <w:tcW w:w="1907" w:type="pct"/>
                  <w:noWrap w:val="0"/>
                  <w:tcMar>
                    <w:top w:w="0" w:type="dxa"/>
                    <w:left w:w="28" w:type="dxa"/>
                    <w:bottom w:w="0" w:type="dxa"/>
                    <w:right w:w="28" w:type="dxa"/>
                  </w:tcMar>
                  <w:vAlign w:val="center"/>
                </w:tcPr>
                <w:p>
                  <w:pPr>
                    <w:pStyle w:val="6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lang w:eastAsia="zh-CN"/>
                    </w:rPr>
                  </w:pPr>
                  <w:r>
                    <w:rPr>
                      <w:rFonts w:hint="eastAsia"/>
                      <w:lang w:eastAsia="zh-CN"/>
                    </w:rPr>
                    <w:t>外买</w:t>
                  </w:r>
                </w:p>
              </w:tc>
              <w:tc>
                <w:tcPr>
                  <w:tcW w:w="781" w:type="pct"/>
                  <w:noWrap w:val="0"/>
                  <w:vAlign w:val="center"/>
                </w:tcPr>
                <w:p>
                  <w:pPr>
                    <w:adjustRightInd w:val="0"/>
                    <w:snapToGrid w:val="0"/>
                    <w:jc w:val="center"/>
                    <w:rPr>
                      <w:rFonts w:hint="default"/>
                      <w:lang w:val="en-US" w:eastAsia="zh-CN"/>
                    </w:rPr>
                  </w:pPr>
                  <w:r>
                    <w:rPr>
                      <w:rFonts w:hint="eastAsia"/>
                      <w:lang w:val="en-US" w:eastAsia="zh-CN"/>
                    </w:rPr>
                    <w:t>-</w:t>
                  </w:r>
                </w:p>
              </w:tc>
              <w:tc>
                <w:tcPr>
                  <w:tcW w:w="427" w:type="pct"/>
                  <w:noWrap w:val="0"/>
                  <w:vAlign w:val="center"/>
                </w:tcPr>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2" w:hRule="atLeast"/>
              </w:trPr>
              <w:tc>
                <w:tcPr>
                  <w:tcW w:w="604" w:type="pct"/>
                  <w:vMerge w:val="continue"/>
                  <w:noWrap w:val="0"/>
                  <w:vAlign w:val="center"/>
                </w:tcPr>
                <w:p>
                  <w:pPr>
                    <w:adjustRightInd w:val="0"/>
                    <w:snapToGrid w:val="0"/>
                    <w:jc w:val="center"/>
                  </w:pPr>
                </w:p>
              </w:tc>
              <w:tc>
                <w:tcPr>
                  <w:tcW w:w="402" w:type="pct"/>
                  <w:vMerge w:val="continue"/>
                  <w:noWrap w:val="0"/>
                  <w:tcMar>
                    <w:top w:w="0" w:type="dxa"/>
                    <w:left w:w="28" w:type="dxa"/>
                    <w:bottom w:w="0" w:type="dxa"/>
                    <w:right w:w="28" w:type="dxa"/>
                  </w:tcMar>
                  <w:vAlign w:val="center"/>
                </w:tcPr>
                <w:p>
                  <w:pPr>
                    <w:autoSpaceDE w:val="0"/>
                    <w:autoSpaceDN w:val="0"/>
                    <w:adjustRightInd w:val="0"/>
                    <w:snapToGrid w:val="0"/>
                    <w:jc w:val="center"/>
                    <w:rPr>
                      <w:rFonts w:hint="eastAsia"/>
                      <w:lang w:val="en-US" w:eastAsia="zh-CN"/>
                    </w:rPr>
                  </w:pPr>
                </w:p>
              </w:tc>
              <w:tc>
                <w:tcPr>
                  <w:tcW w:w="877" w:type="pct"/>
                  <w:gridSpan w:val="2"/>
                  <w:noWrap w:val="0"/>
                  <w:tcMar>
                    <w:top w:w="0" w:type="dxa"/>
                    <w:left w:w="28" w:type="dxa"/>
                    <w:bottom w:w="0" w:type="dxa"/>
                    <w:right w:w="28" w:type="dxa"/>
                  </w:tcMar>
                  <w:vAlign w:val="center"/>
                </w:tcPr>
                <w:p>
                  <w:pPr>
                    <w:autoSpaceDE w:val="0"/>
                    <w:autoSpaceDN w:val="0"/>
                    <w:adjustRightInd w:val="0"/>
                    <w:snapToGrid w:val="0"/>
                    <w:jc w:val="center"/>
                    <w:rPr>
                      <w:rFonts w:hint="default"/>
                      <w:lang w:val="en-US" w:eastAsia="zh-CN"/>
                    </w:rPr>
                  </w:pPr>
                  <w:r>
                    <w:rPr>
                      <w:rFonts w:hint="default"/>
                      <w:lang w:eastAsia="zh-CN"/>
                    </w:rPr>
                    <w:t>废旧皮带</w:t>
                  </w:r>
                </w:p>
              </w:tc>
              <w:tc>
                <w:tcPr>
                  <w:tcW w:w="1907" w:type="pct"/>
                  <w:noWrap w:val="0"/>
                  <w:tcMar>
                    <w:top w:w="0" w:type="dxa"/>
                    <w:left w:w="28" w:type="dxa"/>
                    <w:bottom w:w="0" w:type="dxa"/>
                    <w:right w:w="28" w:type="dxa"/>
                  </w:tcMar>
                  <w:vAlign w:val="center"/>
                </w:tcPr>
                <w:p>
                  <w:pPr>
                    <w:snapToGrid w:val="0"/>
                    <w:jc w:val="center"/>
                    <w:rPr>
                      <w:rFonts w:hint="eastAsia"/>
                      <w:lang w:val="en-US" w:eastAsia="zh-CN"/>
                    </w:rPr>
                  </w:pPr>
                  <w:r>
                    <w:rPr>
                      <w:rFonts w:hint="default"/>
                      <w:lang w:eastAsia="zh-CN"/>
                    </w:rPr>
                    <w:t>废品收购站回收</w:t>
                  </w:r>
                </w:p>
              </w:tc>
              <w:tc>
                <w:tcPr>
                  <w:tcW w:w="781" w:type="pct"/>
                  <w:noWrap w:val="0"/>
                  <w:vAlign w:val="center"/>
                </w:tcPr>
                <w:p>
                  <w:pPr>
                    <w:adjustRightInd w:val="0"/>
                    <w:snapToGrid w:val="0"/>
                    <w:jc w:val="center"/>
                    <w:rPr>
                      <w:rFonts w:hint="eastAsia"/>
                      <w:lang w:val="en-US" w:eastAsia="zh-CN"/>
                    </w:rPr>
                  </w:pPr>
                  <w:r>
                    <w:rPr>
                      <w:rFonts w:hint="eastAsia"/>
                      <w:lang w:val="en-US" w:eastAsia="zh-CN"/>
                    </w:rPr>
                    <w:t>-</w:t>
                  </w:r>
                </w:p>
              </w:tc>
              <w:tc>
                <w:tcPr>
                  <w:tcW w:w="427" w:type="pct"/>
                  <w:noWrap w:val="0"/>
                  <w:vAlign w:val="center"/>
                </w:tcPr>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7" w:hRule="atLeast"/>
              </w:trPr>
              <w:tc>
                <w:tcPr>
                  <w:tcW w:w="604" w:type="pct"/>
                  <w:vMerge w:val="continue"/>
                  <w:noWrap w:val="0"/>
                  <w:vAlign w:val="center"/>
                </w:tcPr>
                <w:p>
                  <w:pPr>
                    <w:adjustRightInd w:val="0"/>
                    <w:snapToGrid w:val="0"/>
                    <w:jc w:val="center"/>
                  </w:pPr>
                </w:p>
              </w:tc>
              <w:tc>
                <w:tcPr>
                  <w:tcW w:w="402" w:type="pct"/>
                  <w:vMerge w:val="continue"/>
                  <w:noWrap w:val="0"/>
                  <w:tcMar>
                    <w:top w:w="0" w:type="dxa"/>
                    <w:left w:w="28" w:type="dxa"/>
                    <w:bottom w:w="0" w:type="dxa"/>
                    <w:right w:w="28" w:type="dxa"/>
                  </w:tcMar>
                  <w:vAlign w:val="center"/>
                </w:tcPr>
                <w:p>
                  <w:pPr>
                    <w:autoSpaceDE w:val="0"/>
                    <w:autoSpaceDN w:val="0"/>
                    <w:adjustRightInd w:val="0"/>
                    <w:snapToGrid w:val="0"/>
                    <w:jc w:val="center"/>
                    <w:rPr>
                      <w:rFonts w:hint="default"/>
                      <w:lang w:val="en-US" w:eastAsia="zh-CN"/>
                    </w:rPr>
                  </w:pPr>
                </w:p>
              </w:tc>
              <w:tc>
                <w:tcPr>
                  <w:tcW w:w="877" w:type="pct"/>
                  <w:gridSpan w:val="2"/>
                  <w:noWrap w:val="0"/>
                  <w:tcMar>
                    <w:top w:w="0" w:type="dxa"/>
                    <w:left w:w="28" w:type="dxa"/>
                    <w:bottom w:w="0" w:type="dxa"/>
                    <w:right w:w="28" w:type="dxa"/>
                  </w:tcMar>
                  <w:vAlign w:val="center"/>
                </w:tcPr>
                <w:p>
                  <w:pPr>
                    <w:autoSpaceDE w:val="0"/>
                    <w:autoSpaceDN w:val="0"/>
                    <w:adjustRightInd w:val="0"/>
                    <w:snapToGrid w:val="0"/>
                    <w:jc w:val="center"/>
                    <w:rPr>
                      <w:rFonts w:hint="default"/>
                      <w:lang w:val="en-US" w:eastAsia="zh-CN"/>
                    </w:rPr>
                  </w:pPr>
                  <w:r>
                    <w:rPr>
                      <w:rFonts w:hint="default"/>
                      <w:lang w:eastAsia="zh-CN"/>
                    </w:rPr>
                    <w:t>生活垃圾</w:t>
                  </w:r>
                </w:p>
              </w:tc>
              <w:tc>
                <w:tcPr>
                  <w:tcW w:w="1907" w:type="pct"/>
                  <w:noWrap w:val="0"/>
                  <w:tcMar>
                    <w:top w:w="0" w:type="dxa"/>
                    <w:left w:w="28" w:type="dxa"/>
                    <w:bottom w:w="0" w:type="dxa"/>
                    <w:right w:w="28" w:type="dxa"/>
                  </w:tcMar>
                  <w:vAlign w:val="center"/>
                </w:tcPr>
                <w:p>
                  <w:pPr>
                    <w:snapToGrid w:val="0"/>
                    <w:jc w:val="center"/>
                    <w:rPr>
                      <w:rFonts w:hint="default"/>
                      <w:lang w:val="en-US" w:eastAsia="zh-CN"/>
                    </w:rPr>
                  </w:pPr>
                  <w:r>
                    <w:rPr>
                      <w:rFonts w:hint="default"/>
                      <w:lang w:eastAsia="zh-CN"/>
                    </w:rPr>
                    <w:t>生活垃圾桶</w:t>
                  </w:r>
                  <w:r>
                    <w:rPr>
                      <w:rFonts w:hint="default"/>
                      <w:lang w:val="en-US" w:eastAsia="zh-CN"/>
                    </w:rPr>
                    <w:t>4个</w:t>
                  </w:r>
                </w:p>
              </w:tc>
              <w:tc>
                <w:tcPr>
                  <w:tcW w:w="781" w:type="pct"/>
                  <w:noWrap w:val="0"/>
                  <w:vAlign w:val="center"/>
                </w:tcPr>
                <w:p>
                  <w:pPr>
                    <w:adjustRightInd w:val="0"/>
                    <w:snapToGrid w:val="0"/>
                    <w:jc w:val="center"/>
                    <w:rPr>
                      <w:rFonts w:hint="default"/>
                      <w:lang w:val="en-US" w:eastAsia="zh-CN"/>
                    </w:rPr>
                  </w:pPr>
                  <w:r>
                    <w:rPr>
                      <w:rFonts w:hint="eastAsia"/>
                      <w:lang w:val="en-US" w:eastAsia="zh-CN"/>
                    </w:rPr>
                    <w:t>0.2</w:t>
                  </w:r>
                </w:p>
              </w:tc>
              <w:tc>
                <w:tcPr>
                  <w:tcW w:w="427" w:type="pct"/>
                  <w:noWrap w:val="0"/>
                  <w:vAlign w:val="center"/>
                </w:tcPr>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vMerge w:val="continue"/>
                  <w:noWrap w:val="0"/>
                  <w:vAlign w:val="center"/>
                </w:tcPr>
                <w:p>
                  <w:pPr>
                    <w:adjustRightInd w:val="0"/>
                    <w:snapToGrid w:val="0"/>
                    <w:jc w:val="center"/>
                  </w:pPr>
                </w:p>
              </w:tc>
              <w:tc>
                <w:tcPr>
                  <w:tcW w:w="402" w:type="pct"/>
                  <w:noWrap w:val="0"/>
                  <w:tcMar>
                    <w:top w:w="0" w:type="dxa"/>
                    <w:left w:w="28" w:type="dxa"/>
                    <w:bottom w:w="0" w:type="dxa"/>
                    <w:right w:w="28" w:type="dxa"/>
                  </w:tcMar>
                  <w:vAlign w:val="center"/>
                </w:tcPr>
                <w:p>
                  <w:pPr>
                    <w:adjustRightInd w:val="0"/>
                    <w:snapToGrid w:val="0"/>
                    <w:jc w:val="center"/>
                    <w:rPr>
                      <w:rFonts w:hint="default"/>
                      <w:lang w:val="en-US" w:eastAsia="zh-CN"/>
                    </w:rPr>
                  </w:pPr>
                  <w:r>
                    <w:rPr>
                      <w:rFonts w:hint="eastAsia"/>
                      <w:lang w:val="en-US" w:eastAsia="zh-CN"/>
                    </w:rPr>
                    <w:t>危险废物</w:t>
                  </w:r>
                </w:p>
              </w:tc>
              <w:tc>
                <w:tcPr>
                  <w:tcW w:w="877" w:type="pct"/>
                  <w:gridSpan w:val="2"/>
                  <w:noWrap w:val="0"/>
                  <w:tcMar>
                    <w:top w:w="0" w:type="dxa"/>
                    <w:left w:w="28" w:type="dxa"/>
                    <w:bottom w:w="0" w:type="dxa"/>
                    <w:right w:w="28" w:type="dxa"/>
                  </w:tcMar>
                  <w:vAlign w:val="center"/>
                </w:tcPr>
                <w:p>
                  <w:pPr>
                    <w:autoSpaceDE w:val="0"/>
                    <w:autoSpaceDN w:val="0"/>
                    <w:adjustRightInd w:val="0"/>
                    <w:snapToGrid w:val="0"/>
                    <w:jc w:val="center"/>
                    <w:rPr>
                      <w:rFonts w:hint="eastAsia"/>
                      <w:lang w:val="en-US" w:eastAsia="zh-CN"/>
                    </w:rPr>
                  </w:pPr>
                  <w:r>
                    <w:rPr>
                      <w:rFonts w:hint="eastAsia"/>
                      <w:lang w:eastAsia="zh-CN"/>
                    </w:rPr>
                    <w:t>废机油</w:t>
                  </w:r>
                </w:p>
              </w:tc>
              <w:tc>
                <w:tcPr>
                  <w:tcW w:w="1907" w:type="pct"/>
                  <w:noWrap w:val="0"/>
                  <w:tcMar>
                    <w:top w:w="0" w:type="dxa"/>
                    <w:left w:w="28" w:type="dxa"/>
                    <w:bottom w:w="0" w:type="dxa"/>
                    <w:right w:w="28" w:type="dxa"/>
                  </w:tcMar>
                  <w:vAlign w:val="center"/>
                </w:tcPr>
                <w:p>
                  <w:pPr>
                    <w:snapToGrid w:val="0"/>
                    <w:jc w:val="center"/>
                    <w:rPr>
                      <w:rFonts w:hint="default"/>
                      <w:lang w:val="en-US" w:eastAsia="zh-CN"/>
                    </w:rPr>
                  </w:pPr>
                  <w:r>
                    <w:rPr>
                      <w:rFonts w:hint="eastAsia"/>
                      <w:lang w:val="en-US" w:eastAsia="zh-CN"/>
                    </w:rPr>
                    <w:t>1间10m</w:t>
                  </w:r>
                  <w:r>
                    <w:rPr>
                      <w:rFonts w:hint="eastAsia"/>
                      <w:vertAlign w:val="superscript"/>
                      <w:lang w:val="en-US" w:eastAsia="zh-CN"/>
                    </w:rPr>
                    <w:t>2</w:t>
                  </w:r>
                  <w:r>
                    <w:rPr>
                      <w:rFonts w:hint="eastAsia"/>
                      <w:lang w:val="en-US" w:eastAsia="zh-CN"/>
                    </w:rPr>
                    <w:t>的</w:t>
                  </w:r>
                  <w:r>
                    <w:rPr>
                      <w:rFonts w:hint="eastAsia"/>
                      <w:lang w:eastAsia="zh-CN"/>
                    </w:rPr>
                    <w:t>危废暂存间</w:t>
                  </w:r>
                </w:p>
              </w:tc>
              <w:tc>
                <w:tcPr>
                  <w:tcW w:w="781" w:type="pct"/>
                  <w:noWrap w:val="0"/>
                  <w:vAlign w:val="center"/>
                </w:tcPr>
                <w:p>
                  <w:pPr>
                    <w:adjustRightInd w:val="0"/>
                    <w:snapToGrid w:val="0"/>
                    <w:jc w:val="center"/>
                    <w:rPr>
                      <w:rFonts w:hint="default"/>
                      <w:lang w:val="en-US" w:eastAsia="zh-CN"/>
                    </w:rPr>
                  </w:pPr>
                  <w:r>
                    <w:rPr>
                      <w:rFonts w:hint="eastAsia"/>
                      <w:lang w:val="en-US" w:eastAsia="zh-CN"/>
                    </w:rPr>
                    <w:t>2.0</w:t>
                  </w:r>
                </w:p>
              </w:tc>
              <w:tc>
                <w:tcPr>
                  <w:tcW w:w="427" w:type="pct"/>
                  <w:noWrap w:val="0"/>
                  <w:vAlign w:val="center"/>
                </w:tcPr>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noWrap w:val="0"/>
                  <w:vAlign w:val="center"/>
                </w:tcPr>
                <w:p>
                  <w:pPr>
                    <w:adjustRightInd w:val="0"/>
                    <w:snapToGrid w:val="0"/>
                    <w:jc w:val="center"/>
                    <w:rPr>
                      <w:rFonts w:hint="eastAsia"/>
                      <w:lang w:val="en-US" w:eastAsia="zh-CN"/>
                    </w:rPr>
                  </w:pPr>
                  <w:r>
                    <w:rPr>
                      <w:rFonts w:hint="eastAsia"/>
                      <w:lang w:val="en-US" w:eastAsia="zh-CN"/>
                    </w:rPr>
                    <w:t>生态保护</w:t>
                  </w:r>
                </w:p>
              </w:tc>
              <w:tc>
                <w:tcPr>
                  <w:tcW w:w="1280" w:type="pct"/>
                  <w:gridSpan w:val="3"/>
                  <w:noWrap w:val="0"/>
                  <w:tcMar>
                    <w:top w:w="0" w:type="dxa"/>
                    <w:left w:w="28" w:type="dxa"/>
                    <w:bottom w:w="0" w:type="dxa"/>
                    <w:right w:w="28" w:type="dxa"/>
                  </w:tcMar>
                  <w:vAlign w:val="center"/>
                </w:tcPr>
                <w:p>
                  <w:pPr>
                    <w:pStyle w:val="62"/>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lang w:val="en-US" w:eastAsia="zh-CN"/>
                    </w:rPr>
                  </w:pPr>
                  <w:r>
                    <w:rPr>
                      <w:rFonts w:hint="eastAsia"/>
                      <w:lang w:eastAsia="zh-CN"/>
                    </w:rPr>
                    <w:t>采矿全过程</w:t>
                  </w:r>
                </w:p>
              </w:tc>
              <w:tc>
                <w:tcPr>
                  <w:tcW w:w="1907" w:type="pct"/>
                  <w:noWrap w:val="0"/>
                  <w:tcMar>
                    <w:top w:w="0" w:type="dxa"/>
                    <w:left w:w="28" w:type="dxa"/>
                    <w:bottom w:w="0" w:type="dxa"/>
                    <w:right w:w="28" w:type="dxa"/>
                  </w:tcMar>
                  <w:vAlign w:val="center"/>
                </w:tcPr>
                <w:p>
                  <w:pPr>
                    <w:keepNext w:val="0"/>
                    <w:keepLines w:val="0"/>
                    <w:widowControl/>
                    <w:suppressLineNumbers w:val="0"/>
                    <w:jc w:val="left"/>
                    <w:rPr>
                      <w:rFonts w:hint="eastAsia"/>
                      <w:lang w:val="en-US" w:eastAsia="zh-CN"/>
                    </w:rPr>
                  </w:pPr>
                  <w:r>
                    <w:rPr>
                      <w:rFonts w:hint="eastAsia"/>
                      <w:lang w:val="en-US" w:eastAsia="zh-CN"/>
                    </w:rPr>
                    <w:t>采空区复垦，绿化、植被恢复等</w:t>
                  </w:r>
                </w:p>
              </w:tc>
              <w:tc>
                <w:tcPr>
                  <w:tcW w:w="781" w:type="pct"/>
                  <w:noWrap w:val="0"/>
                  <w:vAlign w:val="center"/>
                </w:tcPr>
                <w:p>
                  <w:pPr>
                    <w:adjustRightInd w:val="0"/>
                    <w:snapToGrid w:val="0"/>
                    <w:jc w:val="center"/>
                    <w:rPr>
                      <w:rFonts w:hint="default"/>
                      <w:lang w:val="en-US" w:eastAsia="zh-CN"/>
                    </w:rPr>
                  </w:pPr>
                  <w:r>
                    <w:rPr>
                      <w:rFonts w:hint="eastAsia"/>
                      <w:lang w:val="en-US" w:eastAsia="zh-CN"/>
                    </w:rPr>
                    <w:t>25.2</w:t>
                  </w:r>
                </w:p>
              </w:tc>
              <w:tc>
                <w:tcPr>
                  <w:tcW w:w="427" w:type="pct"/>
                  <w:noWrap w:val="0"/>
                  <w:vAlign w:val="center"/>
                </w:tcPr>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4572" w:type="pct"/>
                  <w:gridSpan w:val="6"/>
                  <w:noWrap w:val="0"/>
                  <w:vAlign w:val="center"/>
                </w:tcPr>
                <w:p>
                  <w:pPr>
                    <w:adjustRightInd w:val="0"/>
                    <w:snapToGrid w:val="0"/>
                    <w:jc w:val="center"/>
                    <w:rPr>
                      <w:rFonts w:hint="default"/>
                      <w:lang w:val="en-US" w:eastAsia="zh-CN"/>
                    </w:rPr>
                  </w:pPr>
                  <w:r>
                    <w:rPr>
                      <w:rFonts w:hint="eastAsia"/>
                      <w:lang w:val="en-US" w:eastAsia="zh-CN"/>
                    </w:rPr>
                    <w:t>服务期满后</w:t>
                  </w:r>
                </w:p>
              </w:tc>
              <w:tc>
                <w:tcPr>
                  <w:tcW w:w="427" w:type="pct"/>
                  <w:noWrap w:val="0"/>
                  <w:vAlign w:val="center"/>
                </w:tcPr>
                <w:p>
                  <w:pPr>
                    <w:adjustRightInd w:val="0"/>
                    <w:snapToGrid w:val="0"/>
                    <w:jc w:val="both"/>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vMerge w:val="restart"/>
                  <w:noWrap w:val="0"/>
                  <w:vAlign w:val="center"/>
                </w:tcPr>
                <w:p>
                  <w:pPr>
                    <w:adjustRightInd w:val="0"/>
                    <w:snapToGrid w:val="0"/>
                    <w:jc w:val="center"/>
                  </w:pPr>
                  <w:r>
                    <w:t>生态</w:t>
                  </w:r>
                </w:p>
              </w:tc>
              <w:tc>
                <w:tcPr>
                  <w:tcW w:w="1280" w:type="pct"/>
                  <w:gridSpan w:val="3"/>
                  <w:noWrap w:val="0"/>
                  <w:tcMar>
                    <w:top w:w="0" w:type="dxa"/>
                    <w:left w:w="28" w:type="dxa"/>
                    <w:bottom w:w="0" w:type="dxa"/>
                    <w:right w:w="28" w:type="dxa"/>
                  </w:tcMar>
                  <w:vAlign w:val="center"/>
                </w:tcPr>
                <w:p>
                  <w:pPr>
                    <w:adjustRightInd w:val="0"/>
                    <w:snapToGrid w:val="0"/>
                    <w:jc w:val="center"/>
                  </w:pPr>
                  <w:r>
                    <w:t>采矿区</w:t>
                  </w:r>
                </w:p>
              </w:tc>
              <w:tc>
                <w:tcPr>
                  <w:tcW w:w="1907" w:type="pct"/>
                  <w:noWrap w:val="0"/>
                  <w:tcMar>
                    <w:top w:w="0" w:type="dxa"/>
                    <w:left w:w="28" w:type="dxa"/>
                    <w:bottom w:w="0" w:type="dxa"/>
                    <w:right w:w="28" w:type="dxa"/>
                  </w:tcMar>
                  <w:vAlign w:val="center"/>
                </w:tcPr>
                <w:p>
                  <w:pPr>
                    <w:adjustRightInd w:val="0"/>
                    <w:snapToGrid w:val="0"/>
                    <w:jc w:val="center"/>
                  </w:pPr>
                  <w:r>
                    <w:t>露天采场边坡治理、地质环境保护工程、土地复垦等</w:t>
                  </w:r>
                </w:p>
              </w:tc>
              <w:tc>
                <w:tcPr>
                  <w:tcW w:w="781" w:type="pct"/>
                  <w:vMerge w:val="restart"/>
                  <w:noWrap w:val="0"/>
                  <w:vAlign w:val="center"/>
                </w:tcPr>
                <w:p>
                  <w:pPr>
                    <w:adjustRightInd w:val="0"/>
                    <w:snapToGrid w:val="0"/>
                    <w:jc w:val="center"/>
                    <w:rPr>
                      <w:rFonts w:hint="default"/>
                      <w:lang w:val="en-US" w:eastAsia="zh-CN"/>
                    </w:rPr>
                  </w:pPr>
                  <w:r>
                    <w:rPr>
                      <w:rFonts w:hint="eastAsia"/>
                      <w:lang w:val="en-US" w:eastAsia="zh-CN"/>
                    </w:rPr>
                    <w:t>25</w:t>
                  </w:r>
                </w:p>
              </w:tc>
              <w:tc>
                <w:tcPr>
                  <w:tcW w:w="427" w:type="pct"/>
                  <w:vMerge w:val="restart"/>
                  <w:noWrap w:val="0"/>
                  <w:vAlign w:val="center"/>
                </w:tcPr>
                <w:p>
                  <w:pPr>
                    <w:adjustRightInd w:val="0"/>
                    <w:snapToGrid w:val="0"/>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vMerge w:val="continue"/>
                  <w:noWrap w:val="0"/>
                  <w:vAlign w:val="center"/>
                </w:tcPr>
                <w:p>
                  <w:pPr>
                    <w:widowControl/>
                    <w:jc w:val="left"/>
                  </w:pPr>
                </w:p>
              </w:tc>
              <w:tc>
                <w:tcPr>
                  <w:tcW w:w="1280" w:type="pct"/>
                  <w:gridSpan w:val="3"/>
                  <w:noWrap w:val="0"/>
                  <w:tcMar>
                    <w:top w:w="0" w:type="dxa"/>
                    <w:left w:w="28" w:type="dxa"/>
                    <w:bottom w:w="0" w:type="dxa"/>
                    <w:right w:w="28" w:type="dxa"/>
                  </w:tcMar>
                  <w:vAlign w:val="center"/>
                </w:tcPr>
                <w:p>
                  <w:pPr>
                    <w:adjustRightInd w:val="0"/>
                    <w:snapToGrid w:val="0"/>
                    <w:jc w:val="center"/>
                  </w:pPr>
                  <w:r>
                    <w:t>采矿区</w:t>
                  </w:r>
                </w:p>
              </w:tc>
              <w:tc>
                <w:tcPr>
                  <w:tcW w:w="1907" w:type="pct"/>
                  <w:noWrap w:val="0"/>
                  <w:tcMar>
                    <w:top w:w="0" w:type="dxa"/>
                    <w:left w:w="28" w:type="dxa"/>
                    <w:bottom w:w="0" w:type="dxa"/>
                    <w:right w:w="28" w:type="dxa"/>
                  </w:tcMar>
                  <w:vAlign w:val="center"/>
                </w:tcPr>
                <w:p>
                  <w:pPr>
                    <w:adjustRightInd w:val="0"/>
                    <w:snapToGrid w:val="0"/>
                    <w:jc w:val="center"/>
                  </w:pPr>
                  <w:r>
                    <w:t>开采后期及服务期满后的生态恢复及土地复垦措施</w:t>
                  </w:r>
                </w:p>
              </w:tc>
              <w:tc>
                <w:tcPr>
                  <w:tcW w:w="781" w:type="pct"/>
                  <w:vMerge w:val="continue"/>
                  <w:noWrap w:val="0"/>
                  <w:vAlign w:val="center"/>
                </w:tcPr>
                <w:p>
                  <w:pPr>
                    <w:adjustRightInd w:val="0"/>
                    <w:snapToGrid w:val="0"/>
                    <w:jc w:val="center"/>
                  </w:pPr>
                </w:p>
              </w:tc>
              <w:tc>
                <w:tcPr>
                  <w:tcW w:w="427" w:type="pct"/>
                  <w:vMerge w:val="continue"/>
                  <w:noWrap w:val="0"/>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604" w:type="pct"/>
                  <w:vMerge w:val="continue"/>
                  <w:noWrap w:val="0"/>
                  <w:vAlign w:val="center"/>
                </w:tcPr>
                <w:p>
                  <w:pPr>
                    <w:widowControl/>
                    <w:jc w:val="left"/>
                  </w:pPr>
                </w:p>
              </w:tc>
              <w:tc>
                <w:tcPr>
                  <w:tcW w:w="1280" w:type="pct"/>
                  <w:gridSpan w:val="3"/>
                  <w:noWrap w:val="0"/>
                  <w:tcMar>
                    <w:top w:w="0" w:type="dxa"/>
                    <w:left w:w="28" w:type="dxa"/>
                    <w:bottom w:w="0" w:type="dxa"/>
                    <w:right w:w="28" w:type="dxa"/>
                  </w:tcMar>
                  <w:vAlign w:val="center"/>
                </w:tcPr>
                <w:p>
                  <w:pPr>
                    <w:adjustRightInd w:val="0"/>
                    <w:snapToGrid w:val="0"/>
                    <w:jc w:val="center"/>
                  </w:pPr>
                  <w:r>
                    <w:t>采矿区</w:t>
                  </w:r>
                </w:p>
              </w:tc>
              <w:tc>
                <w:tcPr>
                  <w:tcW w:w="1907" w:type="pct"/>
                  <w:noWrap w:val="0"/>
                  <w:tcMar>
                    <w:top w:w="0" w:type="dxa"/>
                    <w:left w:w="28" w:type="dxa"/>
                    <w:bottom w:w="0" w:type="dxa"/>
                    <w:right w:w="28" w:type="dxa"/>
                  </w:tcMar>
                  <w:vAlign w:val="center"/>
                </w:tcPr>
                <w:p>
                  <w:pPr>
                    <w:adjustRightInd w:val="0"/>
                    <w:snapToGrid w:val="0"/>
                    <w:jc w:val="center"/>
                  </w:pPr>
                  <w:r>
                    <w:t>制作环境、生态保护公益标牌</w:t>
                  </w:r>
                </w:p>
              </w:tc>
              <w:tc>
                <w:tcPr>
                  <w:tcW w:w="781" w:type="pct"/>
                  <w:vMerge w:val="continue"/>
                  <w:noWrap w:val="0"/>
                  <w:vAlign w:val="center"/>
                </w:tcPr>
                <w:p>
                  <w:pPr>
                    <w:adjustRightInd w:val="0"/>
                    <w:snapToGrid w:val="0"/>
                    <w:jc w:val="center"/>
                  </w:pPr>
                </w:p>
              </w:tc>
              <w:tc>
                <w:tcPr>
                  <w:tcW w:w="427" w:type="pct"/>
                  <w:vMerge w:val="continue"/>
                  <w:noWrap w:val="0"/>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Pr>
              <w:tc>
                <w:tcPr>
                  <w:tcW w:w="3791" w:type="pct"/>
                  <w:gridSpan w:val="5"/>
                  <w:noWrap w:val="0"/>
                  <w:vAlign w:val="center"/>
                </w:tcPr>
                <w:p>
                  <w:pPr>
                    <w:adjustRightInd w:val="0"/>
                    <w:snapToGrid w:val="0"/>
                    <w:jc w:val="center"/>
                    <w:rPr>
                      <w:rFonts w:hint="eastAsia"/>
                      <w:lang w:val="en-US" w:eastAsia="zh-CN"/>
                    </w:rPr>
                  </w:pPr>
                  <w:r>
                    <w:rPr>
                      <w:rFonts w:hint="eastAsia"/>
                      <w:lang w:val="en-US" w:eastAsia="zh-CN"/>
                    </w:rPr>
                    <w:t>合计</w:t>
                  </w:r>
                </w:p>
              </w:tc>
              <w:tc>
                <w:tcPr>
                  <w:tcW w:w="781" w:type="pct"/>
                  <w:noWrap w:val="0"/>
                  <w:vAlign w:val="center"/>
                </w:tcPr>
                <w:p>
                  <w:pPr>
                    <w:adjustRightInd w:val="0"/>
                    <w:snapToGrid w:val="0"/>
                    <w:jc w:val="center"/>
                    <w:rPr>
                      <w:rFonts w:hint="default"/>
                      <w:lang w:val="en-US" w:eastAsia="zh-CN"/>
                    </w:rPr>
                  </w:pPr>
                  <w:r>
                    <w:rPr>
                      <w:rFonts w:hint="eastAsia"/>
                      <w:lang w:val="en-US" w:eastAsia="zh-CN"/>
                    </w:rPr>
                    <w:t>83.1</w:t>
                  </w:r>
                </w:p>
              </w:tc>
              <w:tc>
                <w:tcPr>
                  <w:tcW w:w="427" w:type="pct"/>
                  <w:noWrap w:val="0"/>
                  <w:vAlign w:val="center"/>
                </w:tcPr>
                <w:p>
                  <w:pPr>
                    <w:adjustRightInd w:val="0"/>
                    <w:snapToGrid w:val="0"/>
                    <w:jc w:val="center"/>
                  </w:pPr>
                </w:p>
              </w:tc>
            </w:tr>
          </w:tbl>
          <w:p>
            <w:pPr>
              <w:adjustRightInd w:val="0"/>
              <w:snapToGrid w:val="0"/>
              <w:spacing w:line="360" w:lineRule="auto"/>
              <w:rPr>
                <w:rFonts w:hint="eastAsia"/>
              </w:rPr>
            </w:pPr>
          </w:p>
          <w:p>
            <w:pPr>
              <w:adjustRightInd w:val="0"/>
              <w:snapToGrid w:val="0"/>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p>
            <w:pPr>
              <w:pStyle w:val="2"/>
              <w:rPr>
                <w:bCs/>
                <w:spacing w:val="10"/>
                <w:szCs w:val="21"/>
                <w:highlight w:val="yellow"/>
              </w:rPr>
            </w:pPr>
          </w:p>
        </w:tc>
      </w:tr>
    </w:tbl>
    <w:p>
      <w:pPr>
        <w:rPr>
          <w:highlight w:val="yellow"/>
        </w:rPr>
        <w:sectPr>
          <w:pgSz w:w="11907" w:h="16840"/>
          <w:pgMar w:top="1701" w:right="1588" w:bottom="1701" w:left="1588" w:header="1134" w:footer="1134" w:gutter="0"/>
          <w:pgBorders>
            <w:top w:val="none" w:sz="0" w:space="0"/>
            <w:left w:val="none" w:sz="0" w:space="0"/>
            <w:bottom w:val="none" w:sz="0" w:space="0"/>
            <w:right w:val="none" w:sz="0" w:space="0"/>
          </w:pgBorders>
          <w:pgNumType w:fmt="numberInDash"/>
          <w:cols w:space="720" w:num="1"/>
          <w:docGrid w:linePitch="312" w:charSpace="0"/>
        </w:sectPr>
      </w:pPr>
    </w:p>
    <w:p>
      <w:pPr>
        <w:pStyle w:val="25"/>
        <w:adjustRightInd w:val="0"/>
        <w:snapToGrid w:val="0"/>
        <w:spacing w:before="0" w:beforeAutospacing="0" w:after="0" w:afterAutospacing="0" w:line="360" w:lineRule="auto"/>
        <w:jc w:val="both"/>
        <w:outlineLvl w:val="0"/>
        <w:rPr>
          <w:rFonts w:ascii="Times New Roman" w:hAnsi="Times New Roman" w:eastAsia="黑体"/>
          <w:snapToGrid w:val="0"/>
          <w:sz w:val="30"/>
          <w:szCs w:val="30"/>
        </w:rPr>
      </w:pPr>
      <w:bookmarkStart w:id="58" w:name="_Toc3042"/>
      <w:r>
        <w:rPr>
          <w:rFonts w:hint="eastAsia" w:ascii="Times New Roman" w:hAnsi="Times New Roman" w:eastAsia="黑体"/>
          <w:snapToGrid w:val="0"/>
          <w:sz w:val="30"/>
          <w:szCs w:val="30"/>
          <w:lang w:val="en-US" w:eastAsia="zh-CN"/>
        </w:rPr>
        <w:t>六、</w:t>
      </w:r>
      <w:r>
        <w:rPr>
          <w:rFonts w:ascii="Times New Roman" w:hAnsi="Times New Roman" w:eastAsia="黑体"/>
          <w:snapToGrid w:val="0"/>
          <w:sz w:val="30"/>
          <w:szCs w:val="30"/>
        </w:rPr>
        <w:t>生态环境保护措施监督检查清单</w:t>
      </w:r>
      <w:bookmarkEnd w:id="58"/>
    </w:p>
    <w:tbl>
      <w:tblPr>
        <w:tblStyle w:val="28"/>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970"/>
        <w:gridCol w:w="2070"/>
        <w:gridCol w:w="1565"/>
        <w:gridCol w:w="2539"/>
        <w:gridCol w:w="1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vMerge w:val="restart"/>
            <w:tcBorders>
              <w:tl2br w:val="single" w:color="auto" w:sz="4" w:space="0"/>
            </w:tcBorders>
            <w:noWrap w:val="0"/>
            <w:vAlign w:val="top"/>
          </w:tcPr>
          <w:p>
            <w:pPr>
              <w:pStyle w:val="25"/>
              <w:adjustRightInd w:val="0"/>
              <w:snapToGrid w:val="0"/>
              <w:spacing w:before="0" w:beforeAutospacing="0" w:after="0" w:afterAutospacing="0" w:line="240" w:lineRule="auto"/>
              <w:jc w:val="center"/>
              <w:outlineLvl w:val="0"/>
              <w:rPr>
                <w:rFonts w:hint="default" w:ascii="Times New Roman" w:hAnsi="Times New Roman" w:eastAsia="宋体" w:cs="Times New Roman"/>
                <w:color w:val="auto"/>
                <w:kern w:val="2"/>
                <w:sz w:val="18"/>
                <w:szCs w:val="18"/>
                <w:lang w:val="en-US" w:eastAsia="zh-CN"/>
              </w:rPr>
            </w:pPr>
            <w:r>
              <w:rPr>
                <w:rFonts w:hint="default" w:ascii="Times New Roman" w:hAnsi="Times New Roman" w:eastAsia="宋体" w:cs="Times New Roman"/>
                <w:color w:val="auto"/>
                <w:kern w:val="2"/>
                <w:sz w:val="18"/>
                <w:szCs w:val="18"/>
                <w:lang w:val="en-US" w:eastAsia="zh-CN"/>
              </w:rPr>
              <w:t xml:space="preserve">    </w:t>
            </w:r>
            <w:bookmarkStart w:id="59" w:name="_Toc28932"/>
            <w:r>
              <w:rPr>
                <w:rFonts w:hint="default" w:ascii="Times New Roman" w:hAnsi="Times New Roman" w:eastAsia="宋体" w:cs="Times New Roman"/>
                <w:color w:val="auto"/>
                <w:kern w:val="2"/>
                <w:sz w:val="18"/>
                <w:szCs w:val="18"/>
                <w:lang w:val="en-US" w:eastAsia="zh-CN"/>
              </w:rPr>
              <w:t>内容</w:t>
            </w:r>
            <w:bookmarkEnd w:id="59"/>
          </w:p>
          <w:p>
            <w:pPr>
              <w:pStyle w:val="25"/>
              <w:adjustRightInd w:val="0"/>
              <w:snapToGrid w:val="0"/>
              <w:spacing w:before="0" w:beforeAutospacing="0" w:after="0" w:afterAutospacing="0" w:line="240" w:lineRule="auto"/>
              <w:outlineLvl w:val="0"/>
              <w:rPr>
                <w:rFonts w:hint="default" w:ascii="Times New Roman" w:hAnsi="Times New Roman" w:eastAsia="宋体" w:cs="Times New Roman"/>
                <w:color w:val="auto"/>
                <w:kern w:val="2"/>
                <w:sz w:val="18"/>
                <w:szCs w:val="18"/>
                <w:lang w:val="en-US" w:eastAsia="zh-CN"/>
              </w:rPr>
            </w:pPr>
            <w:bookmarkStart w:id="60" w:name="_Toc15700"/>
            <w:r>
              <w:rPr>
                <w:rFonts w:hint="default" w:ascii="Times New Roman" w:hAnsi="Times New Roman" w:eastAsia="宋体" w:cs="Times New Roman"/>
                <w:color w:val="auto"/>
                <w:kern w:val="2"/>
                <w:sz w:val="18"/>
                <w:szCs w:val="18"/>
                <w:lang w:val="en-US" w:eastAsia="zh-CN"/>
              </w:rPr>
              <w:t>要素</w:t>
            </w:r>
            <w:bookmarkEnd w:id="60"/>
          </w:p>
        </w:tc>
        <w:tc>
          <w:tcPr>
            <w:tcW w:w="2055" w:type="pct"/>
            <w:gridSpan w:val="2"/>
            <w:noWrap w:val="0"/>
            <w:vAlign w:val="center"/>
          </w:tcPr>
          <w:p>
            <w:pPr>
              <w:pStyle w:val="25"/>
              <w:adjustRightInd w:val="0"/>
              <w:snapToGrid w:val="0"/>
              <w:spacing w:before="0" w:beforeAutospacing="0" w:after="0" w:afterAutospacing="0" w:line="240" w:lineRule="auto"/>
              <w:jc w:val="center"/>
              <w:outlineLvl w:val="0"/>
              <w:rPr>
                <w:rFonts w:hint="default" w:ascii="Times New Roman" w:hAnsi="Times New Roman" w:eastAsia="宋体" w:cs="Times New Roman"/>
                <w:color w:val="auto"/>
                <w:kern w:val="2"/>
                <w:sz w:val="18"/>
                <w:szCs w:val="18"/>
                <w:lang w:val="en-US" w:eastAsia="zh-CN"/>
              </w:rPr>
            </w:pPr>
            <w:bookmarkStart w:id="61" w:name="_Toc21040"/>
            <w:r>
              <w:rPr>
                <w:rFonts w:hint="default" w:ascii="Times New Roman" w:hAnsi="Times New Roman" w:eastAsia="宋体" w:cs="Times New Roman"/>
                <w:color w:val="auto"/>
                <w:kern w:val="2"/>
                <w:sz w:val="18"/>
                <w:szCs w:val="18"/>
                <w:lang w:val="en-US" w:eastAsia="zh-CN"/>
              </w:rPr>
              <w:t>施工期</w:t>
            </w:r>
            <w:bookmarkEnd w:id="61"/>
          </w:p>
        </w:tc>
        <w:tc>
          <w:tcPr>
            <w:tcW w:w="2396" w:type="pct"/>
            <w:gridSpan w:val="2"/>
            <w:noWrap w:val="0"/>
            <w:vAlign w:val="center"/>
          </w:tcPr>
          <w:p>
            <w:pPr>
              <w:pStyle w:val="25"/>
              <w:adjustRightInd w:val="0"/>
              <w:snapToGrid w:val="0"/>
              <w:spacing w:before="0" w:beforeAutospacing="0" w:after="0" w:afterAutospacing="0" w:line="240" w:lineRule="auto"/>
              <w:jc w:val="center"/>
              <w:outlineLvl w:val="0"/>
              <w:rPr>
                <w:rFonts w:hint="default" w:ascii="Times New Roman" w:hAnsi="Times New Roman" w:eastAsia="宋体" w:cs="Times New Roman"/>
                <w:color w:val="auto"/>
                <w:kern w:val="2"/>
                <w:sz w:val="18"/>
                <w:szCs w:val="18"/>
                <w:lang w:val="en-US" w:eastAsia="zh-CN"/>
              </w:rPr>
            </w:pPr>
            <w:bookmarkStart w:id="62" w:name="_Toc8037"/>
            <w:r>
              <w:rPr>
                <w:rFonts w:hint="default" w:ascii="Times New Roman" w:hAnsi="Times New Roman" w:eastAsia="宋体" w:cs="Times New Roman"/>
                <w:color w:val="auto"/>
                <w:kern w:val="2"/>
                <w:sz w:val="18"/>
                <w:szCs w:val="18"/>
                <w:lang w:val="en-US" w:eastAsia="zh-CN"/>
              </w:rPr>
              <w:t>运营期</w:t>
            </w:r>
            <w:bookmarkEnd w:id="6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vMerge w:val="continue"/>
            <w:noWrap w:val="0"/>
            <w:vAlign w:val="top"/>
          </w:tcPr>
          <w:p>
            <w:pPr>
              <w:pStyle w:val="25"/>
              <w:adjustRightInd w:val="0"/>
              <w:snapToGrid w:val="0"/>
              <w:spacing w:before="0" w:beforeAutospacing="0" w:after="0" w:afterAutospacing="0" w:line="240" w:lineRule="auto"/>
              <w:ind w:firstLine="840"/>
              <w:jc w:val="center"/>
              <w:outlineLvl w:val="9"/>
              <w:rPr>
                <w:rFonts w:hint="default" w:ascii="Times New Roman" w:hAnsi="Times New Roman" w:eastAsia="宋体" w:cs="Times New Roman"/>
                <w:color w:val="auto"/>
                <w:kern w:val="2"/>
                <w:sz w:val="18"/>
                <w:szCs w:val="18"/>
                <w:lang w:val="en-US" w:eastAsia="zh-CN"/>
              </w:rPr>
            </w:pPr>
          </w:p>
        </w:tc>
        <w:tc>
          <w:tcPr>
            <w:tcW w:w="1170" w:type="pct"/>
            <w:noWrap w:val="0"/>
            <w:vAlign w:val="center"/>
          </w:tcPr>
          <w:p>
            <w:pPr>
              <w:pStyle w:val="25"/>
              <w:adjustRightInd w:val="0"/>
              <w:snapToGrid w:val="0"/>
              <w:spacing w:before="0" w:beforeAutospacing="0" w:after="0" w:afterAutospacing="0" w:line="240" w:lineRule="auto"/>
              <w:jc w:val="center"/>
              <w:outlineLvl w:val="0"/>
              <w:rPr>
                <w:rFonts w:hint="default" w:ascii="Times New Roman" w:hAnsi="Times New Roman" w:eastAsia="宋体" w:cs="Times New Roman"/>
                <w:color w:val="auto"/>
                <w:kern w:val="2"/>
                <w:sz w:val="18"/>
                <w:szCs w:val="18"/>
                <w:lang w:val="en-US" w:eastAsia="zh-CN"/>
              </w:rPr>
            </w:pPr>
            <w:bookmarkStart w:id="63" w:name="_Toc26838"/>
            <w:r>
              <w:rPr>
                <w:rFonts w:hint="default" w:ascii="Times New Roman" w:hAnsi="Times New Roman" w:eastAsia="宋体" w:cs="Times New Roman"/>
                <w:color w:val="auto"/>
                <w:kern w:val="2"/>
                <w:sz w:val="18"/>
                <w:szCs w:val="18"/>
                <w:lang w:val="en-US" w:eastAsia="zh-CN"/>
              </w:rPr>
              <w:t>环境保护措施</w:t>
            </w:r>
            <w:bookmarkEnd w:id="63"/>
          </w:p>
        </w:tc>
        <w:tc>
          <w:tcPr>
            <w:tcW w:w="884" w:type="pct"/>
            <w:noWrap w:val="0"/>
            <w:vAlign w:val="center"/>
          </w:tcPr>
          <w:p>
            <w:pPr>
              <w:pStyle w:val="25"/>
              <w:adjustRightInd w:val="0"/>
              <w:snapToGrid w:val="0"/>
              <w:spacing w:before="0" w:beforeAutospacing="0" w:after="0" w:afterAutospacing="0" w:line="240" w:lineRule="auto"/>
              <w:jc w:val="center"/>
              <w:outlineLvl w:val="0"/>
              <w:rPr>
                <w:rFonts w:hint="default" w:ascii="Times New Roman" w:hAnsi="Times New Roman" w:eastAsia="宋体" w:cs="Times New Roman"/>
                <w:color w:val="auto"/>
                <w:kern w:val="2"/>
                <w:sz w:val="18"/>
                <w:szCs w:val="18"/>
                <w:lang w:val="en-US" w:eastAsia="zh-CN"/>
              </w:rPr>
            </w:pPr>
            <w:bookmarkStart w:id="64" w:name="_Toc15361"/>
            <w:r>
              <w:rPr>
                <w:rFonts w:hint="default" w:ascii="Times New Roman" w:hAnsi="Times New Roman" w:eastAsia="宋体" w:cs="Times New Roman"/>
                <w:color w:val="auto"/>
                <w:kern w:val="2"/>
                <w:sz w:val="18"/>
                <w:szCs w:val="18"/>
                <w:lang w:val="en-US" w:eastAsia="zh-CN"/>
              </w:rPr>
              <w:t>验收要求</w:t>
            </w:r>
            <w:bookmarkEnd w:id="64"/>
          </w:p>
        </w:tc>
        <w:tc>
          <w:tcPr>
            <w:tcW w:w="1435" w:type="pct"/>
            <w:noWrap w:val="0"/>
            <w:vAlign w:val="center"/>
          </w:tcPr>
          <w:p>
            <w:pPr>
              <w:pStyle w:val="25"/>
              <w:adjustRightInd w:val="0"/>
              <w:snapToGrid w:val="0"/>
              <w:spacing w:before="0" w:beforeAutospacing="0" w:after="0" w:afterAutospacing="0" w:line="240" w:lineRule="auto"/>
              <w:jc w:val="center"/>
              <w:outlineLvl w:val="0"/>
              <w:rPr>
                <w:rFonts w:hint="default" w:ascii="Times New Roman" w:hAnsi="Times New Roman" w:eastAsia="宋体" w:cs="Times New Roman"/>
                <w:color w:val="auto"/>
                <w:kern w:val="2"/>
                <w:sz w:val="18"/>
                <w:szCs w:val="18"/>
                <w:lang w:val="en-US" w:eastAsia="zh-CN"/>
              </w:rPr>
            </w:pPr>
            <w:bookmarkStart w:id="65" w:name="_Toc11258"/>
            <w:r>
              <w:rPr>
                <w:rFonts w:hint="default" w:ascii="Times New Roman" w:hAnsi="Times New Roman" w:eastAsia="宋体" w:cs="Times New Roman"/>
                <w:color w:val="auto"/>
                <w:kern w:val="2"/>
                <w:sz w:val="18"/>
                <w:szCs w:val="18"/>
                <w:lang w:val="en-US" w:eastAsia="zh-CN"/>
              </w:rPr>
              <w:t>环境保护措施</w:t>
            </w:r>
            <w:bookmarkEnd w:id="65"/>
          </w:p>
        </w:tc>
        <w:tc>
          <w:tcPr>
            <w:tcW w:w="961" w:type="pct"/>
            <w:noWrap w:val="0"/>
            <w:vAlign w:val="center"/>
          </w:tcPr>
          <w:p>
            <w:pPr>
              <w:pStyle w:val="25"/>
              <w:adjustRightInd w:val="0"/>
              <w:snapToGrid w:val="0"/>
              <w:spacing w:before="0" w:beforeAutospacing="0" w:after="0" w:afterAutospacing="0" w:line="240" w:lineRule="auto"/>
              <w:jc w:val="center"/>
              <w:outlineLvl w:val="0"/>
              <w:rPr>
                <w:rFonts w:hint="default" w:ascii="Times New Roman" w:hAnsi="Times New Roman" w:eastAsia="宋体" w:cs="Times New Roman"/>
                <w:color w:val="auto"/>
                <w:kern w:val="2"/>
                <w:sz w:val="18"/>
                <w:szCs w:val="18"/>
                <w:lang w:val="en-US" w:eastAsia="zh-CN"/>
              </w:rPr>
            </w:pPr>
            <w:bookmarkStart w:id="66" w:name="_Toc30679"/>
            <w:r>
              <w:rPr>
                <w:rFonts w:hint="default" w:ascii="Times New Roman" w:hAnsi="Times New Roman" w:eastAsia="宋体" w:cs="Times New Roman"/>
                <w:color w:val="auto"/>
                <w:kern w:val="2"/>
                <w:sz w:val="18"/>
                <w:szCs w:val="18"/>
                <w:lang w:val="en-US" w:eastAsia="zh-CN"/>
              </w:rPr>
              <w:t>验收要求</w:t>
            </w:r>
            <w:bookmarkEnd w:id="6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陆生生态</w:t>
            </w:r>
          </w:p>
        </w:tc>
        <w:tc>
          <w:tcPr>
            <w:tcW w:w="1170" w:type="pct"/>
            <w:noWrap w:val="0"/>
            <w:vAlign w:val="center"/>
          </w:tcPr>
          <w:p>
            <w:pPr>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施工车辆、机械碾压破坏的地方要及时修整</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lang w:val="en-US" w:eastAsia="zh-CN"/>
              </w:rPr>
              <w:t>是否按照要求实施</w:t>
            </w:r>
          </w:p>
        </w:tc>
        <w:tc>
          <w:tcPr>
            <w:tcW w:w="1435" w:type="pct"/>
            <w:noWrap w:val="0"/>
            <w:vAlign w:val="center"/>
          </w:tcPr>
          <w:p>
            <w:pPr>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矿山生态环境保护与恢复治理技术规范(HJ651- 2013)和三合一方案等提出的开采区、剥离表土、路面工程、工业场地、水土流失以及闭矿期等生态保护措施</w:t>
            </w:r>
          </w:p>
        </w:tc>
        <w:tc>
          <w:tcPr>
            <w:tcW w:w="961" w:type="pct"/>
            <w:noWrap w:val="0"/>
            <w:vAlign w:val="center"/>
          </w:tcPr>
          <w:p>
            <w:pPr>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措施可行、有效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水生生态</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1435"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961"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地表水环境</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施工现场设置防渗环保旱厕，洗漱废水水质简单，全部泼洒抑尘</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不外排</w:t>
            </w:r>
          </w:p>
        </w:tc>
        <w:tc>
          <w:tcPr>
            <w:tcW w:w="1435"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rPr>
              <w:t>工业场地设置防渗环保</w:t>
            </w:r>
            <w:r>
              <w:rPr>
                <w:rFonts w:hint="default" w:ascii="Times New Roman" w:hAnsi="Times New Roman" w:eastAsia="宋体" w:cs="Times New Roman"/>
                <w:color w:val="auto"/>
                <w:sz w:val="18"/>
                <w:szCs w:val="18"/>
                <w:lang w:val="en-US" w:eastAsia="zh-CN"/>
              </w:rPr>
              <w:t>厕所</w:t>
            </w:r>
            <w:r>
              <w:rPr>
                <w:rFonts w:hint="eastAsia" w:cs="Times New Roman"/>
                <w:color w:val="auto"/>
                <w:sz w:val="18"/>
                <w:szCs w:val="18"/>
                <w:lang w:val="en-US" w:eastAsia="zh-CN"/>
              </w:rPr>
              <w:t>，经化粪池处理后，拉运至污水处理厂</w:t>
            </w:r>
          </w:p>
        </w:tc>
        <w:tc>
          <w:tcPr>
            <w:tcW w:w="961" w:type="pct"/>
            <w:noWrap w:val="0"/>
            <w:vAlign w:val="center"/>
          </w:tcPr>
          <w:p>
            <w:pPr>
              <w:spacing w:line="240" w:lineRule="auto"/>
              <w:rPr>
                <w:rFonts w:hint="default" w:ascii="Times New Roman" w:hAnsi="Times New Roman" w:eastAsia="宋体" w:cs="Times New Roman"/>
                <w:color w:val="auto"/>
                <w:sz w:val="18"/>
                <w:szCs w:val="18"/>
              </w:rPr>
            </w:pPr>
            <w:r>
              <w:rPr>
                <w:rFonts w:hint="eastAsia" w:cs="Times New Roman"/>
                <w:color w:val="auto"/>
                <w:sz w:val="18"/>
                <w:szCs w:val="18"/>
                <w:lang w:eastAsia="zh-CN"/>
              </w:rPr>
              <w:t>生产</w:t>
            </w:r>
            <w:r>
              <w:rPr>
                <w:rFonts w:hint="default" w:ascii="Times New Roman" w:hAnsi="Times New Roman" w:eastAsia="宋体" w:cs="Times New Roman"/>
                <w:color w:val="auto"/>
                <w:sz w:val="18"/>
                <w:szCs w:val="18"/>
              </w:rPr>
              <w:t>废水循环利用，不外排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地下水及土壤环境</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1435"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961"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712"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声环境</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施工单位应按照 有关建筑施工管理规 定，加强施工机械的 维修保养，避免机械 带故障运转产生高噪 声； 合理安排施工作 业时间，禁止夜间施 工。</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《建筑施工 场界环境噪 声排放标 准》 （GB12523 -2011）中的 标准限值</w:t>
            </w:r>
          </w:p>
        </w:tc>
        <w:tc>
          <w:tcPr>
            <w:tcW w:w="1435" w:type="pct"/>
            <w:noWrap w:val="0"/>
            <w:vAlign w:val="center"/>
          </w:tcPr>
          <w:p>
            <w:pPr>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设备安装减振基等</w:t>
            </w:r>
          </w:p>
        </w:tc>
        <w:tc>
          <w:tcPr>
            <w:tcW w:w="961" w:type="pct"/>
            <w:noWrap w:val="0"/>
            <w:vAlign w:val="center"/>
          </w:tcPr>
          <w:p>
            <w:pPr>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《工业企业厂界环境噪声排放标准》（GB12348-2008）2类区要求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振动</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1435"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961"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大气环境</w:t>
            </w:r>
          </w:p>
        </w:tc>
        <w:tc>
          <w:tcPr>
            <w:tcW w:w="1170" w:type="pct"/>
            <w:noWrap w:val="0"/>
            <w:vAlign w:val="center"/>
          </w:tcPr>
          <w:p>
            <w:pPr>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必须做到“六个100%”，即100%标准化围蔽、工地砂土不用时必须100%覆盖、工地路面必须100%硬地化、拆除工程必须100%洒水压尘、出工地车辆必须100%冲净车轮车身、施工现场长期裸土必须100%覆盖或绿化</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1435" w:type="pct"/>
            <w:noWrap w:val="0"/>
            <w:vAlign w:val="center"/>
          </w:tcPr>
          <w:p>
            <w:pPr>
              <w:spacing w:line="240" w:lineRule="auto"/>
              <w:rPr>
                <w:rFonts w:hint="eastAsia"/>
                <w:color w:val="auto"/>
                <w:sz w:val="18"/>
                <w:szCs w:val="18"/>
                <w:lang w:bidi="ar"/>
              </w:rPr>
            </w:pPr>
            <w:r>
              <w:rPr>
                <w:rFonts w:hint="eastAsia" w:ascii="Times New Roman" w:hAnsi="Times New Roman" w:eastAsia="宋体" w:cs="Times New Roman"/>
                <w:color w:val="auto"/>
                <w:sz w:val="18"/>
                <w:szCs w:val="18"/>
                <w:highlight w:val="none"/>
                <w:lang w:val="zh-CN" w:eastAsia="zh-CN"/>
              </w:rPr>
              <w:t>设置全封闭厂房，车间进行喷淋降尘</w:t>
            </w:r>
            <w:r>
              <w:rPr>
                <w:rFonts w:hint="eastAsia" w:ascii="Times New Roman" w:hAnsi="Times New Roman" w:eastAsia="宋体" w:cs="Times New Roman"/>
                <w:color w:val="auto"/>
                <w:sz w:val="18"/>
                <w:szCs w:val="18"/>
                <w:highlight w:val="none"/>
                <w:lang w:eastAsia="zh-CN"/>
              </w:rPr>
              <w:t>处理</w:t>
            </w:r>
            <w:r>
              <w:rPr>
                <w:rFonts w:hint="eastAsia" w:ascii="Times New Roman" w:hAnsi="Times New Roman" w:eastAsia="宋体" w:cs="Times New Roman"/>
                <w:color w:val="auto"/>
                <w:sz w:val="18"/>
                <w:szCs w:val="18"/>
                <w:highlight w:val="none"/>
                <w:lang w:val="zh-CN" w:eastAsia="zh-CN"/>
              </w:rPr>
              <w:t>，破碎机、筛分机、制砂机</w:t>
            </w:r>
            <w:r>
              <w:rPr>
                <w:rFonts w:hint="eastAsia" w:ascii="Times New Roman" w:hAnsi="Times New Roman" w:eastAsia="宋体" w:cs="Times New Roman"/>
                <w:color w:val="auto"/>
                <w:sz w:val="18"/>
                <w:szCs w:val="18"/>
                <w:highlight w:val="none"/>
                <w:lang w:eastAsia="zh-CN"/>
              </w:rPr>
              <w:t>设置冲水管道，项目皮带传送采用密闭传送带。运输路进行碎石硬化，加工区进出道路进行碎石硬化</w:t>
            </w:r>
            <w:r>
              <w:rPr>
                <w:rFonts w:hint="eastAsia" w:ascii="Times New Roman" w:hAnsi="Times New Roman" w:eastAsia="宋体" w:cs="Times New Roman"/>
                <w:color w:val="auto"/>
                <w:sz w:val="18"/>
                <w:szCs w:val="18"/>
                <w:highlight w:val="none"/>
                <w:lang w:val="en-US" w:eastAsia="zh-CN"/>
              </w:rPr>
              <w:t>。</w:t>
            </w:r>
            <w:r>
              <w:rPr>
                <w:rFonts w:hint="default" w:ascii="Times New Roman" w:hAnsi="Times New Roman" w:cs="Times New Roman"/>
                <w:color w:val="auto"/>
                <w:sz w:val="18"/>
                <w:szCs w:val="18"/>
                <w:highlight w:val="none"/>
                <w:lang w:eastAsia="zh-CN"/>
              </w:rPr>
              <w:t>设置</w:t>
            </w:r>
            <w:r>
              <w:rPr>
                <w:rFonts w:hint="eastAsia" w:ascii="Times New Roman" w:hAnsi="Times New Roman" w:cs="Times New Roman"/>
                <w:color w:val="auto"/>
                <w:sz w:val="18"/>
                <w:szCs w:val="18"/>
                <w:highlight w:val="none"/>
                <w:lang w:eastAsia="zh-CN"/>
              </w:rPr>
              <w:t>半</w:t>
            </w:r>
            <w:r>
              <w:rPr>
                <w:rFonts w:hint="default" w:ascii="Times New Roman" w:hAnsi="Times New Roman" w:cs="Times New Roman"/>
                <w:color w:val="auto"/>
                <w:sz w:val="18"/>
                <w:szCs w:val="18"/>
                <w:highlight w:val="none"/>
                <w:lang w:eastAsia="zh-CN"/>
              </w:rPr>
              <w:t>封闭式</w:t>
            </w:r>
            <w:r>
              <w:rPr>
                <w:rFonts w:hint="eastAsia" w:ascii="Times New Roman" w:hAnsi="Times New Roman" w:cs="Times New Roman"/>
                <w:color w:val="auto"/>
                <w:sz w:val="18"/>
                <w:szCs w:val="18"/>
                <w:highlight w:val="none"/>
                <w:lang w:eastAsia="zh-CN"/>
              </w:rPr>
              <w:t>堆棚</w:t>
            </w:r>
            <w:r>
              <w:rPr>
                <w:rFonts w:hint="eastAsia" w:cs="Times New Roman"/>
                <w:color w:val="auto"/>
                <w:sz w:val="18"/>
                <w:szCs w:val="18"/>
                <w:highlight w:val="none"/>
                <w:lang w:eastAsia="zh-CN"/>
              </w:rPr>
              <w:t>，地面硬化，进行篷布遮盖</w:t>
            </w:r>
            <w:r>
              <w:rPr>
                <w:rFonts w:hint="eastAsia" w:ascii="Times New Roman" w:hAnsi="Times New Roman" w:cs="Times New Roman"/>
                <w:color w:val="auto"/>
                <w:sz w:val="18"/>
                <w:szCs w:val="18"/>
                <w:highlight w:val="none"/>
                <w:lang w:eastAsia="zh-CN"/>
              </w:rPr>
              <w:t>，并定期洒水降尘。</w:t>
            </w:r>
          </w:p>
          <w:p>
            <w:pPr>
              <w:spacing w:line="240" w:lineRule="auto"/>
              <w:rPr>
                <w:rFonts w:hint="default"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highlight w:val="none"/>
                <w:lang w:eastAsia="zh-CN"/>
              </w:rPr>
              <w:t>开采区设置雾炮机</w:t>
            </w:r>
            <w:r>
              <w:rPr>
                <w:rFonts w:hint="eastAsia" w:ascii="Times New Roman" w:hAnsi="Times New Roman" w:eastAsia="宋体" w:cs="Times New Roman"/>
                <w:color w:val="auto"/>
                <w:sz w:val="18"/>
                <w:szCs w:val="18"/>
                <w:highlight w:val="none"/>
                <w:lang w:val="en-US" w:eastAsia="zh-CN"/>
              </w:rPr>
              <w:t>、</w:t>
            </w:r>
            <w:r>
              <w:rPr>
                <w:rFonts w:hint="default" w:ascii="Times New Roman" w:hAnsi="Times New Roman" w:eastAsia="宋体" w:cs="Times New Roman"/>
                <w:color w:val="auto"/>
                <w:sz w:val="18"/>
                <w:szCs w:val="18"/>
                <w:highlight w:val="none"/>
                <w:lang w:eastAsia="zh-CN"/>
              </w:rPr>
              <w:t>洒水车对开采</w:t>
            </w:r>
            <w:r>
              <w:rPr>
                <w:rFonts w:hint="eastAsia" w:ascii="Times New Roman" w:hAnsi="Times New Roman" w:eastAsia="宋体" w:cs="Times New Roman"/>
                <w:color w:val="auto"/>
                <w:sz w:val="18"/>
                <w:szCs w:val="18"/>
                <w:highlight w:val="none"/>
                <w:lang w:val="en-US" w:eastAsia="zh-CN"/>
              </w:rPr>
              <w:t>作业面</w:t>
            </w:r>
            <w:r>
              <w:rPr>
                <w:rFonts w:hint="default" w:ascii="Times New Roman" w:hAnsi="Times New Roman" w:eastAsia="宋体" w:cs="Times New Roman"/>
                <w:color w:val="auto"/>
                <w:sz w:val="18"/>
                <w:szCs w:val="18"/>
                <w:highlight w:val="none"/>
                <w:lang w:eastAsia="zh-CN"/>
              </w:rPr>
              <w:t>及运输道路定期进行洒水降尘</w:t>
            </w:r>
          </w:p>
        </w:tc>
        <w:tc>
          <w:tcPr>
            <w:tcW w:w="961" w:type="pct"/>
            <w:noWrap w:val="0"/>
            <w:vAlign w:val="center"/>
          </w:tcPr>
          <w:p>
            <w:pPr>
              <w:spacing w:line="240" w:lineRule="auto"/>
              <w:rPr>
                <w:rFonts w:hint="default" w:ascii="Times New Roman" w:hAnsi="Times New Roman" w:eastAsia="宋体" w:cs="Times New Roman"/>
                <w:color w:val="auto"/>
                <w:sz w:val="18"/>
                <w:szCs w:val="18"/>
                <w:highlight w:val="yellow"/>
              </w:rPr>
            </w:pPr>
            <w:r>
              <w:rPr>
                <w:rFonts w:hint="default" w:ascii="Times New Roman" w:hAnsi="Times New Roman" w:eastAsia="宋体" w:cs="Times New Roman"/>
                <w:color w:val="auto"/>
                <w:sz w:val="18"/>
                <w:szCs w:val="18"/>
              </w:rPr>
              <w:t>《大气污染物综合排放标准》（GB16297-1996）表2中排放监控浓度限值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固体废物</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1435" w:type="pct"/>
            <w:noWrap w:val="0"/>
            <w:vAlign w:val="center"/>
          </w:tcPr>
          <w:p>
            <w:pPr>
              <w:pStyle w:val="63"/>
              <w:adjustRightInd w:val="0"/>
              <w:snapToGrid w:val="0"/>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生活垃圾设置垃圾收集桶，</w:t>
            </w:r>
            <w:r>
              <w:rPr>
                <w:rFonts w:hint="default" w:ascii="Times New Roman" w:hAnsi="Times New Roman" w:eastAsia="宋体" w:cs="Times New Roman"/>
                <w:color w:val="auto"/>
                <w:sz w:val="18"/>
                <w:szCs w:val="18"/>
                <w:lang w:val="en-US" w:eastAsia="zh-CN"/>
              </w:rPr>
              <w:t>定期运往环卫部门指定处</w:t>
            </w:r>
            <w:r>
              <w:rPr>
                <w:rFonts w:hint="default" w:ascii="Times New Roman" w:hAnsi="Times New Roman" w:eastAsia="宋体" w:cs="Times New Roman"/>
                <w:color w:val="auto"/>
                <w:sz w:val="18"/>
                <w:szCs w:val="18"/>
              </w:rPr>
              <w:t>统一处理；危险废物在危废间暂存后，委托有资质单位进行处理。</w:t>
            </w:r>
          </w:p>
        </w:tc>
        <w:tc>
          <w:tcPr>
            <w:tcW w:w="961" w:type="pct"/>
            <w:noWrap w:val="0"/>
            <w:vAlign w:val="center"/>
          </w:tcPr>
          <w:p>
            <w:pPr>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kern w:val="0"/>
                <w:sz w:val="18"/>
                <w:szCs w:val="18"/>
              </w:rPr>
              <w:t>《一般工业固体废物贮存和处置污染控制标准》（GB18599-2020）及其2013年修改单</w:t>
            </w:r>
            <w:r>
              <w:rPr>
                <w:rFonts w:hint="default" w:ascii="Times New Roman" w:hAnsi="Times New Roman" w:eastAsia="宋体" w:cs="Times New Roman"/>
                <w:color w:val="auto"/>
                <w:sz w:val="18"/>
                <w:szCs w:val="18"/>
              </w:rPr>
              <w:t>的要求；《危险废物贮存污染控制标准》（GB18597-2001）及2013年修改单中相关规定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电磁环境</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1435"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961"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环境风险</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1435"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961"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环境监测</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1435" w:type="pct"/>
            <w:noWrap w:val="0"/>
            <w:vAlign w:val="center"/>
          </w:tcPr>
          <w:p>
            <w:pPr>
              <w:spacing w:line="240" w:lineRule="auto"/>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厂区边界：TSP；厂界等效A声级</w:t>
            </w:r>
          </w:p>
        </w:tc>
        <w:tc>
          <w:tcPr>
            <w:tcW w:w="961"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《大气污染物综合排放标准》（GB16297-1996）表2中排放监控浓度限值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548"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其他</w:t>
            </w:r>
          </w:p>
        </w:tc>
        <w:tc>
          <w:tcPr>
            <w:tcW w:w="1170"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884"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1435"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c>
          <w:tcPr>
            <w:tcW w:w="961" w:type="pct"/>
            <w:noWrap w:val="0"/>
            <w:vAlign w:val="center"/>
          </w:tcPr>
          <w:p>
            <w:pPr>
              <w:adjustRightInd w:val="0"/>
              <w:snapToGrid w:val="0"/>
              <w:spacing w:line="240" w:lineRule="auto"/>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w:t>
            </w:r>
          </w:p>
        </w:tc>
      </w:tr>
    </w:tbl>
    <w:p>
      <w:pPr>
        <w:pStyle w:val="25"/>
        <w:adjustRightInd w:val="0"/>
        <w:snapToGrid w:val="0"/>
        <w:spacing w:before="0" w:beforeAutospacing="0" w:after="0" w:afterAutospacing="0" w:line="360" w:lineRule="auto"/>
        <w:jc w:val="both"/>
        <w:outlineLvl w:val="0"/>
        <w:rPr>
          <w:rFonts w:ascii="Times New Roman" w:hAnsi="Times New Roman" w:eastAsia="黑体"/>
          <w:snapToGrid w:val="0"/>
          <w:sz w:val="30"/>
          <w:szCs w:val="30"/>
        </w:rPr>
      </w:pPr>
      <w:r>
        <w:rPr>
          <w:rFonts w:ascii="Times New Roman" w:hAnsi="Times New Roman" w:eastAsia="黑体"/>
          <w:snapToGrid w:val="0"/>
          <w:sz w:val="30"/>
          <w:szCs w:val="30"/>
          <w:highlight w:val="yellow"/>
        </w:rPr>
        <w:br w:type="page"/>
      </w:r>
      <w:bookmarkStart w:id="67" w:name="_Toc30810"/>
      <w:r>
        <w:rPr>
          <w:rFonts w:hint="eastAsia" w:ascii="Times New Roman" w:hAnsi="Times New Roman" w:eastAsia="黑体"/>
          <w:snapToGrid w:val="0"/>
          <w:sz w:val="30"/>
          <w:szCs w:val="30"/>
          <w:highlight w:val="none"/>
          <w:lang w:val="en-US" w:eastAsia="zh-CN"/>
        </w:rPr>
        <w:t>七、</w:t>
      </w:r>
      <w:r>
        <w:rPr>
          <w:rFonts w:ascii="Times New Roman" w:hAnsi="Times New Roman" w:eastAsia="黑体"/>
          <w:snapToGrid w:val="0"/>
          <w:sz w:val="30"/>
          <w:szCs w:val="30"/>
          <w:highlight w:val="none"/>
        </w:rPr>
        <w:t>结论</w:t>
      </w:r>
      <w:bookmarkEnd w:id="67"/>
    </w:p>
    <w:tbl>
      <w:tblPr>
        <w:tblStyle w:val="28"/>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862" w:hRule="atLeast"/>
          <w:jc w:val="center"/>
        </w:trPr>
        <w:tc>
          <w:tcPr>
            <w:tcW w:w="9289" w:type="dxa"/>
            <w:noWrap w:val="0"/>
            <w:vAlign w:val="center"/>
          </w:tcPr>
          <w:p>
            <w:pPr>
              <w:pStyle w:val="63"/>
              <w:adjustRightInd w:val="0"/>
              <w:snapToGrid w:val="0"/>
              <w:spacing w:line="360" w:lineRule="auto"/>
              <w:ind w:firstLine="480" w:firstLineChars="200"/>
              <w:rPr>
                <w:rFonts w:hint="eastAsia" w:ascii="宋体" w:hAnsi="宋体" w:cs="Times New Roman"/>
                <w:sz w:val="24"/>
                <w:szCs w:val="24"/>
              </w:rPr>
            </w:pPr>
            <w:r>
              <w:rPr>
                <w:rFonts w:ascii="宋体" w:hAnsi="宋体" w:cs="Times New Roman"/>
                <w:sz w:val="24"/>
                <w:szCs w:val="24"/>
              </w:rPr>
              <w:t>本项目建设符合国家及地方有关产业政策，符合相关规划的要求，选址合理。本项目在采取有效的污染控制措施后，能确保废气、废水和噪声达标排放，固体废物得到妥善处置。本项目建成投入运行后能满足项目所在区域环境功能区划的要求，在严格落实设计及环评报告</w:t>
            </w:r>
            <w:r>
              <w:rPr>
                <w:rFonts w:hint="eastAsia" w:ascii="宋体" w:hAnsi="宋体" w:cs="Times New Roman"/>
                <w:sz w:val="24"/>
                <w:szCs w:val="24"/>
              </w:rPr>
              <w:t>表</w:t>
            </w:r>
            <w:r>
              <w:rPr>
                <w:rFonts w:ascii="宋体" w:hAnsi="宋体" w:cs="Times New Roman"/>
                <w:sz w:val="24"/>
                <w:szCs w:val="24"/>
              </w:rPr>
              <w:t>中提出的各项污染防治措施后，从环境保护角度考虑，该项目建设是可行的。</w:t>
            </w: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pStyle w:val="63"/>
              <w:adjustRightInd w:val="0"/>
              <w:snapToGrid w:val="0"/>
              <w:spacing w:line="360" w:lineRule="auto"/>
              <w:rPr>
                <w:rFonts w:hint="eastAsia" w:ascii="宋体" w:hAnsi="宋体" w:cs="Times New Roman"/>
                <w:sz w:val="24"/>
                <w:szCs w:val="24"/>
              </w:rPr>
            </w:pPr>
          </w:p>
          <w:p>
            <w:pPr>
              <w:adjustRightInd w:val="0"/>
              <w:snapToGrid w:val="0"/>
              <w:rPr>
                <w:szCs w:val="21"/>
              </w:rPr>
            </w:pPr>
          </w:p>
        </w:tc>
      </w:tr>
    </w:tbl>
    <w:p>
      <w:pPr>
        <w:widowControl/>
        <w:adjustRightInd w:val="0"/>
        <w:snapToGrid w:val="0"/>
        <w:spacing w:before="192" w:beforeLines="80"/>
        <w:jc w:val="left"/>
      </w:pPr>
    </w:p>
    <w:sectPr>
      <w:pgSz w:w="11906" w:h="16838"/>
      <w:pgMar w:top="1701" w:right="1588" w:bottom="1701" w:left="1588" w:header="1134" w:footer="1134"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Sim Sun">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32"/>
      </w:rPr>
    </w:pPr>
    <w:r>
      <w:rPr>
        <w:rStyle w:val="32"/>
      </w:rPr>
      <w:fldChar w:fldCharType="begin"/>
    </w:r>
    <w:r>
      <w:rPr>
        <w:rStyle w:val="32"/>
      </w:rPr>
      <w:instrText xml:space="preserve">PAGE  </w:instrText>
    </w:r>
    <w:r>
      <w:rPr>
        <w:rStyle w:val="32"/>
      </w:rP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61312" behindDoc="0" locked="0" layoutInCell="1" allowOverlap="1">
              <wp:simplePos x="0" y="0"/>
              <wp:positionH relativeFrom="margin">
                <wp:posOffset>2541905</wp:posOffset>
              </wp:positionH>
              <wp:positionV relativeFrom="paragraph">
                <wp:posOffset>-36195</wp:posOffset>
              </wp:positionV>
              <wp:extent cx="456565" cy="197485"/>
              <wp:effectExtent l="0" t="0" r="0" b="0"/>
              <wp:wrapNone/>
              <wp:docPr id="16" name="文本框 2049"/>
              <wp:cNvGraphicFramePr/>
              <a:graphic xmlns:a="http://schemas.openxmlformats.org/drawingml/2006/main">
                <a:graphicData uri="http://schemas.microsoft.com/office/word/2010/wordprocessingShape">
                  <wps:wsp>
                    <wps:cNvSpPr txBox="1"/>
                    <wps:spPr>
                      <a:xfrm>
                        <a:off x="0" y="0"/>
                        <a:ext cx="456565" cy="197485"/>
                      </a:xfrm>
                      <a:prstGeom prst="rect">
                        <a:avLst/>
                      </a:prstGeom>
                      <a:noFill/>
                      <a:ln>
                        <a:noFill/>
                      </a:ln>
                    </wps:spPr>
                    <wps:txbx>
                      <w:txbxContent>
                        <w:p>
                          <w:pPr>
                            <w:pStyle w:val="1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- 4 -</w:t>
                          </w:r>
                          <w:r>
                            <w:rPr>
                              <w:sz w:val="21"/>
                              <w:szCs w:val="21"/>
                            </w:rPr>
                            <w:fldChar w:fldCharType="end"/>
                          </w:r>
                        </w:p>
                      </w:txbxContent>
                    </wps:txbx>
                    <wps:bodyPr wrap="square" lIns="0" tIns="0" rIns="0" bIns="0" upright="0"/>
                  </wps:wsp>
                </a:graphicData>
              </a:graphic>
            </wp:anchor>
          </w:drawing>
        </mc:Choice>
        <mc:Fallback>
          <w:pict>
            <v:shape id="文本框 2049" o:spid="_x0000_s1026" o:spt="202" type="#_x0000_t202" style="position:absolute;left:0pt;margin-left:200.15pt;margin-top:-2.85pt;height:15.55pt;width:35.95pt;mso-position-horizontal-relative:margin;z-index:251661312;mso-width-relative:page;mso-height-relative:page;" filled="f" stroked="f" coordsize="21600,21600" o:gfxdata="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CvSzdkAAAAJAQAADwAAAAAAAAABACAAAAAiAAAAZHJzL2Rv&#10;d25yZXYueG1sUEsBAhQAFAAAAAgAh07iQKerfWvHAQAAgwMAAA4AAAAAAAAAAQAgAAAAKAEAAGRy&#10;cy9lMm9Eb2MueG1sUEsFBgAAAAAGAAYAWQEAAGEFAAAAAA==&#10;">
              <v:fill on="f" focussize="0,0"/>
              <v:stroke on="f"/>
              <v:imagedata o:title=""/>
              <o:lock v:ext="edit" aspectratio="f"/>
              <v:textbox inset="0mm,0mm,0mm,0mm">
                <w:txbxContent>
                  <w:p>
                    <w:pPr>
                      <w:pStyle w:val="1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- 4 -</w:t>
                    </w:r>
                    <w:r>
                      <w:rPr>
                        <w:sz w:val="21"/>
                        <w:szCs w:val="21"/>
                      </w:rPr>
                      <w:fldChar w:fldCharType="end"/>
                    </w:r>
                  </w:p>
                </w:txbxContent>
              </v:textbox>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20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ydcBcoBAACdAwAADgAAAAAAAAABACAAAAAeAQAAZHJzL2Uyb0Rv&#10;Yy54bWxQSwUGAAAAAAYABgBZAQAAWg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DC3B8E"/>
    <w:multiLevelType w:val="singleLevel"/>
    <w:tmpl w:val="C4DC3B8E"/>
    <w:lvl w:ilvl="0" w:tentative="0">
      <w:start w:val="7"/>
      <w:numFmt w:val="decimal"/>
      <w:lvlText w:val="%1."/>
      <w:lvlJc w:val="left"/>
      <w:pPr>
        <w:tabs>
          <w:tab w:val="left" w:pos="312"/>
        </w:tabs>
      </w:pPr>
    </w:lvl>
  </w:abstractNum>
  <w:abstractNum w:abstractNumId="1">
    <w:nsid w:val="C5C40C8C"/>
    <w:multiLevelType w:val="singleLevel"/>
    <w:tmpl w:val="C5C40C8C"/>
    <w:lvl w:ilvl="0" w:tentative="0">
      <w:start w:val="2"/>
      <w:numFmt w:val="chineseCounting"/>
      <w:suff w:val="nothing"/>
      <w:lvlText w:val="%1、"/>
      <w:lvlJc w:val="left"/>
      <w:rPr>
        <w:rFonts w:hint="eastAsia"/>
      </w:rPr>
    </w:lvl>
  </w:abstractNum>
  <w:abstractNum w:abstractNumId="2">
    <w:nsid w:val="C8136420"/>
    <w:multiLevelType w:val="singleLevel"/>
    <w:tmpl w:val="C8136420"/>
    <w:lvl w:ilvl="0" w:tentative="0">
      <w:start w:val="1"/>
      <w:numFmt w:val="decimal"/>
      <w:suff w:val="nothing"/>
      <w:lvlText w:val="%1、"/>
      <w:lvlJc w:val="left"/>
    </w:lvl>
  </w:abstractNum>
  <w:abstractNum w:abstractNumId="3">
    <w:nsid w:val="D1C0C6BB"/>
    <w:multiLevelType w:val="singleLevel"/>
    <w:tmpl w:val="D1C0C6BB"/>
    <w:lvl w:ilvl="0" w:tentative="0">
      <w:start w:val="1"/>
      <w:numFmt w:val="decimal"/>
      <w:suff w:val="nothing"/>
      <w:lvlText w:val="（%1）"/>
      <w:lvlJc w:val="left"/>
      <w:pPr>
        <w:ind w:left="-480"/>
      </w:pPr>
    </w:lvl>
  </w:abstractNum>
  <w:abstractNum w:abstractNumId="4">
    <w:nsid w:val="0D5348DD"/>
    <w:multiLevelType w:val="singleLevel"/>
    <w:tmpl w:val="0D5348DD"/>
    <w:lvl w:ilvl="0" w:tentative="0">
      <w:start w:val="1"/>
      <w:numFmt w:val="decimal"/>
      <w:suff w:val="nothing"/>
      <w:lvlText w:val="（%1）"/>
      <w:lvlJc w:val="left"/>
    </w:lvl>
  </w:abstractNum>
  <w:abstractNum w:abstractNumId="5">
    <w:nsid w:val="62A129BB"/>
    <w:multiLevelType w:val="singleLevel"/>
    <w:tmpl w:val="62A129BB"/>
    <w:lvl w:ilvl="0" w:tentative="0">
      <w:start w:val="2"/>
      <w:numFmt w:val="chineseCounting"/>
      <w:suff w:val="nothing"/>
      <w:lvlText w:val="（%1）"/>
      <w:lvlJc w:val="left"/>
      <w:rPr>
        <w:rFonts w:hint="eastAsia"/>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7"/>
    <w:rsid w:val="00001CED"/>
    <w:rsid w:val="00001E67"/>
    <w:rsid w:val="00003CD8"/>
    <w:rsid w:val="00014965"/>
    <w:rsid w:val="0001523A"/>
    <w:rsid w:val="0001597F"/>
    <w:rsid w:val="00016ECB"/>
    <w:rsid w:val="000269F6"/>
    <w:rsid w:val="00031939"/>
    <w:rsid w:val="00032D25"/>
    <w:rsid w:val="000331D8"/>
    <w:rsid w:val="00035144"/>
    <w:rsid w:val="000365F4"/>
    <w:rsid w:val="00040C85"/>
    <w:rsid w:val="0004301B"/>
    <w:rsid w:val="00044DA9"/>
    <w:rsid w:val="00051FDA"/>
    <w:rsid w:val="0005219D"/>
    <w:rsid w:val="0005355C"/>
    <w:rsid w:val="0005568F"/>
    <w:rsid w:val="0006153D"/>
    <w:rsid w:val="00061B1F"/>
    <w:rsid w:val="000647E5"/>
    <w:rsid w:val="000664DB"/>
    <w:rsid w:val="0007127D"/>
    <w:rsid w:val="00071AE5"/>
    <w:rsid w:val="00074783"/>
    <w:rsid w:val="000748BA"/>
    <w:rsid w:val="00076780"/>
    <w:rsid w:val="00076A1B"/>
    <w:rsid w:val="000801E0"/>
    <w:rsid w:val="00080543"/>
    <w:rsid w:val="00082A29"/>
    <w:rsid w:val="0008331D"/>
    <w:rsid w:val="00083C18"/>
    <w:rsid w:val="000855D6"/>
    <w:rsid w:val="00087B60"/>
    <w:rsid w:val="0009186E"/>
    <w:rsid w:val="00092899"/>
    <w:rsid w:val="0009759B"/>
    <w:rsid w:val="000A178E"/>
    <w:rsid w:val="000A347E"/>
    <w:rsid w:val="000A4ACD"/>
    <w:rsid w:val="000A557E"/>
    <w:rsid w:val="000B058F"/>
    <w:rsid w:val="000B14F4"/>
    <w:rsid w:val="000B2AD3"/>
    <w:rsid w:val="000B4305"/>
    <w:rsid w:val="000B693F"/>
    <w:rsid w:val="000C09AC"/>
    <w:rsid w:val="000C0A63"/>
    <w:rsid w:val="000C0FDC"/>
    <w:rsid w:val="000C437E"/>
    <w:rsid w:val="000D364E"/>
    <w:rsid w:val="000E4BA6"/>
    <w:rsid w:val="000E5F16"/>
    <w:rsid w:val="000F3E53"/>
    <w:rsid w:val="000F4452"/>
    <w:rsid w:val="000F6DA1"/>
    <w:rsid w:val="000F701B"/>
    <w:rsid w:val="001005AD"/>
    <w:rsid w:val="001056A0"/>
    <w:rsid w:val="00115279"/>
    <w:rsid w:val="00115F42"/>
    <w:rsid w:val="00117459"/>
    <w:rsid w:val="0011749A"/>
    <w:rsid w:val="0012647A"/>
    <w:rsid w:val="00127A68"/>
    <w:rsid w:val="00127CEE"/>
    <w:rsid w:val="00140B13"/>
    <w:rsid w:val="00141B68"/>
    <w:rsid w:val="00142122"/>
    <w:rsid w:val="00142673"/>
    <w:rsid w:val="001466DA"/>
    <w:rsid w:val="00147D17"/>
    <w:rsid w:val="001518CD"/>
    <w:rsid w:val="00151F5D"/>
    <w:rsid w:val="0015235E"/>
    <w:rsid w:val="00154DE1"/>
    <w:rsid w:val="00155B40"/>
    <w:rsid w:val="00157435"/>
    <w:rsid w:val="00163EEA"/>
    <w:rsid w:val="00167A07"/>
    <w:rsid w:val="0017046A"/>
    <w:rsid w:val="001704A3"/>
    <w:rsid w:val="00174F5F"/>
    <w:rsid w:val="0017504D"/>
    <w:rsid w:val="00177422"/>
    <w:rsid w:val="00177953"/>
    <w:rsid w:val="00184F10"/>
    <w:rsid w:val="0018530F"/>
    <w:rsid w:val="00185546"/>
    <w:rsid w:val="0019146B"/>
    <w:rsid w:val="00194398"/>
    <w:rsid w:val="001A038E"/>
    <w:rsid w:val="001A1A87"/>
    <w:rsid w:val="001A4499"/>
    <w:rsid w:val="001A4CF3"/>
    <w:rsid w:val="001A7D2A"/>
    <w:rsid w:val="001B574C"/>
    <w:rsid w:val="001C0AF9"/>
    <w:rsid w:val="001C155A"/>
    <w:rsid w:val="001C48C0"/>
    <w:rsid w:val="001D6726"/>
    <w:rsid w:val="001F0CBC"/>
    <w:rsid w:val="001F2D2A"/>
    <w:rsid w:val="001F3347"/>
    <w:rsid w:val="001F3EBF"/>
    <w:rsid w:val="001F4440"/>
    <w:rsid w:val="001F69E4"/>
    <w:rsid w:val="00206A65"/>
    <w:rsid w:val="00207970"/>
    <w:rsid w:val="00210F16"/>
    <w:rsid w:val="00212D31"/>
    <w:rsid w:val="002130C7"/>
    <w:rsid w:val="002202B5"/>
    <w:rsid w:val="002218A8"/>
    <w:rsid w:val="0022306D"/>
    <w:rsid w:val="002233EB"/>
    <w:rsid w:val="002246C2"/>
    <w:rsid w:val="00226574"/>
    <w:rsid w:val="002278EC"/>
    <w:rsid w:val="00234724"/>
    <w:rsid w:val="002357C7"/>
    <w:rsid w:val="002367C4"/>
    <w:rsid w:val="002410C0"/>
    <w:rsid w:val="00242892"/>
    <w:rsid w:val="00243421"/>
    <w:rsid w:val="002434B3"/>
    <w:rsid w:val="00243A24"/>
    <w:rsid w:val="00243D7C"/>
    <w:rsid w:val="002444CF"/>
    <w:rsid w:val="0025460E"/>
    <w:rsid w:val="0025679E"/>
    <w:rsid w:val="00260C68"/>
    <w:rsid w:val="002648B0"/>
    <w:rsid w:val="00266403"/>
    <w:rsid w:val="0027294C"/>
    <w:rsid w:val="00273BA9"/>
    <w:rsid w:val="00275271"/>
    <w:rsid w:val="0027535E"/>
    <w:rsid w:val="00275AA6"/>
    <w:rsid w:val="002770E3"/>
    <w:rsid w:val="002807D5"/>
    <w:rsid w:val="00282CCD"/>
    <w:rsid w:val="00284370"/>
    <w:rsid w:val="00290A12"/>
    <w:rsid w:val="002933C9"/>
    <w:rsid w:val="002A04D6"/>
    <w:rsid w:val="002A15A5"/>
    <w:rsid w:val="002A168C"/>
    <w:rsid w:val="002A2C48"/>
    <w:rsid w:val="002A3EED"/>
    <w:rsid w:val="002A489E"/>
    <w:rsid w:val="002A4A39"/>
    <w:rsid w:val="002A52EA"/>
    <w:rsid w:val="002A5A17"/>
    <w:rsid w:val="002A5D6D"/>
    <w:rsid w:val="002A6425"/>
    <w:rsid w:val="002B4851"/>
    <w:rsid w:val="002B49E2"/>
    <w:rsid w:val="002B7B00"/>
    <w:rsid w:val="002B7C44"/>
    <w:rsid w:val="002C1388"/>
    <w:rsid w:val="002C3C6A"/>
    <w:rsid w:val="002C56CB"/>
    <w:rsid w:val="002D00B4"/>
    <w:rsid w:val="002D3369"/>
    <w:rsid w:val="002D365B"/>
    <w:rsid w:val="002D42DB"/>
    <w:rsid w:val="002D52E4"/>
    <w:rsid w:val="002D559E"/>
    <w:rsid w:val="002E1F3A"/>
    <w:rsid w:val="002E298A"/>
    <w:rsid w:val="002F02A4"/>
    <w:rsid w:val="002F04B1"/>
    <w:rsid w:val="002F1221"/>
    <w:rsid w:val="002F272B"/>
    <w:rsid w:val="002F7C6D"/>
    <w:rsid w:val="003027E4"/>
    <w:rsid w:val="0030332C"/>
    <w:rsid w:val="00311888"/>
    <w:rsid w:val="00312296"/>
    <w:rsid w:val="0031340E"/>
    <w:rsid w:val="003141EC"/>
    <w:rsid w:val="00316464"/>
    <w:rsid w:val="0032073A"/>
    <w:rsid w:val="00320919"/>
    <w:rsid w:val="00321D8E"/>
    <w:rsid w:val="00334996"/>
    <w:rsid w:val="00336969"/>
    <w:rsid w:val="00336C52"/>
    <w:rsid w:val="00341B3E"/>
    <w:rsid w:val="00341B42"/>
    <w:rsid w:val="00342833"/>
    <w:rsid w:val="00342E04"/>
    <w:rsid w:val="00345154"/>
    <w:rsid w:val="0034560E"/>
    <w:rsid w:val="00350523"/>
    <w:rsid w:val="003508B3"/>
    <w:rsid w:val="00352975"/>
    <w:rsid w:val="00356868"/>
    <w:rsid w:val="00357083"/>
    <w:rsid w:val="00363AC8"/>
    <w:rsid w:val="0036485B"/>
    <w:rsid w:val="00365E9C"/>
    <w:rsid w:val="003728BD"/>
    <w:rsid w:val="00373B0D"/>
    <w:rsid w:val="00375499"/>
    <w:rsid w:val="00376988"/>
    <w:rsid w:val="00381A72"/>
    <w:rsid w:val="00384BB0"/>
    <w:rsid w:val="00385995"/>
    <w:rsid w:val="003961F8"/>
    <w:rsid w:val="003A1948"/>
    <w:rsid w:val="003A3CEE"/>
    <w:rsid w:val="003B152A"/>
    <w:rsid w:val="003B323F"/>
    <w:rsid w:val="003B545B"/>
    <w:rsid w:val="003C1C92"/>
    <w:rsid w:val="003D1588"/>
    <w:rsid w:val="003D3EE9"/>
    <w:rsid w:val="003D54C0"/>
    <w:rsid w:val="003D67A8"/>
    <w:rsid w:val="003E2D52"/>
    <w:rsid w:val="003E4689"/>
    <w:rsid w:val="003E4F06"/>
    <w:rsid w:val="003E7681"/>
    <w:rsid w:val="003F0809"/>
    <w:rsid w:val="003F35D7"/>
    <w:rsid w:val="003F611C"/>
    <w:rsid w:val="003F70A7"/>
    <w:rsid w:val="003F755C"/>
    <w:rsid w:val="004025CD"/>
    <w:rsid w:val="0040358B"/>
    <w:rsid w:val="00404CA7"/>
    <w:rsid w:val="00405EB1"/>
    <w:rsid w:val="00406F01"/>
    <w:rsid w:val="00407BFF"/>
    <w:rsid w:val="00411B36"/>
    <w:rsid w:val="004121D7"/>
    <w:rsid w:val="00416D50"/>
    <w:rsid w:val="00417772"/>
    <w:rsid w:val="004179B0"/>
    <w:rsid w:val="00417FB3"/>
    <w:rsid w:val="00420E6A"/>
    <w:rsid w:val="004246AA"/>
    <w:rsid w:val="00433CA9"/>
    <w:rsid w:val="0043521D"/>
    <w:rsid w:val="00442024"/>
    <w:rsid w:val="0044254C"/>
    <w:rsid w:val="00443F6A"/>
    <w:rsid w:val="00444422"/>
    <w:rsid w:val="004479CE"/>
    <w:rsid w:val="00450304"/>
    <w:rsid w:val="00450A17"/>
    <w:rsid w:val="0045126C"/>
    <w:rsid w:val="00460BE5"/>
    <w:rsid w:val="00461797"/>
    <w:rsid w:val="00461FE2"/>
    <w:rsid w:val="00462802"/>
    <w:rsid w:val="004661DD"/>
    <w:rsid w:val="00466321"/>
    <w:rsid w:val="004672AF"/>
    <w:rsid w:val="004708AD"/>
    <w:rsid w:val="004727B0"/>
    <w:rsid w:val="00472837"/>
    <w:rsid w:val="00473932"/>
    <w:rsid w:val="00480077"/>
    <w:rsid w:val="00480247"/>
    <w:rsid w:val="0048038B"/>
    <w:rsid w:val="0048081D"/>
    <w:rsid w:val="0048117E"/>
    <w:rsid w:val="00482A8E"/>
    <w:rsid w:val="00483C34"/>
    <w:rsid w:val="004855F6"/>
    <w:rsid w:val="0048579E"/>
    <w:rsid w:val="00486F0C"/>
    <w:rsid w:val="00487BF5"/>
    <w:rsid w:val="0049084E"/>
    <w:rsid w:val="00494670"/>
    <w:rsid w:val="004A0EB4"/>
    <w:rsid w:val="004A3823"/>
    <w:rsid w:val="004A590D"/>
    <w:rsid w:val="004A59BB"/>
    <w:rsid w:val="004A63F3"/>
    <w:rsid w:val="004A6712"/>
    <w:rsid w:val="004B37CA"/>
    <w:rsid w:val="004B43A3"/>
    <w:rsid w:val="004B4C49"/>
    <w:rsid w:val="004B500C"/>
    <w:rsid w:val="004B5460"/>
    <w:rsid w:val="004B58A5"/>
    <w:rsid w:val="004B602E"/>
    <w:rsid w:val="004B63D9"/>
    <w:rsid w:val="004C0882"/>
    <w:rsid w:val="004C55BE"/>
    <w:rsid w:val="004C5AB2"/>
    <w:rsid w:val="004C69CD"/>
    <w:rsid w:val="004C76FF"/>
    <w:rsid w:val="004D25BC"/>
    <w:rsid w:val="004D30A8"/>
    <w:rsid w:val="004D50E4"/>
    <w:rsid w:val="004D5839"/>
    <w:rsid w:val="004D6366"/>
    <w:rsid w:val="004D6EB5"/>
    <w:rsid w:val="004E5B30"/>
    <w:rsid w:val="004E73CE"/>
    <w:rsid w:val="004F0779"/>
    <w:rsid w:val="004F1230"/>
    <w:rsid w:val="004F173F"/>
    <w:rsid w:val="004F177C"/>
    <w:rsid w:val="004F2DCE"/>
    <w:rsid w:val="004F314E"/>
    <w:rsid w:val="004F3832"/>
    <w:rsid w:val="004F603A"/>
    <w:rsid w:val="00500DAA"/>
    <w:rsid w:val="005039CB"/>
    <w:rsid w:val="0050558F"/>
    <w:rsid w:val="005057E0"/>
    <w:rsid w:val="00506286"/>
    <w:rsid w:val="00507238"/>
    <w:rsid w:val="00510813"/>
    <w:rsid w:val="00511DE0"/>
    <w:rsid w:val="0051424A"/>
    <w:rsid w:val="00517F02"/>
    <w:rsid w:val="00524547"/>
    <w:rsid w:val="005258A2"/>
    <w:rsid w:val="00530F7C"/>
    <w:rsid w:val="005322FF"/>
    <w:rsid w:val="00534567"/>
    <w:rsid w:val="00534F43"/>
    <w:rsid w:val="00535A84"/>
    <w:rsid w:val="00536889"/>
    <w:rsid w:val="005368EA"/>
    <w:rsid w:val="0053702D"/>
    <w:rsid w:val="00542E07"/>
    <w:rsid w:val="005469E7"/>
    <w:rsid w:val="00554A7B"/>
    <w:rsid w:val="0055572C"/>
    <w:rsid w:val="0056064F"/>
    <w:rsid w:val="00561B84"/>
    <w:rsid w:val="00562710"/>
    <w:rsid w:val="0056534E"/>
    <w:rsid w:val="0057148B"/>
    <w:rsid w:val="00571D98"/>
    <w:rsid w:val="005720AE"/>
    <w:rsid w:val="0058030D"/>
    <w:rsid w:val="00581027"/>
    <w:rsid w:val="00582045"/>
    <w:rsid w:val="00590AE3"/>
    <w:rsid w:val="005918F1"/>
    <w:rsid w:val="00593A9C"/>
    <w:rsid w:val="00597F88"/>
    <w:rsid w:val="005A06B7"/>
    <w:rsid w:val="005A1759"/>
    <w:rsid w:val="005A188C"/>
    <w:rsid w:val="005A1BF2"/>
    <w:rsid w:val="005A1EA1"/>
    <w:rsid w:val="005A785A"/>
    <w:rsid w:val="005B3B30"/>
    <w:rsid w:val="005B7376"/>
    <w:rsid w:val="005C1E6E"/>
    <w:rsid w:val="005C2956"/>
    <w:rsid w:val="005C2C60"/>
    <w:rsid w:val="005C41A6"/>
    <w:rsid w:val="005D0369"/>
    <w:rsid w:val="005D4AEA"/>
    <w:rsid w:val="005D53FE"/>
    <w:rsid w:val="005D7A0F"/>
    <w:rsid w:val="005E0438"/>
    <w:rsid w:val="005E044D"/>
    <w:rsid w:val="005E1791"/>
    <w:rsid w:val="005E2701"/>
    <w:rsid w:val="005E2CE6"/>
    <w:rsid w:val="005E4CA8"/>
    <w:rsid w:val="005E624C"/>
    <w:rsid w:val="005E6324"/>
    <w:rsid w:val="005F228B"/>
    <w:rsid w:val="005F29CD"/>
    <w:rsid w:val="005F3E00"/>
    <w:rsid w:val="005F4DFB"/>
    <w:rsid w:val="005F4FCE"/>
    <w:rsid w:val="005F6CC0"/>
    <w:rsid w:val="00603E5B"/>
    <w:rsid w:val="00604BC8"/>
    <w:rsid w:val="006053EF"/>
    <w:rsid w:val="00605FEF"/>
    <w:rsid w:val="00606C3B"/>
    <w:rsid w:val="00611508"/>
    <w:rsid w:val="00611CC7"/>
    <w:rsid w:val="00615B4C"/>
    <w:rsid w:val="00615B5D"/>
    <w:rsid w:val="0062146F"/>
    <w:rsid w:val="006222B6"/>
    <w:rsid w:val="006225D4"/>
    <w:rsid w:val="00627D81"/>
    <w:rsid w:val="006343AF"/>
    <w:rsid w:val="0063634A"/>
    <w:rsid w:val="0064250D"/>
    <w:rsid w:val="00645AD9"/>
    <w:rsid w:val="006535EB"/>
    <w:rsid w:val="006539E9"/>
    <w:rsid w:val="00663016"/>
    <w:rsid w:val="00663551"/>
    <w:rsid w:val="00667609"/>
    <w:rsid w:val="00667F48"/>
    <w:rsid w:val="00672E73"/>
    <w:rsid w:val="00674605"/>
    <w:rsid w:val="006748B8"/>
    <w:rsid w:val="006750D9"/>
    <w:rsid w:val="006774E9"/>
    <w:rsid w:val="00677B4F"/>
    <w:rsid w:val="00681A3D"/>
    <w:rsid w:val="00682E70"/>
    <w:rsid w:val="00683DC7"/>
    <w:rsid w:val="0068535B"/>
    <w:rsid w:val="006871AD"/>
    <w:rsid w:val="0068736E"/>
    <w:rsid w:val="0069290A"/>
    <w:rsid w:val="00697032"/>
    <w:rsid w:val="006975AC"/>
    <w:rsid w:val="006A09AF"/>
    <w:rsid w:val="006A15FB"/>
    <w:rsid w:val="006A72BF"/>
    <w:rsid w:val="006B332A"/>
    <w:rsid w:val="006B33BD"/>
    <w:rsid w:val="006B7332"/>
    <w:rsid w:val="006C3F75"/>
    <w:rsid w:val="006C5DF6"/>
    <w:rsid w:val="006C60EA"/>
    <w:rsid w:val="006D170E"/>
    <w:rsid w:val="006E06AF"/>
    <w:rsid w:val="006E40B1"/>
    <w:rsid w:val="006E5760"/>
    <w:rsid w:val="006F0393"/>
    <w:rsid w:val="006F1789"/>
    <w:rsid w:val="006F40DB"/>
    <w:rsid w:val="0070249C"/>
    <w:rsid w:val="007057FC"/>
    <w:rsid w:val="00706C5D"/>
    <w:rsid w:val="007118E6"/>
    <w:rsid w:val="0071748F"/>
    <w:rsid w:val="00717FD4"/>
    <w:rsid w:val="007225C9"/>
    <w:rsid w:val="007349E9"/>
    <w:rsid w:val="007354BE"/>
    <w:rsid w:val="00735CD7"/>
    <w:rsid w:val="007360EC"/>
    <w:rsid w:val="00741994"/>
    <w:rsid w:val="00741F38"/>
    <w:rsid w:val="00743266"/>
    <w:rsid w:val="007446C5"/>
    <w:rsid w:val="007530E9"/>
    <w:rsid w:val="00754034"/>
    <w:rsid w:val="00754BF1"/>
    <w:rsid w:val="00755A30"/>
    <w:rsid w:val="00755E1C"/>
    <w:rsid w:val="00756556"/>
    <w:rsid w:val="0076132B"/>
    <w:rsid w:val="007623AE"/>
    <w:rsid w:val="007629E8"/>
    <w:rsid w:val="00770B19"/>
    <w:rsid w:val="007718DA"/>
    <w:rsid w:val="00772793"/>
    <w:rsid w:val="00774FA0"/>
    <w:rsid w:val="00776620"/>
    <w:rsid w:val="00776DD2"/>
    <w:rsid w:val="00777B6D"/>
    <w:rsid w:val="0078077E"/>
    <w:rsid w:val="007811CD"/>
    <w:rsid w:val="00784855"/>
    <w:rsid w:val="00784F39"/>
    <w:rsid w:val="0078545C"/>
    <w:rsid w:val="007906C4"/>
    <w:rsid w:val="0079088F"/>
    <w:rsid w:val="0079133D"/>
    <w:rsid w:val="00793337"/>
    <w:rsid w:val="007940EA"/>
    <w:rsid w:val="007967E8"/>
    <w:rsid w:val="007972E5"/>
    <w:rsid w:val="007A0D12"/>
    <w:rsid w:val="007A2D85"/>
    <w:rsid w:val="007A3EF8"/>
    <w:rsid w:val="007A53A9"/>
    <w:rsid w:val="007A63F2"/>
    <w:rsid w:val="007B1BED"/>
    <w:rsid w:val="007B4101"/>
    <w:rsid w:val="007B68DE"/>
    <w:rsid w:val="007B7D57"/>
    <w:rsid w:val="007C1246"/>
    <w:rsid w:val="007C1857"/>
    <w:rsid w:val="007C3067"/>
    <w:rsid w:val="007C514F"/>
    <w:rsid w:val="007C543A"/>
    <w:rsid w:val="007D0F95"/>
    <w:rsid w:val="007D7ECB"/>
    <w:rsid w:val="007E25A1"/>
    <w:rsid w:val="007E4BD2"/>
    <w:rsid w:val="007E5517"/>
    <w:rsid w:val="007E642C"/>
    <w:rsid w:val="007E6BBC"/>
    <w:rsid w:val="007E6C5D"/>
    <w:rsid w:val="007E7145"/>
    <w:rsid w:val="007E760F"/>
    <w:rsid w:val="007F0BE6"/>
    <w:rsid w:val="007F3916"/>
    <w:rsid w:val="00801179"/>
    <w:rsid w:val="00802479"/>
    <w:rsid w:val="008037C8"/>
    <w:rsid w:val="00805372"/>
    <w:rsid w:val="00805B7B"/>
    <w:rsid w:val="008107C3"/>
    <w:rsid w:val="0081293E"/>
    <w:rsid w:val="00813246"/>
    <w:rsid w:val="00814FFB"/>
    <w:rsid w:val="00820568"/>
    <w:rsid w:val="00820866"/>
    <w:rsid w:val="00821DFB"/>
    <w:rsid w:val="00823DB3"/>
    <w:rsid w:val="008240E6"/>
    <w:rsid w:val="00824D45"/>
    <w:rsid w:val="008318AA"/>
    <w:rsid w:val="00831A80"/>
    <w:rsid w:val="0083263D"/>
    <w:rsid w:val="008332C8"/>
    <w:rsid w:val="00833743"/>
    <w:rsid w:val="008340A4"/>
    <w:rsid w:val="00836799"/>
    <w:rsid w:val="00837028"/>
    <w:rsid w:val="00837131"/>
    <w:rsid w:val="00842407"/>
    <w:rsid w:val="00845F57"/>
    <w:rsid w:val="008521E0"/>
    <w:rsid w:val="008525B0"/>
    <w:rsid w:val="00852963"/>
    <w:rsid w:val="00855E92"/>
    <w:rsid w:val="008614D1"/>
    <w:rsid w:val="00867CBC"/>
    <w:rsid w:val="00874418"/>
    <w:rsid w:val="00876C30"/>
    <w:rsid w:val="00876FB7"/>
    <w:rsid w:val="00877017"/>
    <w:rsid w:val="008773C0"/>
    <w:rsid w:val="00880364"/>
    <w:rsid w:val="0088132F"/>
    <w:rsid w:val="00882B82"/>
    <w:rsid w:val="00886C4C"/>
    <w:rsid w:val="0088711C"/>
    <w:rsid w:val="00887EFC"/>
    <w:rsid w:val="00892ECF"/>
    <w:rsid w:val="00892F06"/>
    <w:rsid w:val="00894285"/>
    <w:rsid w:val="00896194"/>
    <w:rsid w:val="0089785E"/>
    <w:rsid w:val="008A40AE"/>
    <w:rsid w:val="008A4E19"/>
    <w:rsid w:val="008A5509"/>
    <w:rsid w:val="008A67B6"/>
    <w:rsid w:val="008A67C5"/>
    <w:rsid w:val="008B22E1"/>
    <w:rsid w:val="008B3C78"/>
    <w:rsid w:val="008B4AE9"/>
    <w:rsid w:val="008B7D51"/>
    <w:rsid w:val="008C2E31"/>
    <w:rsid w:val="008C30AD"/>
    <w:rsid w:val="008C451E"/>
    <w:rsid w:val="008C7810"/>
    <w:rsid w:val="008D068E"/>
    <w:rsid w:val="008D0F7A"/>
    <w:rsid w:val="008D54AF"/>
    <w:rsid w:val="008D63BE"/>
    <w:rsid w:val="008E0CFF"/>
    <w:rsid w:val="008E56A7"/>
    <w:rsid w:val="008E5D6B"/>
    <w:rsid w:val="008E689B"/>
    <w:rsid w:val="008E76F0"/>
    <w:rsid w:val="008F15FE"/>
    <w:rsid w:val="008F2A94"/>
    <w:rsid w:val="008F5187"/>
    <w:rsid w:val="008F6D1E"/>
    <w:rsid w:val="008F709C"/>
    <w:rsid w:val="0090312B"/>
    <w:rsid w:val="00903952"/>
    <w:rsid w:val="00904961"/>
    <w:rsid w:val="0091736D"/>
    <w:rsid w:val="009256CB"/>
    <w:rsid w:val="00930777"/>
    <w:rsid w:val="00931001"/>
    <w:rsid w:val="00931863"/>
    <w:rsid w:val="00933524"/>
    <w:rsid w:val="0094278D"/>
    <w:rsid w:val="00946175"/>
    <w:rsid w:val="0095308A"/>
    <w:rsid w:val="00955AEE"/>
    <w:rsid w:val="00956F14"/>
    <w:rsid w:val="009620FD"/>
    <w:rsid w:val="0096247A"/>
    <w:rsid w:val="00963A14"/>
    <w:rsid w:val="00965F4B"/>
    <w:rsid w:val="00970F8A"/>
    <w:rsid w:val="009714A4"/>
    <w:rsid w:val="00971FB5"/>
    <w:rsid w:val="00972D2A"/>
    <w:rsid w:val="009737BE"/>
    <w:rsid w:val="00975CC5"/>
    <w:rsid w:val="00976328"/>
    <w:rsid w:val="00976B4E"/>
    <w:rsid w:val="0098356E"/>
    <w:rsid w:val="00984458"/>
    <w:rsid w:val="00985283"/>
    <w:rsid w:val="00987322"/>
    <w:rsid w:val="00994952"/>
    <w:rsid w:val="009A0218"/>
    <w:rsid w:val="009A0F3B"/>
    <w:rsid w:val="009A0FFA"/>
    <w:rsid w:val="009A2DBB"/>
    <w:rsid w:val="009A50A6"/>
    <w:rsid w:val="009A72C7"/>
    <w:rsid w:val="009B0117"/>
    <w:rsid w:val="009B0897"/>
    <w:rsid w:val="009B5AF8"/>
    <w:rsid w:val="009B5D78"/>
    <w:rsid w:val="009C1BC9"/>
    <w:rsid w:val="009C1CDD"/>
    <w:rsid w:val="009D0852"/>
    <w:rsid w:val="009D1FBF"/>
    <w:rsid w:val="009D21A7"/>
    <w:rsid w:val="009E399C"/>
    <w:rsid w:val="009E43C1"/>
    <w:rsid w:val="009E7E95"/>
    <w:rsid w:val="009F116F"/>
    <w:rsid w:val="009F2DCD"/>
    <w:rsid w:val="009F329E"/>
    <w:rsid w:val="009F500E"/>
    <w:rsid w:val="009F52E4"/>
    <w:rsid w:val="009F7ED3"/>
    <w:rsid w:val="00A01DA5"/>
    <w:rsid w:val="00A03607"/>
    <w:rsid w:val="00A047FF"/>
    <w:rsid w:val="00A04FEF"/>
    <w:rsid w:val="00A10D39"/>
    <w:rsid w:val="00A122CD"/>
    <w:rsid w:val="00A12A32"/>
    <w:rsid w:val="00A14248"/>
    <w:rsid w:val="00A14947"/>
    <w:rsid w:val="00A1561E"/>
    <w:rsid w:val="00A174F5"/>
    <w:rsid w:val="00A2243B"/>
    <w:rsid w:val="00A22EC0"/>
    <w:rsid w:val="00A23DC5"/>
    <w:rsid w:val="00A24C99"/>
    <w:rsid w:val="00A2539A"/>
    <w:rsid w:val="00A2598F"/>
    <w:rsid w:val="00A31691"/>
    <w:rsid w:val="00A34028"/>
    <w:rsid w:val="00A35568"/>
    <w:rsid w:val="00A35D66"/>
    <w:rsid w:val="00A3664B"/>
    <w:rsid w:val="00A37056"/>
    <w:rsid w:val="00A4358F"/>
    <w:rsid w:val="00A46F67"/>
    <w:rsid w:val="00A54AA1"/>
    <w:rsid w:val="00A568FF"/>
    <w:rsid w:val="00A61496"/>
    <w:rsid w:val="00A61833"/>
    <w:rsid w:val="00A624C6"/>
    <w:rsid w:val="00A62C06"/>
    <w:rsid w:val="00A63CEC"/>
    <w:rsid w:val="00A6536F"/>
    <w:rsid w:val="00A7031E"/>
    <w:rsid w:val="00A728B1"/>
    <w:rsid w:val="00A7376C"/>
    <w:rsid w:val="00A73F80"/>
    <w:rsid w:val="00A763DE"/>
    <w:rsid w:val="00A803D6"/>
    <w:rsid w:val="00A81282"/>
    <w:rsid w:val="00A82E73"/>
    <w:rsid w:val="00A868D4"/>
    <w:rsid w:val="00A8713F"/>
    <w:rsid w:val="00A91167"/>
    <w:rsid w:val="00A9171C"/>
    <w:rsid w:val="00A92FFD"/>
    <w:rsid w:val="00A95975"/>
    <w:rsid w:val="00A9708D"/>
    <w:rsid w:val="00AA0C52"/>
    <w:rsid w:val="00AA2084"/>
    <w:rsid w:val="00AA20C0"/>
    <w:rsid w:val="00AA2C17"/>
    <w:rsid w:val="00AA4172"/>
    <w:rsid w:val="00AB1914"/>
    <w:rsid w:val="00AB5330"/>
    <w:rsid w:val="00AB7747"/>
    <w:rsid w:val="00AB7B30"/>
    <w:rsid w:val="00AC102C"/>
    <w:rsid w:val="00AC2532"/>
    <w:rsid w:val="00AC347F"/>
    <w:rsid w:val="00AC72BE"/>
    <w:rsid w:val="00AD1507"/>
    <w:rsid w:val="00AD5A70"/>
    <w:rsid w:val="00AD738B"/>
    <w:rsid w:val="00AE047D"/>
    <w:rsid w:val="00AE1718"/>
    <w:rsid w:val="00AE1BF4"/>
    <w:rsid w:val="00AE24F1"/>
    <w:rsid w:val="00AE5D97"/>
    <w:rsid w:val="00AE6794"/>
    <w:rsid w:val="00B01110"/>
    <w:rsid w:val="00B02262"/>
    <w:rsid w:val="00B033BF"/>
    <w:rsid w:val="00B03CEC"/>
    <w:rsid w:val="00B07DCC"/>
    <w:rsid w:val="00B11519"/>
    <w:rsid w:val="00B1209F"/>
    <w:rsid w:val="00B12AD0"/>
    <w:rsid w:val="00B20484"/>
    <w:rsid w:val="00B210AE"/>
    <w:rsid w:val="00B24F30"/>
    <w:rsid w:val="00B27FC3"/>
    <w:rsid w:val="00B31ABF"/>
    <w:rsid w:val="00B335AE"/>
    <w:rsid w:val="00B37CE1"/>
    <w:rsid w:val="00B40917"/>
    <w:rsid w:val="00B40ACF"/>
    <w:rsid w:val="00B4249A"/>
    <w:rsid w:val="00B46BAA"/>
    <w:rsid w:val="00B472F1"/>
    <w:rsid w:val="00B50B5F"/>
    <w:rsid w:val="00B54128"/>
    <w:rsid w:val="00B55461"/>
    <w:rsid w:val="00B55826"/>
    <w:rsid w:val="00B56114"/>
    <w:rsid w:val="00B5650A"/>
    <w:rsid w:val="00B60426"/>
    <w:rsid w:val="00B61339"/>
    <w:rsid w:val="00B622DD"/>
    <w:rsid w:val="00B63522"/>
    <w:rsid w:val="00B64AB6"/>
    <w:rsid w:val="00B65A3D"/>
    <w:rsid w:val="00B75E12"/>
    <w:rsid w:val="00B76F1D"/>
    <w:rsid w:val="00B82BD2"/>
    <w:rsid w:val="00B83165"/>
    <w:rsid w:val="00B8698A"/>
    <w:rsid w:val="00B872E3"/>
    <w:rsid w:val="00B92A19"/>
    <w:rsid w:val="00B9306E"/>
    <w:rsid w:val="00B9544C"/>
    <w:rsid w:val="00B95805"/>
    <w:rsid w:val="00BA25EC"/>
    <w:rsid w:val="00BA272C"/>
    <w:rsid w:val="00BA29E9"/>
    <w:rsid w:val="00BA7993"/>
    <w:rsid w:val="00BB3618"/>
    <w:rsid w:val="00BB6C80"/>
    <w:rsid w:val="00BC0C9E"/>
    <w:rsid w:val="00BC32DC"/>
    <w:rsid w:val="00BC4611"/>
    <w:rsid w:val="00BC56C0"/>
    <w:rsid w:val="00BC7E60"/>
    <w:rsid w:val="00BD1B51"/>
    <w:rsid w:val="00BD3C80"/>
    <w:rsid w:val="00BD47F6"/>
    <w:rsid w:val="00BE312D"/>
    <w:rsid w:val="00BE3FCA"/>
    <w:rsid w:val="00BE55E3"/>
    <w:rsid w:val="00BE78C0"/>
    <w:rsid w:val="00C019DD"/>
    <w:rsid w:val="00C05719"/>
    <w:rsid w:val="00C05F7A"/>
    <w:rsid w:val="00C07654"/>
    <w:rsid w:val="00C10578"/>
    <w:rsid w:val="00C10AC0"/>
    <w:rsid w:val="00C12BFB"/>
    <w:rsid w:val="00C156FE"/>
    <w:rsid w:val="00C17D62"/>
    <w:rsid w:val="00C21FDC"/>
    <w:rsid w:val="00C24EE7"/>
    <w:rsid w:val="00C2596A"/>
    <w:rsid w:val="00C271BE"/>
    <w:rsid w:val="00C27425"/>
    <w:rsid w:val="00C31BD5"/>
    <w:rsid w:val="00C328FE"/>
    <w:rsid w:val="00C33379"/>
    <w:rsid w:val="00C3385B"/>
    <w:rsid w:val="00C33A05"/>
    <w:rsid w:val="00C40E37"/>
    <w:rsid w:val="00C42500"/>
    <w:rsid w:val="00C43349"/>
    <w:rsid w:val="00C4409D"/>
    <w:rsid w:val="00C4429F"/>
    <w:rsid w:val="00C44DBA"/>
    <w:rsid w:val="00C455BE"/>
    <w:rsid w:val="00C51E5F"/>
    <w:rsid w:val="00C57639"/>
    <w:rsid w:val="00C61E4B"/>
    <w:rsid w:val="00C62E3A"/>
    <w:rsid w:val="00C632B4"/>
    <w:rsid w:val="00C64503"/>
    <w:rsid w:val="00C647C7"/>
    <w:rsid w:val="00C64A1F"/>
    <w:rsid w:val="00C64BFF"/>
    <w:rsid w:val="00C64F2B"/>
    <w:rsid w:val="00C66998"/>
    <w:rsid w:val="00C67D2A"/>
    <w:rsid w:val="00C71EDF"/>
    <w:rsid w:val="00C7328F"/>
    <w:rsid w:val="00C763C9"/>
    <w:rsid w:val="00C80057"/>
    <w:rsid w:val="00C80F8B"/>
    <w:rsid w:val="00C82C46"/>
    <w:rsid w:val="00C82C79"/>
    <w:rsid w:val="00C84753"/>
    <w:rsid w:val="00C91611"/>
    <w:rsid w:val="00C97D18"/>
    <w:rsid w:val="00CA12F4"/>
    <w:rsid w:val="00CA3585"/>
    <w:rsid w:val="00CA36A8"/>
    <w:rsid w:val="00CA3C2B"/>
    <w:rsid w:val="00CA3D5A"/>
    <w:rsid w:val="00CA4C7C"/>
    <w:rsid w:val="00CB0183"/>
    <w:rsid w:val="00CB1EA3"/>
    <w:rsid w:val="00CB4AB7"/>
    <w:rsid w:val="00CB552C"/>
    <w:rsid w:val="00CB5E23"/>
    <w:rsid w:val="00CB6A9E"/>
    <w:rsid w:val="00CB7FA4"/>
    <w:rsid w:val="00CC6181"/>
    <w:rsid w:val="00CC6E22"/>
    <w:rsid w:val="00CD1A40"/>
    <w:rsid w:val="00CD2BCD"/>
    <w:rsid w:val="00CD36AA"/>
    <w:rsid w:val="00CD3791"/>
    <w:rsid w:val="00CD6562"/>
    <w:rsid w:val="00CD65B0"/>
    <w:rsid w:val="00CE02CD"/>
    <w:rsid w:val="00CE0DA2"/>
    <w:rsid w:val="00CE10E9"/>
    <w:rsid w:val="00CE3B2E"/>
    <w:rsid w:val="00CE3DD0"/>
    <w:rsid w:val="00CE4109"/>
    <w:rsid w:val="00CF25B4"/>
    <w:rsid w:val="00CF2FDA"/>
    <w:rsid w:val="00CF3863"/>
    <w:rsid w:val="00D0072E"/>
    <w:rsid w:val="00D053FA"/>
    <w:rsid w:val="00D1037A"/>
    <w:rsid w:val="00D12FC8"/>
    <w:rsid w:val="00D15727"/>
    <w:rsid w:val="00D15909"/>
    <w:rsid w:val="00D16332"/>
    <w:rsid w:val="00D20EE8"/>
    <w:rsid w:val="00D2395D"/>
    <w:rsid w:val="00D23F94"/>
    <w:rsid w:val="00D24972"/>
    <w:rsid w:val="00D2515E"/>
    <w:rsid w:val="00D308ED"/>
    <w:rsid w:val="00D31E83"/>
    <w:rsid w:val="00D32A70"/>
    <w:rsid w:val="00D32B04"/>
    <w:rsid w:val="00D3353D"/>
    <w:rsid w:val="00D33891"/>
    <w:rsid w:val="00D351D0"/>
    <w:rsid w:val="00D42390"/>
    <w:rsid w:val="00D42457"/>
    <w:rsid w:val="00D428C6"/>
    <w:rsid w:val="00D43ABA"/>
    <w:rsid w:val="00D44087"/>
    <w:rsid w:val="00D44664"/>
    <w:rsid w:val="00D477EF"/>
    <w:rsid w:val="00D5096F"/>
    <w:rsid w:val="00D537B3"/>
    <w:rsid w:val="00D53FF7"/>
    <w:rsid w:val="00D56178"/>
    <w:rsid w:val="00D56CF0"/>
    <w:rsid w:val="00D56F5C"/>
    <w:rsid w:val="00D57528"/>
    <w:rsid w:val="00D63A6B"/>
    <w:rsid w:val="00D64ABD"/>
    <w:rsid w:val="00D65797"/>
    <w:rsid w:val="00D67170"/>
    <w:rsid w:val="00D675CE"/>
    <w:rsid w:val="00D704B1"/>
    <w:rsid w:val="00D708B5"/>
    <w:rsid w:val="00D70B63"/>
    <w:rsid w:val="00D72B92"/>
    <w:rsid w:val="00D72ED4"/>
    <w:rsid w:val="00D73F61"/>
    <w:rsid w:val="00D740E7"/>
    <w:rsid w:val="00D75206"/>
    <w:rsid w:val="00D754C0"/>
    <w:rsid w:val="00D75DCC"/>
    <w:rsid w:val="00D776A2"/>
    <w:rsid w:val="00D801C4"/>
    <w:rsid w:val="00D828F0"/>
    <w:rsid w:val="00D90673"/>
    <w:rsid w:val="00D90836"/>
    <w:rsid w:val="00D908C0"/>
    <w:rsid w:val="00D92AAA"/>
    <w:rsid w:val="00D95896"/>
    <w:rsid w:val="00D95CC6"/>
    <w:rsid w:val="00D96725"/>
    <w:rsid w:val="00DA2DA3"/>
    <w:rsid w:val="00DA6615"/>
    <w:rsid w:val="00DA76AE"/>
    <w:rsid w:val="00DB1086"/>
    <w:rsid w:val="00DB181E"/>
    <w:rsid w:val="00DB1C7A"/>
    <w:rsid w:val="00DB2983"/>
    <w:rsid w:val="00DB343D"/>
    <w:rsid w:val="00DB5579"/>
    <w:rsid w:val="00DB5CFE"/>
    <w:rsid w:val="00DC021C"/>
    <w:rsid w:val="00DC72A6"/>
    <w:rsid w:val="00DD2113"/>
    <w:rsid w:val="00DD265E"/>
    <w:rsid w:val="00DE04AE"/>
    <w:rsid w:val="00DF048C"/>
    <w:rsid w:val="00DF1930"/>
    <w:rsid w:val="00DF3F91"/>
    <w:rsid w:val="00DF514A"/>
    <w:rsid w:val="00DF58E9"/>
    <w:rsid w:val="00E0358D"/>
    <w:rsid w:val="00E04B00"/>
    <w:rsid w:val="00E06327"/>
    <w:rsid w:val="00E1287A"/>
    <w:rsid w:val="00E1756E"/>
    <w:rsid w:val="00E2064B"/>
    <w:rsid w:val="00E23010"/>
    <w:rsid w:val="00E239F0"/>
    <w:rsid w:val="00E25239"/>
    <w:rsid w:val="00E265B1"/>
    <w:rsid w:val="00E275B0"/>
    <w:rsid w:val="00E326C3"/>
    <w:rsid w:val="00E35ECF"/>
    <w:rsid w:val="00E412D0"/>
    <w:rsid w:val="00E437E7"/>
    <w:rsid w:val="00E45B48"/>
    <w:rsid w:val="00E47CDB"/>
    <w:rsid w:val="00E566BC"/>
    <w:rsid w:val="00E60134"/>
    <w:rsid w:val="00E60982"/>
    <w:rsid w:val="00E60C8D"/>
    <w:rsid w:val="00E6162F"/>
    <w:rsid w:val="00E6311B"/>
    <w:rsid w:val="00E65D97"/>
    <w:rsid w:val="00E67EFD"/>
    <w:rsid w:val="00E702DC"/>
    <w:rsid w:val="00E71FFB"/>
    <w:rsid w:val="00E76D1D"/>
    <w:rsid w:val="00E806F8"/>
    <w:rsid w:val="00E84C27"/>
    <w:rsid w:val="00E85E31"/>
    <w:rsid w:val="00E86169"/>
    <w:rsid w:val="00E86B93"/>
    <w:rsid w:val="00E87072"/>
    <w:rsid w:val="00E87752"/>
    <w:rsid w:val="00E8793B"/>
    <w:rsid w:val="00E90F81"/>
    <w:rsid w:val="00E91A6D"/>
    <w:rsid w:val="00E9242D"/>
    <w:rsid w:val="00E95863"/>
    <w:rsid w:val="00E966DB"/>
    <w:rsid w:val="00EB041C"/>
    <w:rsid w:val="00EB46EA"/>
    <w:rsid w:val="00EC0850"/>
    <w:rsid w:val="00EC4BB4"/>
    <w:rsid w:val="00EC52E9"/>
    <w:rsid w:val="00EC5874"/>
    <w:rsid w:val="00ED192D"/>
    <w:rsid w:val="00ED285C"/>
    <w:rsid w:val="00ED30B4"/>
    <w:rsid w:val="00ED31F5"/>
    <w:rsid w:val="00EE0262"/>
    <w:rsid w:val="00EE5842"/>
    <w:rsid w:val="00EF2759"/>
    <w:rsid w:val="00EF3B9A"/>
    <w:rsid w:val="00EF45EB"/>
    <w:rsid w:val="00EF5099"/>
    <w:rsid w:val="00EF5E33"/>
    <w:rsid w:val="00EF69AE"/>
    <w:rsid w:val="00F00075"/>
    <w:rsid w:val="00F07133"/>
    <w:rsid w:val="00F07822"/>
    <w:rsid w:val="00F147DE"/>
    <w:rsid w:val="00F157AE"/>
    <w:rsid w:val="00F15C95"/>
    <w:rsid w:val="00F17380"/>
    <w:rsid w:val="00F17709"/>
    <w:rsid w:val="00F2238B"/>
    <w:rsid w:val="00F22715"/>
    <w:rsid w:val="00F22985"/>
    <w:rsid w:val="00F241AB"/>
    <w:rsid w:val="00F2678E"/>
    <w:rsid w:val="00F31382"/>
    <w:rsid w:val="00F35829"/>
    <w:rsid w:val="00F42868"/>
    <w:rsid w:val="00F428BA"/>
    <w:rsid w:val="00F4417D"/>
    <w:rsid w:val="00F465A7"/>
    <w:rsid w:val="00F50B7C"/>
    <w:rsid w:val="00F5202D"/>
    <w:rsid w:val="00F52CF6"/>
    <w:rsid w:val="00F534A6"/>
    <w:rsid w:val="00F54496"/>
    <w:rsid w:val="00F61097"/>
    <w:rsid w:val="00F610DC"/>
    <w:rsid w:val="00F61118"/>
    <w:rsid w:val="00F721E8"/>
    <w:rsid w:val="00F74345"/>
    <w:rsid w:val="00F74441"/>
    <w:rsid w:val="00F77C1A"/>
    <w:rsid w:val="00F77F30"/>
    <w:rsid w:val="00F82589"/>
    <w:rsid w:val="00F82703"/>
    <w:rsid w:val="00F82B19"/>
    <w:rsid w:val="00F83699"/>
    <w:rsid w:val="00F854EA"/>
    <w:rsid w:val="00F862BA"/>
    <w:rsid w:val="00F90AA7"/>
    <w:rsid w:val="00F9212D"/>
    <w:rsid w:val="00FA103B"/>
    <w:rsid w:val="00FA301A"/>
    <w:rsid w:val="00FA406A"/>
    <w:rsid w:val="00FA5CB6"/>
    <w:rsid w:val="00FA79D7"/>
    <w:rsid w:val="00FB5164"/>
    <w:rsid w:val="00FC2BEF"/>
    <w:rsid w:val="00FC66AC"/>
    <w:rsid w:val="00FD18F4"/>
    <w:rsid w:val="00FD74B4"/>
    <w:rsid w:val="00FE4B00"/>
    <w:rsid w:val="00FE4EB1"/>
    <w:rsid w:val="00FF1041"/>
    <w:rsid w:val="00FF27A1"/>
    <w:rsid w:val="00FF5907"/>
    <w:rsid w:val="00FF6FCE"/>
    <w:rsid w:val="00FF7518"/>
    <w:rsid w:val="00FF7FD8"/>
    <w:rsid w:val="012F4414"/>
    <w:rsid w:val="026D7C11"/>
    <w:rsid w:val="03354721"/>
    <w:rsid w:val="03B804CE"/>
    <w:rsid w:val="05742AC8"/>
    <w:rsid w:val="059604A7"/>
    <w:rsid w:val="06352F05"/>
    <w:rsid w:val="063E7D85"/>
    <w:rsid w:val="06EA7827"/>
    <w:rsid w:val="070875E0"/>
    <w:rsid w:val="07293586"/>
    <w:rsid w:val="07295285"/>
    <w:rsid w:val="07770C56"/>
    <w:rsid w:val="07B676E8"/>
    <w:rsid w:val="080E676E"/>
    <w:rsid w:val="08D440B0"/>
    <w:rsid w:val="092217DD"/>
    <w:rsid w:val="093A7294"/>
    <w:rsid w:val="09E22693"/>
    <w:rsid w:val="0A196445"/>
    <w:rsid w:val="0BD27BF6"/>
    <w:rsid w:val="0D5B64D5"/>
    <w:rsid w:val="0E110D06"/>
    <w:rsid w:val="0F13775A"/>
    <w:rsid w:val="0F9A112B"/>
    <w:rsid w:val="102D7577"/>
    <w:rsid w:val="105E3597"/>
    <w:rsid w:val="106D2F64"/>
    <w:rsid w:val="10B63710"/>
    <w:rsid w:val="10FF3475"/>
    <w:rsid w:val="111C2F7A"/>
    <w:rsid w:val="113013DE"/>
    <w:rsid w:val="120F6100"/>
    <w:rsid w:val="122B06C2"/>
    <w:rsid w:val="13951726"/>
    <w:rsid w:val="14396509"/>
    <w:rsid w:val="1447165C"/>
    <w:rsid w:val="15941137"/>
    <w:rsid w:val="1622703F"/>
    <w:rsid w:val="16B811DE"/>
    <w:rsid w:val="17735226"/>
    <w:rsid w:val="19DE041F"/>
    <w:rsid w:val="1A1C66C0"/>
    <w:rsid w:val="1A42393B"/>
    <w:rsid w:val="1B046F80"/>
    <w:rsid w:val="1B3267B5"/>
    <w:rsid w:val="1BC25DC8"/>
    <w:rsid w:val="1C197434"/>
    <w:rsid w:val="1C5E7925"/>
    <w:rsid w:val="1C887FC8"/>
    <w:rsid w:val="1CF4370F"/>
    <w:rsid w:val="1D5F6196"/>
    <w:rsid w:val="1D6132A5"/>
    <w:rsid w:val="1D8E56D5"/>
    <w:rsid w:val="1E6C7DF3"/>
    <w:rsid w:val="1E7A43DA"/>
    <w:rsid w:val="1EB277FE"/>
    <w:rsid w:val="1F3B15D0"/>
    <w:rsid w:val="1F731A8B"/>
    <w:rsid w:val="1F7C3F92"/>
    <w:rsid w:val="1FA0635A"/>
    <w:rsid w:val="1FE7539E"/>
    <w:rsid w:val="20904B35"/>
    <w:rsid w:val="20963CB8"/>
    <w:rsid w:val="20B07FB6"/>
    <w:rsid w:val="21156A11"/>
    <w:rsid w:val="213B74B1"/>
    <w:rsid w:val="215A2310"/>
    <w:rsid w:val="21C050AA"/>
    <w:rsid w:val="21DE318A"/>
    <w:rsid w:val="21EF5B80"/>
    <w:rsid w:val="22576990"/>
    <w:rsid w:val="229C4EAB"/>
    <w:rsid w:val="22B26A09"/>
    <w:rsid w:val="22D65675"/>
    <w:rsid w:val="237830F2"/>
    <w:rsid w:val="241177E4"/>
    <w:rsid w:val="24290AD5"/>
    <w:rsid w:val="252D53FE"/>
    <w:rsid w:val="25EC2D81"/>
    <w:rsid w:val="264528BD"/>
    <w:rsid w:val="2682246A"/>
    <w:rsid w:val="26CA1A9D"/>
    <w:rsid w:val="27D15DD1"/>
    <w:rsid w:val="28A76295"/>
    <w:rsid w:val="29206EB8"/>
    <w:rsid w:val="29E1583D"/>
    <w:rsid w:val="29E325E0"/>
    <w:rsid w:val="2A452503"/>
    <w:rsid w:val="2ADF5199"/>
    <w:rsid w:val="2BA936A8"/>
    <w:rsid w:val="2BCA38AA"/>
    <w:rsid w:val="2C315A5A"/>
    <w:rsid w:val="2C432187"/>
    <w:rsid w:val="2C4333CB"/>
    <w:rsid w:val="2C6017B1"/>
    <w:rsid w:val="2CD5246B"/>
    <w:rsid w:val="2D9E56F5"/>
    <w:rsid w:val="2E667F96"/>
    <w:rsid w:val="2E8226AB"/>
    <w:rsid w:val="2EED71E8"/>
    <w:rsid w:val="2F581D40"/>
    <w:rsid w:val="2F7E62B5"/>
    <w:rsid w:val="2F832C79"/>
    <w:rsid w:val="2F856FBC"/>
    <w:rsid w:val="2F9A6E1B"/>
    <w:rsid w:val="2FEF2D58"/>
    <w:rsid w:val="30580BC9"/>
    <w:rsid w:val="311E2ED7"/>
    <w:rsid w:val="315C449C"/>
    <w:rsid w:val="31B82709"/>
    <w:rsid w:val="32400B34"/>
    <w:rsid w:val="329E6876"/>
    <w:rsid w:val="33D934D4"/>
    <w:rsid w:val="33FE2F6A"/>
    <w:rsid w:val="34A86024"/>
    <w:rsid w:val="35191070"/>
    <w:rsid w:val="36074A7F"/>
    <w:rsid w:val="36306EBA"/>
    <w:rsid w:val="36923549"/>
    <w:rsid w:val="36B75FBF"/>
    <w:rsid w:val="36FB4891"/>
    <w:rsid w:val="38AB6313"/>
    <w:rsid w:val="38F12CD3"/>
    <w:rsid w:val="38F94775"/>
    <w:rsid w:val="392971ED"/>
    <w:rsid w:val="3B0532F1"/>
    <w:rsid w:val="3B3763D1"/>
    <w:rsid w:val="3C4A746C"/>
    <w:rsid w:val="3CDA245A"/>
    <w:rsid w:val="3CEE0A37"/>
    <w:rsid w:val="3E6B6FD9"/>
    <w:rsid w:val="3F660E74"/>
    <w:rsid w:val="407A6407"/>
    <w:rsid w:val="4122281D"/>
    <w:rsid w:val="418036D2"/>
    <w:rsid w:val="41EA69D4"/>
    <w:rsid w:val="41EC7842"/>
    <w:rsid w:val="423A3BCC"/>
    <w:rsid w:val="433A6FE6"/>
    <w:rsid w:val="4350713C"/>
    <w:rsid w:val="436653E0"/>
    <w:rsid w:val="43743E2B"/>
    <w:rsid w:val="438C542C"/>
    <w:rsid w:val="43D964B3"/>
    <w:rsid w:val="44CD14E0"/>
    <w:rsid w:val="454B29ED"/>
    <w:rsid w:val="458946E9"/>
    <w:rsid w:val="46D955A7"/>
    <w:rsid w:val="47133957"/>
    <w:rsid w:val="4779329E"/>
    <w:rsid w:val="47A07E0C"/>
    <w:rsid w:val="47E616C2"/>
    <w:rsid w:val="4870272E"/>
    <w:rsid w:val="488E48BF"/>
    <w:rsid w:val="491F340D"/>
    <w:rsid w:val="49B77E7F"/>
    <w:rsid w:val="49DC7715"/>
    <w:rsid w:val="4A023139"/>
    <w:rsid w:val="4A7B576F"/>
    <w:rsid w:val="4AAD3950"/>
    <w:rsid w:val="4AC434C7"/>
    <w:rsid w:val="4B78061C"/>
    <w:rsid w:val="4C4A0649"/>
    <w:rsid w:val="4CE470D3"/>
    <w:rsid w:val="4CFA35FF"/>
    <w:rsid w:val="4DEC4FB0"/>
    <w:rsid w:val="4E075D8A"/>
    <w:rsid w:val="4FC62A8C"/>
    <w:rsid w:val="4FE20F0D"/>
    <w:rsid w:val="50504C4B"/>
    <w:rsid w:val="509C6E7C"/>
    <w:rsid w:val="50FE4E99"/>
    <w:rsid w:val="5162104E"/>
    <w:rsid w:val="5200372D"/>
    <w:rsid w:val="533B42B2"/>
    <w:rsid w:val="53A039CC"/>
    <w:rsid w:val="53A1505A"/>
    <w:rsid w:val="54063E08"/>
    <w:rsid w:val="543437E8"/>
    <w:rsid w:val="546465B3"/>
    <w:rsid w:val="54C702A1"/>
    <w:rsid w:val="559B174B"/>
    <w:rsid w:val="55CE0CF4"/>
    <w:rsid w:val="566D6EB1"/>
    <w:rsid w:val="56B22A9C"/>
    <w:rsid w:val="571F6C28"/>
    <w:rsid w:val="57B72A76"/>
    <w:rsid w:val="584E044F"/>
    <w:rsid w:val="586F7B98"/>
    <w:rsid w:val="58887A8D"/>
    <w:rsid w:val="5A3C747D"/>
    <w:rsid w:val="5ABE2233"/>
    <w:rsid w:val="5B276D18"/>
    <w:rsid w:val="5B9B21B9"/>
    <w:rsid w:val="5BBD684E"/>
    <w:rsid w:val="5BDF5D95"/>
    <w:rsid w:val="5CE8747E"/>
    <w:rsid w:val="5DF87A0F"/>
    <w:rsid w:val="5E377DB7"/>
    <w:rsid w:val="5EFD6B1F"/>
    <w:rsid w:val="5F0B51E4"/>
    <w:rsid w:val="5F1A2B43"/>
    <w:rsid w:val="5FB837BB"/>
    <w:rsid w:val="60673F83"/>
    <w:rsid w:val="607B72A8"/>
    <w:rsid w:val="60D31B88"/>
    <w:rsid w:val="62364782"/>
    <w:rsid w:val="636B318B"/>
    <w:rsid w:val="63D40BE9"/>
    <w:rsid w:val="63E0211F"/>
    <w:rsid w:val="643777D7"/>
    <w:rsid w:val="64AB5224"/>
    <w:rsid w:val="64F24EA2"/>
    <w:rsid w:val="65373578"/>
    <w:rsid w:val="668933E1"/>
    <w:rsid w:val="673F2C7A"/>
    <w:rsid w:val="681F6961"/>
    <w:rsid w:val="68610A2F"/>
    <w:rsid w:val="68805514"/>
    <w:rsid w:val="689D4F57"/>
    <w:rsid w:val="694E2071"/>
    <w:rsid w:val="697A3B33"/>
    <w:rsid w:val="699E2456"/>
    <w:rsid w:val="69A703BA"/>
    <w:rsid w:val="69CE43C7"/>
    <w:rsid w:val="69CE67B0"/>
    <w:rsid w:val="6B322639"/>
    <w:rsid w:val="6C1678C2"/>
    <w:rsid w:val="6C636C38"/>
    <w:rsid w:val="6D716311"/>
    <w:rsid w:val="6DB34098"/>
    <w:rsid w:val="6DB545B6"/>
    <w:rsid w:val="6E3C1A61"/>
    <w:rsid w:val="6E4375A0"/>
    <w:rsid w:val="6E514CED"/>
    <w:rsid w:val="6E79491A"/>
    <w:rsid w:val="6EB563D5"/>
    <w:rsid w:val="6EFA4735"/>
    <w:rsid w:val="6F225983"/>
    <w:rsid w:val="6FB621BB"/>
    <w:rsid w:val="6FDC2500"/>
    <w:rsid w:val="6FFC5590"/>
    <w:rsid w:val="70301DA3"/>
    <w:rsid w:val="706D1DD0"/>
    <w:rsid w:val="70856B87"/>
    <w:rsid w:val="70D527EE"/>
    <w:rsid w:val="71276291"/>
    <w:rsid w:val="715B5300"/>
    <w:rsid w:val="715F4BD7"/>
    <w:rsid w:val="71D27F8A"/>
    <w:rsid w:val="71F744C6"/>
    <w:rsid w:val="71F960CF"/>
    <w:rsid w:val="731F5D5E"/>
    <w:rsid w:val="741E793C"/>
    <w:rsid w:val="7448269D"/>
    <w:rsid w:val="74680CD1"/>
    <w:rsid w:val="74A93108"/>
    <w:rsid w:val="75697569"/>
    <w:rsid w:val="758D75E2"/>
    <w:rsid w:val="771A17FE"/>
    <w:rsid w:val="77762421"/>
    <w:rsid w:val="780F09F4"/>
    <w:rsid w:val="789C4F47"/>
    <w:rsid w:val="78A90480"/>
    <w:rsid w:val="79811327"/>
    <w:rsid w:val="7A364017"/>
    <w:rsid w:val="7A562579"/>
    <w:rsid w:val="7A643EF8"/>
    <w:rsid w:val="7A8265E1"/>
    <w:rsid w:val="7B0C5495"/>
    <w:rsid w:val="7B660C68"/>
    <w:rsid w:val="7B686D42"/>
    <w:rsid w:val="7B841746"/>
    <w:rsid w:val="7C7E48CF"/>
    <w:rsid w:val="7CD729AF"/>
    <w:rsid w:val="7D0239FF"/>
    <w:rsid w:val="7D1F7220"/>
    <w:rsid w:val="7D5E40CD"/>
    <w:rsid w:val="7D693BED"/>
    <w:rsid w:val="7E6C70B1"/>
    <w:rsid w:val="7F2D0DD8"/>
    <w:rsid w:val="7FE47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ocked="1"/>
    <w:lsdException w:qFormat="1" w:unhideWhenUsed="0" w:uiPriority="9"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qFormat="1" w:uiPriority="39"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qFormat/>
    <w:locked/>
    <w:uiPriority w:val="0"/>
    <w:pPr>
      <w:spacing w:before="120" w:after="120"/>
      <w:ind w:firstLine="0" w:firstLineChars="0"/>
      <w:jc w:val="left"/>
      <w:outlineLvl w:val="1"/>
    </w:pPr>
    <w:rPr>
      <w:b/>
      <w:sz w:val="30"/>
      <w:szCs w:val="28"/>
    </w:rPr>
  </w:style>
  <w:style w:type="paragraph" w:styleId="5">
    <w:name w:val="heading 3"/>
    <w:basedOn w:val="1"/>
    <w:next w:val="1"/>
    <w:qFormat/>
    <w:locked/>
    <w:uiPriority w:val="0"/>
    <w:pPr>
      <w:keepNext/>
      <w:keepLines/>
      <w:spacing w:before="260" w:after="260" w:line="416" w:lineRule="auto"/>
      <w:outlineLvl w:val="2"/>
    </w:pPr>
    <w:rPr>
      <w:b/>
      <w:bCs/>
      <w:sz w:val="32"/>
      <w:szCs w:val="32"/>
    </w:rPr>
  </w:style>
  <w:style w:type="paragraph" w:styleId="6">
    <w:name w:val="heading 4"/>
    <w:basedOn w:val="1"/>
    <w:next w:val="1"/>
    <w:qFormat/>
    <w:locked/>
    <w:uiPriority w:val="9"/>
    <w:pPr>
      <w:overflowPunct w:val="0"/>
      <w:autoSpaceDE w:val="0"/>
      <w:autoSpaceDN w:val="0"/>
      <w:adjustRightInd w:val="0"/>
      <w:snapToGrid w:val="0"/>
      <w:spacing w:beforeLines="50" w:afterLines="50"/>
      <w:ind w:firstLine="0" w:firstLineChars="0"/>
      <w:jc w:val="left"/>
      <w:textAlignment w:val="baseline"/>
      <w:outlineLvl w:val="3"/>
    </w:pPr>
    <w:rPr>
      <w:rFonts w:eastAsia="黑体"/>
      <w:kern w:val="20"/>
      <w:szCs w:val="20"/>
      <w:lang w:val="en-GB"/>
    </w:rPr>
  </w:style>
  <w:style w:type="paragraph" w:styleId="7">
    <w:name w:val="heading 5"/>
    <w:basedOn w:val="1"/>
    <w:next w:val="1"/>
    <w:qFormat/>
    <w:locked/>
    <w:uiPriority w:val="0"/>
    <w:pPr>
      <w:overflowPunct w:val="0"/>
      <w:autoSpaceDE w:val="0"/>
      <w:autoSpaceDN w:val="0"/>
      <w:adjustRightInd w:val="0"/>
      <w:ind w:firstLine="0" w:firstLineChars="0"/>
      <w:textAlignment w:val="baseline"/>
      <w:outlineLvl w:val="4"/>
    </w:pPr>
    <w:rPr>
      <w:kern w:val="20"/>
      <w:szCs w:val="20"/>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customStyle="1" w:styleId="2">
    <w:name w:val="Default"/>
    <w:basedOn w:val="1"/>
    <w:link w:val="68"/>
    <w:qFormat/>
    <w:uiPriority w:val="0"/>
    <w:pPr>
      <w:autoSpaceDE w:val="0"/>
      <w:autoSpaceDN w:val="0"/>
      <w:adjustRightInd w:val="0"/>
      <w:jc w:val="left"/>
    </w:pPr>
    <w:rPr>
      <w:rFonts w:ascii="宋体" w:hAnsi="宋体"/>
      <w:color w:val="000000"/>
      <w:kern w:val="0"/>
      <w:sz w:val="24"/>
    </w:rPr>
  </w:style>
  <w:style w:type="paragraph" w:styleId="8">
    <w:name w:val="Normal Indent"/>
    <w:basedOn w:val="1"/>
    <w:next w:val="9"/>
    <w:link w:val="40"/>
    <w:unhideWhenUsed/>
    <w:qFormat/>
    <w:uiPriority w:val="0"/>
    <w:pPr>
      <w:spacing w:line="360" w:lineRule="auto"/>
      <w:ind w:firstLine="200" w:firstLineChars="200"/>
    </w:pPr>
    <w:rPr>
      <w:rFonts w:ascii="Calibri" w:hAnsi="Calibri"/>
      <w:spacing w:val="15"/>
      <w:kern w:val="0"/>
      <w:sz w:val="28"/>
      <w:szCs w:val="28"/>
    </w:rPr>
  </w:style>
  <w:style w:type="paragraph" w:styleId="9">
    <w:name w:val="Body Text First Indent 2"/>
    <w:basedOn w:val="10"/>
    <w:next w:val="1"/>
    <w:link w:val="42"/>
    <w:unhideWhenUsed/>
    <w:qFormat/>
    <w:uiPriority w:val="99"/>
    <w:pPr>
      <w:spacing w:line="360" w:lineRule="auto"/>
      <w:ind w:firstLine="420" w:firstLineChars="200"/>
    </w:pPr>
    <w:rPr>
      <w:sz w:val="24"/>
    </w:rPr>
  </w:style>
  <w:style w:type="paragraph" w:styleId="10">
    <w:name w:val="Body Text Indent"/>
    <w:basedOn w:val="1"/>
    <w:next w:val="1"/>
    <w:link w:val="41"/>
    <w:semiHidden/>
    <w:qFormat/>
    <w:uiPriority w:val="0"/>
    <w:pPr>
      <w:spacing w:after="120"/>
      <w:ind w:left="420" w:leftChars="200"/>
    </w:pPr>
  </w:style>
  <w:style w:type="paragraph" w:styleId="11">
    <w:name w:val="annotation text"/>
    <w:basedOn w:val="1"/>
    <w:link w:val="43"/>
    <w:semiHidden/>
    <w:qFormat/>
    <w:uiPriority w:val="0"/>
    <w:pPr>
      <w:jc w:val="left"/>
    </w:pPr>
    <w:rPr>
      <w:kern w:val="0"/>
      <w:sz w:val="24"/>
      <w:szCs w:val="20"/>
    </w:rPr>
  </w:style>
  <w:style w:type="paragraph" w:styleId="12">
    <w:name w:val="Body Text"/>
    <w:basedOn w:val="1"/>
    <w:next w:val="10"/>
    <w:link w:val="44"/>
    <w:qFormat/>
    <w:uiPriority w:val="0"/>
    <w:pPr>
      <w:widowControl/>
      <w:snapToGrid w:val="0"/>
      <w:spacing w:before="60" w:after="160" w:line="259" w:lineRule="auto"/>
      <w:ind w:right="113"/>
    </w:pPr>
    <w:rPr>
      <w:kern w:val="0"/>
      <w:sz w:val="18"/>
      <w:szCs w:val="20"/>
    </w:rPr>
  </w:style>
  <w:style w:type="paragraph" w:styleId="13">
    <w:name w:val="toc 5"/>
    <w:basedOn w:val="1"/>
    <w:next w:val="1"/>
    <w:unhideWhenUsed/>
    <w:qFormat/>
    <w:locked/>
    <w:uiPriority w:val="39"/>
    <w:pPr>
      <w:ind w:left="1680" w:leftChars="800"/>
    </w:pPr>
    <w:rPr>
      <w:rFonts w:ascii="Calibri" w:hAnsi="Calibri" w:eastAsia="宋体" w:cs="Times New Roman"/>
      <w:szCs w:val="22"/>
    </w:rPr>
  </w:style>
  <w:style w:type="paragraph" w:styleId="14">
    <w:name w:val="Plain Text"/>
    <w:basedOn w:val="1"/>
    <w:link w:val="45"/>
    <w:qFormat/>
    <w:uiPriority w:val="0"/>
    <w:rPr>
      <w:rFonts w:ascii="宋体" w:hAnsi="Courier New" w:cs="Courier New"/>
      <w:szCs w:val="21"/>
    </w:rPr>
  </w:style>
  <w:style w:type="paragraph" w:styleId="15">
    <w:name w:val="Date"/>
    <w:basedOn w:val="1"/>
    <w:next w:val="1"/>
    <w:link w:val="46"/>
    <w:qFormat/>
    <w:uiPriority w:val="0"/>
    <w:pPr>
      <w:ind w:left="100" w:leftChars="2500"/>
    </w:pPr>
    <w:rPr>
      <w:kern w:val="0"/>
      <w:sz w:val="24"/>
      <w:szCs w:val="20"/>
    </w:rPr>
  </w:style>
  <w:style w:type="paragraph" w:styleId="16">
    <w:name w:val="Body Text Indent 2"/>
    <w:basedOn w:val="1"/>
    <w:link w:val="47"/>
    <w:qFormat/>
    <w:uiPriority w:val="0"/>
    <w:pPr>
      <w:spacing w:after="120" w:line="480" w:lineRule="auto"/>
      <w:ind w:left="420" w:leftChars="200"/>
    </w:pPr>
  </w:style>
  <w:style w:type="paragraph" w:styleId="17">
    <w:name w:val="Balloon Text"/>
    <w:basedOn w:val="1"/>
    <w:link w:val="48"/>
    <w:semiHidden/>
    <w:qFormat/>
    <w:uiPriority w:val="0"/>
    <w:rPr>
      <w:sz w:val="18"/>
      <w:szCs w:val="18"/>
    </w:rPr>
  </w:style>
  <w:style w:type="paragraph" w:styleId="18">
    <w:name w:val="footer"/>
    <w:basedOn w:val="1"/>
    <w:link w:val="49"/>
    <w:qFormat/>
    <w:uiPriority w:val="0"/>
    <w:pPr>
      <w:tabs>
        <w:tab w:val="center" w:pos="4153"/>
        <w:tab w:val="right" w:pos="8306"/>
      </w:tabs>
      <w:snapToGrid w:val="0"/>
      <w:jc w:val="left"/>
    </w:pPr>
    <w:rPr>
      <w:sz w:val="18"/>
      <w:szCs w:val="18"/>
    </w:rPr>
  </w:style>
  <w:style w:type="paragraph" w:styleId="19">
    <w:name w:val="header"/>
    <w:basedOn w:val="1"/>
    <w:next w:val="20"/>
    <w:link w:val="50"/>
    <w:qFormat/>
    <w:uiPriority w:val="0"/>
    <w:pPr>
      <w:pBdr>
        <w:bottom w:val="single" w:color="auto" w:sz="6" w:space="1"/>
      </w:pBdr>
      <w:tabs>
        <w:tab w:val="center" w:pos="4153"/>
        <w:tab w:val="right" w:pos="8306"/>
      </w:tabs>
      <w:snapToGrid w:val="0"/>
      <w:jc w:val="center"/>
    </w:pPr>
    <w:rPr>
      <w:sz w:val="18"/>
      <w:szCs w:val="18"/>
    </w:rPr>
  </w:style>
  <w:style w:type="paragraph" w:customStyle="1" w:styleId="20">
    <w:name w:val="样式5"/>
    <w:basedOn w:val="21"/>
    <w:qFormat/>
    <w:uiPriority w:val="0"/>
    <w:pPr>
      <w:keepNext/>
      <w:keepLines/>
      <w:spacing w:line="240" w:lineRule="atLeast"/>
      <w:ind w:firstLine="0" w:firstLineChars="0"/>
      <w:jc w:val="center"/>
      <w:outlineLvl w:val="3"/>
    </w:pPr>
    <w:rPr>
      <w:rFonts w:ascii="宋体" w:hAnsi="宋体"/>
      <w:color w:val="000000"/>
      <w:sz w:val="20"/>
      <w:szCs w:val="21"/>
    </w:rPr>
  </w:style>
  <w:style w:type="paragraph" w:customStyle="1" w:styleId="21">
    <w:name w:val="正文1"/>
    <w:basedOn w:val="10"/>
    <w:next w:val="1"/>
    <w:qFormat/>
    <w:uiPriority w:val="0"/>
    <w:pPr>
      <w:adjustRightInd w:val="0"/>
      <w:spacing w:line="360" w:lineRule="atLeast"/>
      <w:textAlignment w:val="baseline"/>
    </w:pPr>
    <w:rPr>
      <w:rFonts w:ascii="宋体"/>
      <w:szCs w:val="22"/>
    </w:rPr>
  </w:style>
  <w:style w:type="paragraph" w:styleId="22">
    <w:name w:val="toc 1"/>
    <w:basedOn w:val="1"/>
    <w:next w:val="1"/>
    <w:qFormat/>
    <w:locked/>
    <w:uiPriority w:val="0"/>
  </w:style>
  <w:style w:type="paragraph" w:styleId="23">
    <w:name w:val="Body Text Indent 3"/>
    <w:basedOn w:val="1"/>
    <w:qFormat/>
    <w:uiPriority w:val="0"/>
    <w:pPr>
      <w:spacing w:line="360" w:lineRule="auto"/>
      <w:ind w:firstLine="560" w:firstLineChars="200"/>
    </w:pPr>
    <w:rPr>
      <w:sz w:val="28"/>
    </w:rPr>
  </w:style>
  <w:style w:type="paragraph" w:styleId="24">
    <w:name w:val="toc 2"/>
    <w:basedOn w:val="1"/>
    <w:next w:val="1"/>
    <w:qFormat/>
    <w:locked/>
    <w:uiPriority w:val="0"/>
    <w:pPr>
      <w:ind w:left="420" w:leftChars="200"/>
    </w:pPr>
  </w:style>
  <w:style w:type="paragraph" w:styleId="25">
    <w:name w:val="Normal (Web)"/>
    <w:basedOn w:val="1"/>
    <w:next w:val="1"/>
    <w:link w:val="51"/>
    <w:qFormat/>
    <w:uiPriority w:val="0"/>
    <w:pPr>
      <w:widowControl/>
      <w:spacing w:before="100" w:beforeAutospacing="1" w:after="100" w:afterAutospacing="1"/>
      <w:jc w:val="left"/>
    </w:pPr>
    <w:rPr>
      <w:rFonts w:ascii="宋体" w:hAnsi="宋体"/>
      <w:kern w:val="0"/>
      <w:sz w:val="24"/>
      <w:szCs w:val="20"/>
    </w:rPr>
  </w:style>
  <w:style w:type="paragraph" w:styleId="26">
    <w:name w:val="annotation subject"/>
    <w:basedOn w:val="11"/>
    <w:next w:val="11"/>
    <w:link w:val="52"/>
    <w:semiHidden/>
    <w:qFormat/>
    <w:uiPriority w:val="0"/>
    <w:rPr>
      <w:b/>
      <w:bCs/>
    </w:rPr>
  </w:style>
  <w:style w:type="paragraph" w:styleId="27">
    <w:name w:val="Body Text First Indent"/>
    <w:basedOn w:val="12"/>
    <w:next w:val="1"/>
    <w:link w:val="53"/>
    <w:qFormat/>
    <w:uiPriority w:val="0"/>
    <w:pPr>
      <w:widowControl w:val="0"/>
      <w:snapToGrid/>
      <w:spacing w:before="0" w:after="120" w:line="240" w:lineRule="auto"/>
      <w:ind w:right="0" w:firstLine="420" w:firstLineChars="100"/>
    </w:pPr>
    <w:rPr>
      <w:kern w:val="2"/>
      <w:sz w:val="21"/>
      <w:szCs w:val="24"/>
      <w:lang w:val="en-US" w:eastAsia="zh-CN"/>
    </w:rPr>
  </w:style>
  <w:style w:type="table" w:styleId="29">
    <w:name w:val="Table Grid"/>
    <w:basedOn w:val="28"/>
    <w:qFormat/>
    <w:uiPriority w:val="99"/>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locked/>
    <w:uiPriority w:val="0"/>
    <w:rPr>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qFormat/>
    <w:uiPriority w:val="0"/>
    <w:rPr>
      <w:sz w:val="21"/>
    </w:rPr>
  </w:style>
  <w:style w:type="paragraph" w:customStyle="1" w:styleId="35">
    <w:name w:val="样式 正文缩进正文缩进2正文缩进 Char Char正文缩进 Char Char Char Char正文缩进 Char ..."/>
    <w:basedOn w:val="8"/>
    <w:qFormat/>
    <w:uiPriority w:val="0"/>
    <w:pPr>
      <w:ind w:firstLine="200"/>
    </w:pPr>
    <w:rPr>
      <w:rFonts w:cs="宋体"/>
    </w:rPr>
  </w:style>
  <w:style w:type="paragraph" w:customStyle="1" w:styleId="36">
    <w:name w:val="表头"/>
    <w:basedOn w:val="37"/>
    <w:next w:val="1"/>
    <w:link w:val="54"/>
    <w:qFormat/>
    <w:uiPriority w:val="0"/>
    <w:pPr>
      <w:adjustRightInd w:val="0"/>
      <w:snapToGrid w:val="0"/>
      <w:spacing w:line="240" w:lineRule="atLeast"/>
      <w:jc w:val="center"/>
    </w:pPr>
    <w:rPr>
      <w:rFonts w:ascii="Calibri" w:hAnsi="Calibri"/>
      <w:b/>
      <w:kern w:val="0"/>
      <w:sz w:val="20"/>
      <w:szCs w:val="20"/>
    </w:rPr>
  </w:style>
  <w:style w:type="paragraph" w:customStyle="1" w:styleId="37">
    <w:name w:val="标题4"/>
    <w:basedOn w:val="38"/>
    <w:qFormat/>
    <w:uiPriority w:val="99"/>
    <w:pPr>
      <w:adjustRightInd/>
      <w:spacing w:line="360" w:lineRule="auto"/>
      <w:jc w:val="left"/>
      <w:textAlignment w:val="auto"/>
    </w:pPr>
    <w:rPr>
      <w:kern w:val="2"/>
      <w:sz w:val="24"/>
      <w:szCs w:val="24"/>
    </w:rPr>
  </w:style>
  <w:style w:type="paragraph" w:customStyle="1" w:styleId="38">
    <w:name w:val="标题3"/>
    <w:basedOn w:val="39"/>
    <w:qFormat/>
    <w:uiPriority w:val="0"/>
    <w:pPr>
      <w:adjustRightInd w:val="0"/>
      <w:snapToGrid w:val="0"/>
      <w:spacing w:line="360" w:lineRule="auto"/>
      <w:ind w:firstLine="482" w:firstLineChars="200"/>
    </w:pPr>
    <w:rPr>
      <w:b w:val="0"/>
      <w:bCs w:val="0"/>
      <w:color w:val="0000FF"/>
      <w:kern w:val="2"/>
      <w:sz w:val="24"/>
      <w:szCs w:val="24"/>
      <w:lang w:val="en-US" w:eastAsia="zh-CN" w:bidi="ar-SA"/>
    </w:rPr>
  </w:style>
  <w:style w:type="paragraph" w:customStyle="1" w:styleId="39">
    <w:name w:val="标题2‘"/>
    <w:basedOn w:val="1"/>
    <w:next w:val="1"/>
    <w:qFormat/>
    <w:uiPriority w:val="0"/>
    <w:pPr>
      <w:adjustRightInd/>
      <w:spacing w:beforeLines="50" w:line="360" w:lineRule="auto"/>
      <w:ind w:firstLine="200" w:firstLineChars="200"/>
      <w:jc w:val="left"/>
      <w:textAlignment w:val="auto"/>
      <w:outlineLvl w:val="1"/>
    </w:pPr>
    <w:rPr>
      <w:rFonts w:ascii="仿宋_GB2312" w:hAnsi="Cambria" w:eastAsia="仿宋_GB2312"/>
      <w:b/>
      <w:bCs/>
      <w:kern w:val="28"/>
      <w:sz w:val="24"/>
      <w:szCs w:val="24"/>
    </w:rPr>
  </w:style>
  <w:style w:type="character" w:customStyle="1" w:styleId="40">
    <w:name w:val="正文缩进 Char"/>
    <w:link w:val="8"/>
    <w:qFormat/>
    <w:uiPriority w:val="0"/>
    <w:rPr>
      <w:rFonts w:ascii="Calibri" w:hAnsi="Calibri"/>
      <w:spacing w:val="15"/>
      <w:sz w:val="28"/>
      <w:szCs w:val="28"/>
    </w:rPr>
  </w:style>
  <w:style w:type="character" w:customStyle="1" w:styleId="41">
    <w:name w:val="正文文本缩进 Char"/>
    <w:basedOn w:val="30"/>
    <w:link w:val="10"/>
    <w:semiHidden/>
    <w:qFormat/>
    <w:locked/>
    <w:uiPriority w:val="0"/>
    <w:rPr>
      <w:rFonts w:ascii="Times New Roman" w:hAnsi="Times New Roman" w:eastAsia="宋体" w:cs="Times New Roman"/>
      <w:sz w:val="24"/>
      <w:szCs w:val="24"/>
    </w:rPr>
  </w:style>
  <w:style w:type="character" w:customStyle="1" w:styleId="42">
    <w:name w:val="正文首行缩进 2 Char"/>
    <w:basedOn w:val="41"/>
    <w:link w:val="9"/>
    <w:qFormat/>
    <w:uiPriority w:val="99"/>
    <w:rPr>
      <w:kern w:val="2"/>
    </w:rPr>
  </w:style>
  <w:style w:type="character" w:customStyle="1" w:styleId="43">
    <w:name w:val="批注文字 Char"/>
    <w:link w:val="11"/>
    <w:qFormat/>
    <w:locked/>
    <w:uiPriority w:val="0"/>
    <w:rPr>
      <w:rFonts w:ascii="Times New Roman" w:hAnsi="Times New Roman" w:eastAsia="宋体"/>
      <w:sz w:val="24"/>
    </w:rPr>
  </w:style>
  <w:style w:type="character" w:customStyle="1" w:styleId="44">
    <w:name w:val="正文文本 Char"/>
    <w:link w:val="12"/>
    <w:qFormat/>
    <w:locked/>
    <w:uiPriority w:val="0"/>
    <w:rPr>
      <w:sz w:val="18"/>
    </w:rPr>
  </w:style>
  <w:style w:type="character" w:customStyle="1" w:styleId="45">
    <w:name w:val="纯文本 Char"/>
    <w:basedOn w:val="30"/>
    <w:link w:val="14"/>
    <w:qFormat/>
    <w:uiPriority w:val="0"/>
    <w:rPr>
      <w:rFonts w:ascii="宋体" w:hAnsi="Courier New" w:cs="Courier New"/>
      <w:kern w:val="2"/>
      <w:sz w:val="21"/>
      <w:szCs w:val="21"/>
    </w:rPr>
  </w:style>
  <w:style w:type="character" w:customStyle="1" w:styleId="46">
    <w:name w:val="日期 Char"/>
    <w:link w:val="15"/>
    <w:qFormat/>
    <w:locked/>
    <w:uiPriority w:val="0"/>
    <w:rPr>
      <w:rFonts w:ascii="Times New Roman" w:hAnsi="Times New Roman" w:eastAsia="宋体"/>
      <w:sz w:val="24"/>
    </w:rPr>
  </w:style>
  <w:style w:type="character" w:customStyle="1" w:styleId="47">
    <w:name w:val="正文文本缩进 2 Char"/>
    <w:basedOn w:val="30"/>
    <w:link w:val="16"/>
    <w:qFormat/>
    <w:uiPriority w:val="0"/>
    <w:rPr>
      <w:kern w:val="2"/>
      <w:sz w:val="21"/>
      <w:szCs w:val="24"/>
    </w:rPr>
  </w:style>
  <w:style w:type="character" w:customStyle="1" w:styleId="48">
    <w:name w:val="批注框文本 Char"/>
    <w:basedOn w:val="30"/>
    <w:link w:val="17"/>
    <w:semiHidden/>
    <w:qFormat/>
    <w:locked/>
    <w:uiPriority w:val="0"/>
    <w:rPr>
      <w:rFonts w:ascii="Times New Roman" w:hAnsi="Times New Roman" w:eastAsia="宋体" w:cs="Times New Roman"/>
      <w:sz w:val="18"/>
      <w:szCs w:val="18"/>
    </w:rPr>
  </w:style>
  <w:style w:type="character" w:customStyle="1" w:styleId="49">
    <w:name w:val="页脚 Char"/>
    <w:basedOn w:val="30"/>
    <w:link w:val="18"/>
    <w:qFormat/>
    <w:locked/>
    <w:uiPriority w:val="0"/>
    <w:rPr>
      <w:rFonts w:cs="Times New Roman"/>
      <w:sz w:val="18"/>
      <w:szCs w:val="18"/>
    </w:rPr>
  </w:style>
  <w:style w:type="character" w:customStyle="1" w:styleId="50">
    <w:name w:val="页眉 Char"/>
    <w:basedOn w:val="30"/>
    <w:link w:val="19"/>
    <w:qFormat/>
    <w:locked/>
    <w:uiPriority w:val="0"/>
    <w:rPr>
      <w:rFonts w:cs="Times New Roman"/>
      <w:sz w:val="18"/>
      <w:szCs w:val="18"/>
    </w:rPr>
  </w:style>
  <w:style w:type="character" w:customStyle="1" w:styleId="51">
    <w:name w:val="普通(网站) Char1"/>
    <w:link w:val="25"/>
    <w:qFormat/>
    <w:locked/>
    <w:uiPriority w:val="0"/>
    <w:rPr>
      <w:rFonts w:ascii="宋体" w:hAnsi="宋体" w:eastAsia="宋体"/>
      <w:sz w:val="24"/>
    </w:rPr>
  </w:style>
  <w:style w:type="character" w:customStyle="1" w:styleId="52">
    <w:name w:val="批注主题 Char"/>
    <w:basedOn w:val="43"/>
    <w:link w:val="26"/>
    <w:semiHidden/>
    <w:qFormat/>
    <w:locked/>
    <w:uiPriority w:val="0"/>
    <w:rPr>
      <w:rFonts w:cs="Times New Roman"/>
      <w:b/>
      <w:bCs/>
      <w:kern w:val="2"/>
      <w:szCs w:val="24"/>
    </w:rPr>
  </w:style>
  <w:style w:type="character" w:customStyle="1" w:styleId="53">
    <w:name w:val="正文首行缩进 Char"/>
    <w:basedOn w:val="44"/>
    <w:link w:val="27"/>
    <w:qFormat/>
    <w:uiPriority w:val="0"/>
    <w:rPr>
      <w:kern w:val="2"/>
      <w:sz w:val="21"/>
      <w:szCs w:val="24"/>
    </w:rPr>
  </w:style>
  <w:style w:type="character" w:customStyle="1" w:styleId="54">
    <w:name w:val="表头 Char"/>
    <w:link w:val="36"/>
    <w:qFormat/>
    <w:uiPriority w:val="0"/>
    <w:rPr>
      <w:rFonts w:ascii="Calibri" w:hAnsi="Calibri"/>
      <w:b/>
    </w:rPr>
  </w:style>
  <w:style w:type="character" w:customStyle="1" w:styleId="55">
    <w:name w:val="日期 字符"/>
    <w:basedOn w:val="30"/>
    <w:semiHidden/>
    <w:qFormat/>
    <w:uiPriority w:val="0"/>
    <w:rPr>
      <w:rFonts w:ascii="Times New Roman" w:hAnsi="Times New Roman" w:eastAsia="宋体" w:cs="Times New Roman"/>
      <w:sz w:val="24"/>
      <w:szCs w:val="24"/>
    </w:rPr>
  </w:style>
  <w:style w:type="character" w:customStyle="1" w:styleId="56">
    <w:name w:val="正文文本 字符1"/>
    <w:basedOn w:val="30"/>
    <w:semiHidden/>
    <w:qFormat/>
    <w:uiPriority w:val="0"/>
    <w:rPr>
      <w:rFonts w:ascii="Times New Roman" w:hAnsi="Times New Roman" w:eastAsia="宋体" w:cs="Times New Roman"/>
      <w:sz w:val="24"/>
      <w:szCs w:val="24"/>
    </w:rPr>
  </w:style>
  <w:style w:type="paragraph" w:customStyle="1" w:styleId="57">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58">
    <w:name w:val="表格 Char"/>
    <w:link w:val="59"/>
    <w:qFormat/>
    <w:locked/>
    <w:uiPriority w:val="0"/>
    <w:rPr>
      <w:rFonts w:ascii="宋体"/>
      <w:sz w:val="21"/>
    </w:rPr>
  </w:style>
  <w:style w:type="paragraph" w:customStyle="1" w:styleId="59">
    <w:name w:val="表格"/>
    <w:basedOn w:val="1"/>
    <w:next w:val="1"/>
    <w:link w:val="58"/>
    <w:qFormat/>
    <w:uiPriority w:val="0"/>
    <w:pPr>
      <w:adjustRightInd w:val="0"/>
      <w:snapToGrid w:val="0"/>
      <w:spacing w:beforeLines="10" w:afterLines="10" w:line="259" w:lineRule="auto"/>
      <w:jc w:val="center"/>
    </w:pPr>
    <w:rPr>
      <w:rFonts w:ascii="宋体"/>
      <w:kern w:val="0"/>
      <w:szCs w:val="20"/>
    </w:rPr>
  </w:style>
  <w:style w:type="character" w:customStyle="1" w:styleId="60">
    <w:name w:val="批注文字 字符1"/>
    <w:basedOn w:val="30"/>
    <w:semiHidden/>
    <w:qFormat/>
    <w:uiPriority w:val="0"/>
    <w:rPr>
      <w:rFonts w:ascii="Times New Roman" w:hAnsi="Times New Roman" w:eastAsia="宋体" w:cs="Times New Roman"/>
      <w:sz w:val="24"/>
      <w:szCs w:val="24"/>
    </w:rPr>
  </w:style>
  <w:style w:type="character" w:customStyle="1" w:styleId="61">
    <w:name w:val="普通(网站) Char"/>
    <w:qFormat/>
    <w:locked/>
    <w:uiPriority w:val="0"/>
    <w:rPr>
      <w:rFonts w:ascii="宋体" w:hAnsi="宋体" w:eastAsia="宋体"/>
      <w:sz w:val="24"/>
    </w:rPr>
  </w:style>
  <w:style w:type="paragraph" w:customStyle="1" w:styleId="62">
    <w:name w:val="Table Paragraph"/>
    <w:basedOn w:val="1"/>
    <w:qFormat/>
    <w:uiPriority w:val="1"/>
    <w:rPr>
      <w:szCs w:val="21"/>
    </w:rPr>
  </w:style>
  <w:style w:type="paragraph" w:customStyle="1" w:styleId="63">
    <w:name w:val="Normal"/>
    <w:qFormat/>
    <w:uiPriority w:val="0"/>
    <w:pPr>
      <w:jc w:val="both"/>
    </w:pPr>
    <w:rPr>
      <w:rFonts w:ascii="Calibri" w:hAnsi="Calibri" w:eastAsia="宋体" w:cs="Calibri"/>
      <w:kern w:val="2"/>
      <w:sz w:val="21"/>
      <w:szCs w:val="21"/>
      <w:lang w:val="en-US" w:eastAsia="zh-CN" w:bidi="ar-SA"/>
    </w:rPr>
  </w:style>
  <w:style w:type="paragraph" w:customStyle="1" w:styleId="64">
    <w:name w:val="表内文字"/>
    <w:basedOn w:val="1"/>
    <w:qFormat/>
    <w:uiPriority w:val="0"/>
    <w:pPr>
      <w:widowControl/>
      <w:adjustRightInd w:val="0"/>
      <w:snapToGrid w:val="0"/>
      <w:jc w:val="center"/>
    </w:pPr>
    <w:rPr>
      <w:szCs w:val="21"/>
    </w:rPr>
  </w:style>
  <w:style w:type="paragraph" w:customStyle="1" w:styleId="65">
    <w:name w:val="表中"/>
    <w:basedOn w:val="1"/>
    <w:qFormat/>
    <w:uiPriority w:val="0"/>
    <w:pPr>
      <w:adjustRightInd w:val="0"/>
      <w:snapToGrid w:val="0"/>
      <w:spacing w:line="240" w:lineRule="atLeast"/>
    </w:pPr>
    <w:rPr>
      <w:rFonts w:ascii="Calibri" w:hAnsi="Calibri"/>
      <w:kern w:val="0"/>
      <w:sz w:val="20"/>
      <w:szCs w:val="20"/>
    </w:rPr>
  </w:style>
  <w:style w:type="paragraph" w:customStyle="1" w:styleId="66">
    <w:name w:val="正文-1"/>
    <w:basedOn w:val="1"/>
    <w:qFormat/>
    <w:uiPriority w:val="0"/>
    <w:pPr>
      <w:spacing w:line="360" w:lineRule="auto"/>
      <w:ind w:firstLine="200" w:firstLineChars="200"/>
    </w:pPr>
    <w:rPr>
      <w:rFonts w:ascii="宋体" w:hAnsi="宋体"/>
      <w:sz w:val="24"/>
    </w:rPr>
  </w:style>
  <w:style w:type="paragraph" w:customStyle="1" w:styleId="67">
    <w:name w:val="List Paragraph1"/>
    <w:basedOn w:val="1"/>
    <w:qFormat/>
    <w:uiPriority w:val="0"/>
    <w:pPr>
      <w:ind w:firstLine="420" w:firstLineChars="200"/>
    </w:pPr>
    <w:rPr>
      <w:rFonts w:ascii="Calibri" w:hAnsi="Calibri"/>
      <w:szCs w:val="21"/>
    </w:rPr>
  </w:style>
  <w:style w:type="character" w:customStyle="1" w:styleId="68">
    <w:name w:val="Default Char"/>
    <w:link w:val="2"/>
    <w:qFormat/>
    <w:uiPriority w:val="0"/>
    <w:rPr>
      <w:rFonts w:ascii="宋体" w:hAnsi="宋体" w:cs="宋体"/>
      <w:color w:val="000000"/>
      <w:sz w:val="24"/>
      <w:szCs w:val="24"/>
    </w:rPr>
  </w:style>
  <w:style w:type="paragraph" w:customStyle="1" w:styleId="69">
    <w:name w:val="2-正文"/>
    <w:basedOn w:val="1"/>
    <w:qFormat/>
    <w:uiPriority w:val="0"/>
    <w:pPr>
      <w:spacing w:line="520" w:lineRule="exact"/>
      <w:ind w:firstLine="200" w:firstLineChars="200"/>
    </w:pPr>
    <w:rPr>
      <w:sz w:val="24"/>
    </w:rPr>
  </w:style>
  <w:style w:type="character" w:customStyle="1" w:styleId="70">
    <w:name w:val="15"/>
    <w:basedOn w:val="30"/>
    <w:qFormat/>
    <w:uiPriority w:val="0"/>
    <w:rPr>
      <w:rFonts w:hint="default" w:ascii="Times New Roman" w:hAnsi="Times New Roman" w:cs="Times New Roman"/>
      <w:kern w:val="2"/>
      <w:sz w:val="24"/>
      <w:szCs w:val="24"/>
    </w:rPr>
  </w:style>
  <w:style w:type="paragraph" w:customStyle="1" w:styleId="71">
    <w:name w:val="君邦正文"/>
    <w:basedOn w:val="1"/>
    <w:qFormat/>
    <w:uiPriority w:val="0"/>
    <w:pPr>
      <w:widowControl/>
      <w:spacing w:before="120" w:after="120" w:line="360" w:lineRule="auto"/>
      <w:ind w:left="-4" w:leftChars="-2" w:firstLine="480" w:firstLineChars="200"/>
    </w:pPr>
    <w:rPr>
      <w:rFonts w:ascii="宋体" w:hAnsi="宋体"/>
      <w:sz w:val="24"/>
    </w:rPr>
  </w:style>
  <w:style w:type="paragraph" w:customStyle="1" w:styleId="72">
    <w:name w:val="书 正文"/>
    <w:basedOn w:val="1"/>
    <w:qFormat/>
    <w:uiPriority w:val="0"/>
    <w:pPr>
      <w:ind w:firstLine="514" w:firstLineChars="200"/>
    </w:pPr>
    <w:rPr>
      <w:kern w:val="24"/>
      <w:sz w:val="24"/>
    </w:rPr>
  </w:style>
  <w:style w:type="paragraph" w:customStyle="1" w:styleId="73">
    <w:name w:val="p0"/>
    <w:basedOn w:val="1"/>
    <w:qFormat/>
    <w:uiPriority w:val="0"/>
    <w:pPr>
      <w:widowControl/>
    </w:pPr>
    <w:rPr>
      <w:kern w:val="0"/>
      <w:szCs w:val="21"/>
    </w:rPr>
  </w:style>
  <w:style w:type="paragraph" w:customStyle="1" w:styleId="74">
    <w:name w:val="body"/>
    <w:basedOn w:val="1"/>
    <w:qFormat/>
    <w:uiPriority w:val="0"/>
    <w:pPr>
      <w:spacing w:line="360" w:lineRule="auto"/>
    </w:pPr>
    <w:rPr>
      <w:rFonts w:ascii="宋体" w:hAnsi="宋体"/>
      <w:sz w:val="24"/>
    </w:rPr>
  </w:style>
  <w:style w:type="character" w:customStyle="1" w:styleId="75">
    <w:name w:val="fontstyle01"/>
    <w:basedOn w:val="30"/>
    <w:qFormat/>
    <w:uiPriority w:val="0"/>
    <w:rPr>
      <w:rFonts w:hint="eastAsia" w:ascii="宋体" w:hAnsi="宋体" w:eastAsia="宋体"/>
      <w:color w:val="000000"/>
      <w:sz w:val="28"/>
      <w:szCs w:val="28"/>
    </w:rPr>
  </w:style>
  <w:style w:type="character" w:customStyle="1" w:styleId="76">
    <w:name w:val="fontstyle21"/>
    <w:basedOn w:val="30"/>
    <w:qFormat/>
    <w:uiPriority w:val="0"/>
    <w:rPr>
      <w:rFonts w:hint="eastAsia" w:ascii="仿宋" w:hAnsi="仿宋" w:eastAsia="仿宋"/>
      <w:color w:val="000000"/>
      <w:sz w:val="24"/>
      <w:szCs w:val="24"/>
    </w:rPr>
  </w:style>
  <w:style w:type="character" w:customStyle="1" w:styleId="77">
    <w:name w:val="fontstyle11"/>
    <w:basedOn w:val="30"/>
    <w:qFormat/>
    <w:uiPriority w:val="0"/>
    <w:rPr>
      <w:rFonts w:hint="eastAsia" w:ascii="仿宋" w:hAnsi="仿宋" w:eastAsia="仿宋"/>
      <w:color w:val="000000"/>
      <w:sz w:val="24"/>
      <w:szCs w:val="24"/>
    </w:rPr>
  </w:style>
  <w:style w:type="paragraph" w:styleId="78">
    <w:name w:val="List Paragraph"/>
    <w:basedOn w:val="1"/>
    <w:qFormat/>
    <w:uiPriority w:val="1"/>
    <w:pPr>
      <w:autoSpaceDE w:val="0"/>
      <w:autoSpaceDN w:val="0"/>
      <w:ind w:left="1683" w:hanging="601"/>
      <w:jc w:val="left"/>
    </w:pPr>
    <w:rPr>
      <w:rFonts w:ascii="宋体" w:hAnsi="宋体" w:cs="宋体"/>
      <w:kern w:val="0"/>
      <w:sz w:val="22"/>
      <w:szCs w:val="22"/>
      <w:lang w:val="zh-CN" w:bidi="zh-CN"/>
    </w:rPr>
  </w:style>
  <w:style w:type="paragraph" w:customStyle="1" w:styleId="79">
    <w:name w:val="正文LD"/>
    <w:basedOn w:val="1"/>
    <w:qFormat/>
    <w:uiPriority w:val="0"/>
    <w:pPr>
      <w:tabs>
        <w:tab w:val="left" w:pos="0"/>
      </w:tabs>
      <w:spacing w:line="360" w:lineRule="auto"/>
      <w:ind w:firstLine="480" w:firstLineChars="200"/>
    </w:pPr>
    <w:rPr>
      <w:rFonts w:ascii="Century Gothic" w:hAnsi="Century Gothic"/>
      <w:sz w:val="24"/>
      <w:szCs w:val="20"/>
    </w:rPr>
  </w:style>
  <w:style w:type="paragraph" w:customStyle="1" w:styleId="80">
    <w:name w:val="（正文）"/>
    <w:basedOn w:val="36"/>
    <w:qFormat/>
    <w:uiPriority w:val="0"/>
    <w:pPr>
      <w:adjustRightInd/>
      <w:snapToGrid/>
      <w:spacing w:line="360" w:lineRule="auto"/>
      <w:ind w:firstLine="482" w:firstLineChars="200"/>
      <w:jc w:val="both"/>
    </w:pPr>
    <w:rPr>
      <w:rFonts w:ascii="Times New Roman" w:hAnsi="Times New Roman"/>
      <w:b w:val="0"/>
      <w:color w:val="0000FF"/>
      <w:kern w:val="2"/>
      <w:sz w:val="24"/>
      <w:szCs w:val="21"/>
    </w:rPr>
  </w:style>
  <w:style w:type="paragraph" w:customStyle="1" w:styleId="81">
    <w:name w:val="报告表格"/>
    <w:basedOn w:val="12"/>
    <w:qFormat/>
    <w:uiPriority w:val="0"/>
    <w:pPr>
      <w:autoSpaceDE w:val="0"/>
      <w:autoSpaceDN w:val="0"/>
      <w:adjustRightInd w:val="0"/>
      <w:snapToGrid/>
      <w:spacing w:before="40" w:after="40" w:line="240" w:lineRule="auto"/>
      <w:ind w:right="0"/>
      <w:jc w:val="center"/>
      <w:textAlignment w:val="baseline"/>
    </w:pPr>
    <w:rPr>
      <w:sz w:val="21"/>
      <w:lang w:val="en-US" w:eastAsia="zh-CN"/>
    </w:rPr>
  </w:style>
  <w:style w:type="paragraph" w:customStyle="1" w:styleId="82">
    <w:name w:val="4"/>
    <w:basedOn w:val="1"/>
    <w:link w:val="83"/>
    <w:qFormat/>
    <w:uiPriority w:val="99"/>
    <w:pPr>
      <w:numPr>
        <w:ilvl w:val="3"/>
        <w:numId w:val="0"/>
      </w:numPr>
      <w:tabs>
        <w:tab w:val="left" w:pos="454"/>
      </w:tabs>
      <w:adjustRightInd w:val="0"/>
      <w:snapToGrid w:val="0"/>
      <w:spacing w:line="360" w:lineRule="auto"/>
      <w:ind w:left="400"/>
      <w:jc w:val="left"/>
      <w:outlineLvl w:val="3"/>
    </w:pPr>
    <w:rPr>
      <w:b/>
      <w:sz w:val="24"/>
    </w:rPr>
  </w:style>
  <w:style w:type="character" w:customStyle="1" w:styleId="83">
    <w:name w:val="4 Char"/>
    <w:basedOn w:val="30"/>
    <w:link w:val="82"/>
    <w:qFormat/>
    <w:uiPriority w:val="99"/>
    <w:rPr>
      <w:b/>
      <w:kern w:val="2"/>
      <w:sz w:val="24"/>
      <w:szCs w:val="24"/>
    </w:rPr>
  </w:style>
  <w:style w:type="paragraph" w:customStyle="1" w:styleId="84">
    <w:name w:val="正文5"/>
    <w:semiHidden/>
    <w:qFormat/>
    <w:uiPriority w:val="0"/>
    <w:pPr>
      <w:spacing w:line="360" w:lineRule="auto"/>
      <w:ind w:firstLine="200" w:firstLineChars="200"/>
    </w:pPr>
    <w:rPr>
      <w:rFonts w:ascii="Times New Roman" w:hAnsi="Times New Roman" w:eastAsia="宋体" w:cs="宋体"/>
      <w:sz w:val="24"/>
      <w:lang w:val="en-US" w:eastAsia="zh-CN" w:bidi="ar-SA"/>
    </w:rPr>
  </w:style>
  <w:style w:type="character" w:customStyle="1" w:styleId="85">
    <w:name w:val="表文字 Char"/>
    <w:link w:val="86"/>
    <w:qFormat/>
    <w:uiPriority w:val="0"/>
    <w:rPr>
      <w:sz w:val="24"/>
    </w:rPr>
  </w:style>
  <w:style w:type="paragraph" w:customStyle="1" w:styleId="86">
    <w:name w:val="表文字"/>
    <w:basedOn w:val="1"/>
    <w:link w:val="85"/>
    <w:qFormat/>
    <w:uiPriority w:val="0"/>
    <w:pPr>
      <w:overflowPunct w:val="0"/>
      <w:autoSpaceDE w:val="0"/>
      <w:autoSpaceDN w:val="0"/>
      <w:adjustRightInd w:val="0"/>
      <w:spacing w:line="240" w:lineRule="atLeast"/>
      <w:textAlignment w:val="baseline"/>
    </w:pPr>
    <w:rPr>
      <w:kern w:val="0"/>
      <w:sz w:val="24"/>
      <w:szCs w:val="20"/>
    </w:rPr>
  </w:style>
  <w:style w:type="paragraph" w:customStyle="1" w:styleId="8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88">
    <w:name w:val="标题2"/>
    <w:next w:val="1"/>
    <w:link w:val="89"/>
    <w:qFormat/>
    <w:uiPriority w:val="0"/>
    <w:pPr>
      <w:spacing w:line="360" w:lineRule="auto"/>
      <w:outlineLvl w:val="1"/>
    </w:pPr>
    <w:rPr>
      <w:rFonts w:ascii="Times New Roman" w:hAnsi="Times New Roman" w:eastAsia="宋体" w:cs="Times New Roman"/>
      <w:b/>
      <w:kern w:val="2"/>
      <w:sz w:val="28"/>
      <w:szCs w:val="24"/>
      <w:lang w:val="en-US" w:eastAsia="zh-CN" w:bidi="ar-SA"/>
    </w:rPr>
  </w:style>
  <w:style w:type="character" w:customStyle="1" w:styleId="89">
    <w:name w:val="标题2 Char"/>
    <w:basedOn w:val="30"/>
    <w:link w:val="88"/>
    <w:qFormat/>
    <w:uiPriority w:val="0"/>
    <w:rPr>
      <w:b/>
      <w:kern w:val="2"/>
      <w:sz w:val="28"/>
      <w:szCs w:val="24"/>
      <w:lang w:val="en-US" w:eastAsia="zh-CN" w:bidi="ar-SA"/>
    </w:rPr>
  </w:style>
  <w:style w:type="paragraph" w:customStyle="1" w:styleId="90">
    <w:name w:val="表格正文"/>
    <w:basedOn w:val="1"/>
    <w:link w:val="91"/>
    <w:qFormat/>
    <w:uiPriority w:val="0"/>
    <w:pPr>
      <w:jc w:val="center"/>
    </w:pPr>
    <w:rPr>
      <w:rFonts w:ascii="仿宋_GB2312" w:hAnsi="Calibri" w:eastAsia="仿宋_GB2312"/>
    </w:rPr>
  </w:style>
  <w:style w:type="character" w:customStyle="1" w:styleId="91">
    <w:name w:val="表格正文 Char"/>
    <w:basedOn w:val="30"/>
    <w:link w:val="90"/>
    <w:qFormat/>
    <w:locked/>
    <w:uiPriority w:val="0"/>
    <w:rPr>
      <w:rFonts w:ascii="仿宋_GB2312" w:hAnsi="Calibri" w:eastAsia="仿宋_GB2312"/>
      <w:kern w:val="2"/>
      <w:sz w:val="21"/>
      <w:szCs w:val="24"/>
    </w:rPr>
  </w:style>
  <w:style w:type="character" w:customStyle="1" w:styleId="92">
    <w:name w:val="正文文本 + 间距 0 pt4"/>
    <w:qFormat/>
    <w:uiPriority w:val="0"/>
    <w:rPr>
      <w:rFonts w:ascii="MingLiU" w:hAnsi="MingLiU" w:eastAsia="MingLiU" w:cs="MingLiU"/>
      <w:color w:val="000000"/>
      <w:spacing w:val="-10"/>
      <w:w w:val="100"/>
      <w:position w:val="0"/>
      <w:sz w:val="21"/>
      <w:szCs w:val="21"/>
      <w:u w:val="none"/>
      <w:lang w:val="en-US"/>
    </w:rPr>
  </w:style>
  <w:style w:type="paragraph" w:customStyle="1" w:styleId="93">
    <w:name w:val="宋体 首行缩进:  2 字符"/>
    <w:basedOn w:val="1"/>
    <w:qFormat/>
    <w:uiPriority w:val="0"/>
    <w:pPr>
      <w:spacing w:line="360" w:lineRule="auto"/>
      <w:ind w:firstLine="480" w:firstLineChars="200"/>
    </w:pPr>
    <w:rPr>
      <w:rFonts w:hAnsi="宋体" w:cs="宋体"/>
      <w:sz w:val="24"/>
      <w:szCs w:val="20"/>
    </w:rPr>
  </w:style>
  <w:style w:type="paragraph" w:customStyle="1" w:styleId="94">
    <w:name w:val="正文缩进1"/>
    <w:basedOn w:val="1"/>
    <w:qFormat/>
    <w:uiPriority w:val="0"/>
    <w:pPr>
      <w:widowControl/>
      <w:jc w:val="left"/>
    </w:pPr>
    <w:rPr>
      <w:sz w:val="21"/>
      <w:szCs w:val="21"/>
    </w:rPr>
  </w:style>
  <w:style w:type="paragraph" w:customStyle="1" w:styleId="95">
    <w:name w:val="表头11"/>
    <w:basedOn w:val="96"/>
    <w:qFormat/>
    <w:uiPriority w:val="0"/>
    <w:rPr>
      <w:b/>
    </w:rPr>
  </w:style>
  <w:style w:type="paragraph" w:customStyle="1" w:styleId="96">
    <w:name w:val="表格1"/>
    <w:basedOn w:val="97"/>
    <w:qFormat/>
    <w:uiPriority w:val="0"/>
    <w:pPr>
      <w:ind w:firstLine="0" w:firstLineChars="0"/>
    </w:pPr>
  </w:style>
  <w:style w:type="paragraph" w:customStyle="1" w:styleId="97">
    <w:name w:val="表内字"/>
    <w:basedOn w:val="1"/>
    <w:qFormat/>
    <w:uiPriority w:val="0"/>
    <w:pPr>
      <w:spacing w:line="240" w:lineRule="auto"/>
      <w:jc w:val="center"/>
    </w:pPr>
    <w:rPr>
      <w:sz w:val="21"/>
    </w:rPr>
  </w:style>
  <w:style w:type="paragraph" w:customStyle="1" w:styleId="98">
    <w:name w:val="表头、图示"/>
    <w:basedOn w:val="1"/>
    <w:qFormat/>
    <w:uiPriority w:val="0"/>
    <w:pPr>
      <w:spacing w:line="0" w:lineRule="atLeast"/>
      <w:ind w:firstLine="0" w:firstLineChars="0"/>
      <w:jc w:val="center"/>
    </w:pPr>
    <w:rPr>
      <w:rFonts w:eastAsia="黑体"/>
      <w:szCs w:val="22"/>
    </w:rPr>
  </w:style>
  <w:style w:type="paragraph" w:customStyle="1" w:styleId="99">
    <w:name w:val="1正文段落"/>
    <w:basedOn w:val="1"/>
    <w:qFormat/>
    <w:uiPriority w:val="0"/>
    <w:pPr>
      <w:spacing w:line="360" w:lineRule="auto"/>
      <w:ind w:firstLine="480" w:firstLineChars="200"/>
    </w:pPr>
    <w:rPr>
      <w:snapToGrid w:val="0"/>
      <w:kern w:val="0"/>
      <w:sz w:val="24"/>
    </w:rPr>
  </w:style>
  <w:style w:type="paragraph" w:customStyle="1" w:styleId="100">
    <w:name w:val="WPSOffice手动目录 1"/>
    <w:qFormat/>
    <w:uiPriority w:val="0"/>
    <w:pPr>
      <w:ind w:leftChars="0"/>
    </w:pPr>
    <w:rPr>
      <w:rFonts w:ascii="Times New Roman" w:hAnsi="Times New Roman" w:eastAsia="宋体" w:cs="Times New Roman"/>
      <w:sz w:val="20"/>
      <w:szCs w:val="20"/>
    </w:rPr>
  </w:style>
  <w:style w:type="paragraph" w:customStyle="1" w:styleId="101">
    <w:name w:val="1.1.1"/>
    <w:basedOn w:val="1"/>
    <w:qFormat/>
    <w:uiPriority w:val="0"/>
    <w:pPr>
      <w:spacing w:before="120" w:beforeLines="50" w:line="360" w:lineRule="auto"/>
      <w:ind w:firstLine="480" w:firstLineChars="200"/>
      <w:outlineLvl w:val="2"/>
    </w:pPr>
    <w:rPr>
      <w:rFonts w:ascii="宋体" w:hAnsi="宋体"/>
      <w:sz w:val="24"/>
      <w:szCs w:val="24"/>
    </w:rPr>
  </w:style>
  <w:style w:type="paragraph" w:customStyle="1" w:styleId="102">
    <w:name w:val="1.1"/>
    <w:basedOn w:val="1"/>
    <w:qFormat/>
    <w:uiPriority w:val="0"/>
    <w:pPr>
      <w:spacing w:line="480" w:lineRule="exact"/>
      <w:ind w:firstLine="482" w:firstLineChars="200"/>
      <w:outlineLvl w:val="1"/>
    </w:pPr>
    <w:rPr>
      <w:rFonts w:ascii="黑体" w:hAnsi="宋体" w:eastAsia="黑体"/>
      <w:b/>
      <w:kern w:val="0"/>
      <w:sz w:val="24"/>
      <w:szCs w:val="24"/>
    </w:rPr>
  </w:style>
  <w:style w:type="paragraph" w:customStyle="1" w:styleId="103">
    <w:name w:val="2正文-宋4"/>
    <w:basedOn w:val="1"/>
    <w:qFormat/>
    <w:uiPriority w:val="0"/>
    <w:pPr>
      <w:spacing w:line="480" w:lineRule="exact"/>
      <w:ind w:firstLine="480" w:firstLineChars="200"/>
    </w:pPr>
    <w:rPr>
      <w:rFonts w:ascii="宋体" w:hAnsi="宋体"/>
      <w:sz w:val="24"/>
    </w:rPr>
  </w:style>
  <w:style w:type="paragraph" w:customStyle="1" w:styleId="104">
    <w:name w:val="7表格内容"/>
    <w:basedOn w:val="1"/>
    <w:qFormat/>
    <w:uiPriority w:val="0"/>
    <w:pPr>
      <w:spacing w:line="400" w:lineRule="exact"/>
      <w:jc w:val="center"/>
    </w:pPr>
    <w:rPr>
      <w:szCs w:val="22"/>
    </w:rPr>
  </w:style>
  <w:style w:type="paragraph" w:customStyle="1" w:styleId="105">
    <w:name w:val="5正文"/>
    <w:basedOn w:val="1"/>
    <w:qFormat/>
    <w:uiPriority w:val="0"/>
    <w:pPr>
      <w:spacing w:line="520" w:lineRule="exact"/>
      <w:ind w:firstLine="200" w:firstLineChars="200"/>
    </w:pPr>
    <w:rPr>
      <w:kern w:val="0"/>
      <w:sz w:val="24"/>
      <w:szCs w:val="20"/>
    </w:rPr>
  </w:style>
  <w:style w:type="paragraph" w:customStyle="1" w:styleId="106">
    <w:name w:val="BodyText1I2"/>
    <w:basedOn w:val="107"/>
    <w:qFormat/>
    <w:uiPriority w:val="0"/>
    <w:pPr>
      <w:spacing w:after="120" w:line="360" w:lineRule="auto"/>
      <w:ind w:left="0" w:leftChars="0" w:firstLine="832" w:firstLineChars="200"/>
      <w:jc w:val="both"/>
      <w:textAlignment w:val="baseline"/>
    </w:pPr>
    <w:rPr>
      <w:rFonts w:ascii="Times New Roman" w:hAnsi="Times New Roman" w:eastAsia="宋体"/>
      <w:sz w:val="24"/>
      <w:szCs w:val="22"/>
    </w:rPr>
  </w:style>
  <w:style w:type="paragraph" w:customStyle="1" w:styleId="107">
    <w:name w:val="BodyTextIndent"/>
    <w:basedOn w:val="1"/>
    <w:qFormat/>
    <w:uiPriority w:val="0"/>
    <w:pPr>
      <w:spacing w:after="120" w:line="360" w:lineRule="auto"/>
      <w:ind w:left="420" w:leftChars="200" w:firstLine="200" w:firstLineChars="200"/>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1.xml"/><Relationship Id="rId39" Type="http://schemas.openxmlformats.org/officeDocument/2006/relationships/customXml" Target="../customXml/item1.xml"/><Relationship Id="rId38" Type="http://schemas.openxmlformats.org/officeDocument/2006/relationships/image" Target="media/image22.png"/><Relationship Id="rId37" Type="http://schemas.openxmlformats.org/officeDocument/2006/relationships/image" Target="media/image21.png"/><Relationship Id="rId36" Type="http://schemas.openxmlformats.org/officeDocument/2006/relationships/image" Target="media/image20.jpeg"/><Relationship Id="rId35" Type="http://schemas.openxmlformats.org/officeDocument/2006/relationships/image" Target="media/image19.png"/><Relationship Id="rId34" Type="http://schemas.openxmlformats.org/officeDocument/2006/relationships/image" Target="media/image18.png"/><Relationship Id="rId33" Type="http://schemas.openxmlformats.org/officeDocument/2006/relationships/image" Target="media/image17.jpeg"/><Relationship Id="rId32" Type="http://schemas.openxmlformats.org/officeDocument/2006/relationships/image" Target="media/image16.jpeg"/><Relationship Id="rId31" Type="http://schemas.openxmlformats.org/officeDocument/2006/relationships/image" Target="media/image15.jpeg"/><Relationship Id="rId30" Type="http://schemas.openxmlformats.org/officeDocument/2006/relationships/image" Target="media/image14.jpeg"/><Relationship Id="rId3" Type="http://schemas.openxmlformats.org/officeDocument/2006/relationships/header" Target="header1.xml"/><Relationship Id="rId29" Type="http://schemas.openxmlformats.org/officeDocument/2006/relationships/image" Target="media/image13.jpeg"/><Relationship Id="rId28" Type="http://schemas.openxmlformats.org/officeDocument/2006/relationships/image" Target="media/image12.png"/><Relationship Id="rId27" Type="http://schemas.openxmlformats.org/officeDocument/2006/relationships/oleObject" Target="embeddings/oleObject8.bin"/><Relationship Id="rId26" Type="http://schemas.openxmlformats.org/officeDocument/2006/relationships/image" Target="media/image11.wmf"/><Relationship Id="rId25" Type="http://schemas.openxmlformats.org/officeDocument/2006/relationships/oleObject" Target="embeddings/oleObject7.bin"/><Relationship Id="rId24" Type="http://schemas.openxmlformats.org/officeDocument/2006/relationships/image" Target="media/image10.wmf"/><Relationship Id="rId23" Type="http://schemas.openxmlformats.org/officeDocument/2006/relationships/oleObject" Target="embeddings/oleObject6.bin"/><Relationship Id="rId22" Type="http://schemas.openxmlformats.org/officeDocument/2006/relationships/image" Target="media/image9.wmf"/><Relationship Id="rId21" Type="http://schemas.openxmlformats.org/officeDocument/2006/relationships/oleObject" Target="embeddings/oleObject5.bin"/><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extobjs>
    <extobj name="ECB019B1-382A-4266-B25C-5B523AA43C14-1">
      <extobjdata type="ECB019B1-382A-4266-B25C-5B523AA43C14" data="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"/>
    </extobj>
    <extobj name="ECB019B1-382A-4266-B25C-5B523AA43C14-2">
      <extobjdata type="ECB019B1-382A-4266-B25C-5B523AA43C14" data="ewogICAiRmlsZUlkIiA6ICIxNjE2MDQzMDU1MzAiLAogICAiR3JvdXBJZCIgOiAiNjk4NTExMzk2IiwKICAgIkltYWdlIiA6ICJpVkJPUncwS0dnb0FBQUFOU1VoRVVnQUFBczBBQUFKV0NBWUFBQUNqN3JvQkFBQUFDWEJJV1hNQUFBc1RBQUFMRXdFQW1wd1lBQUFnQUVsRVFWUjRuT3pkZlh3VTViMy8vL2UxdVVNQ1VVQUJFUkVVSzRvUlpsQXJ0ZlcyVnVteG9qM2VheW1jZWp6ZmV0cDYxMm90V0QzSDAxT2xWS28vVDcycFJhMFZLdUlOS2tVdDNsRDFZS0hzTERkQnNVSHVRVzRrSWVTT1pIZXUzeCtRbkJDU2JKTGQ3T3htWDgvSGd3ZVphK2FhNjdQWmEzWSt1ZmFhR1F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80</Pages>
  <Words>46411</Words>
  <Characters>52542</Characters>
  <Lines>511</Lines>
  <Paragraphs>144</Paragraphs>
  <TotalTime>39</TotalTime>
  <ScaleCrop>false</ScaleCrop>
  <LinksUpToDate>false</LinksUpToDate>
  <CharactersWithSpaces>53324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2020-12-24T01:42:00Z</dcterms:created>
  <dc:creator>lhj</dc:creator>
  <cp:lastModifiedBy>Lemon</cp:lastModifiedBy>
  <cp:lastPrinted>2022-04-14T03:37:00Z</cp:lastPrinted>
  <dcterms:modified xsi:type="dcterms:W3CDTF">2022-04-21T09:28:33Z</dcterms:modified>
  <cp:revision>323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38970FE3A9D14190B5C94854380866F1</vt:lpwstr>
  </property>
</Properties>
</file>