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161"/>
        <w:gridCol w:w="387"/>
        <w:gridCol w:w="2590"/>
        <w:gridCol w:w="247"/>
        <w:gridCol w:w="320"/>
        <w:gridCol w:w="247"/>
        <w:gridCol w:w="462"/>
        <w:gridCol w:w="247"/>
        <w:gridCol w:w="320"/>
        <w:gridCol w:w="180"/>
        <w:gridCol w:w="67"/>
        <w:gridCol w:w="461"/>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20"/>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东乡县赵家乡政务公开标准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387"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59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387"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9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县财政局、乡人民政府</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县财政局、乡人民政府</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20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县畜牧发展中心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567"/>
        <w:gridCol w:w="2410"/>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bookmarkStart w:id="0" w:name="_GoBack" w:colFirst="6" w:colLast="6"/>
            <w:r>
              <w:rPr>
                <w:rFonts w:hint="eastAsia" w:ascii="宋体" w:hAnsi="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乡人民政府、贫困人口所在行政村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县扶贫办、乡、项目实施村委会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县库移中心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乡</w:t>
            </w:r>
            <w:r>
              <w:rPr>
                <w:rStyle w:val="7"/>
                <w:lang w:val="en-US" w:eastAsia="zh-CN" w:bidi="ar"/>
              </w:rPr>
              <w:t>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bookmarkEnd w:id="0"/>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2A3ACF"/>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71E06E0"/>
    <w:rsid w:val="2C1E011C"/>
    <w:rsid w:val="2C5B493B"/>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E7A14"/>
    <w:rsid w:val="4BD72EDE"/>
    <w:rsid w:val="4C0D5398"/>
    <w:rsid w:val="4D8E358A"/>
    <w:rsid w:val="50B349B3"/>
    <w:rsid w:val="57865CF9"/>
    <w:rsid w:val="5AD604D9"/>
    <w:rsid w:val="5C074187"/>
    <w:rsid w:val="621D5155"/>
    <w:rsid w:val="63E029B3"/>
    <w:rsid w:val="648E0DB1"/>
    <w:rsid w:val="6531198E"/>
    <w:rsid w:val="69103CC1"/>
    <w:rsid w:val="6A292E33"/>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font01"/>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2020-11-26T09:22:54Z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