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仿宋_GB2312" w:hAnsi="仿宋_GB2312" w:eastAsia="仿宋_GB2312" w:cs="仿宋_GB2312"/>
          <w:sz w:val="32"/>
          <w:szCs w:val="32"/>
          <w:lang w:val="zh-CN" w:eastAsia="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东乡县中西医结合医院</w:t>
      </w:r>
      <w:r>
        <w:rPr>
          <w:rFonts w:hint="eastAsia" w:ascii="仿宋_GB2312" w:hAnsi="仿宋_GB2312" w:eastAsia="仿宋_GB2312" w:cs="仿宋_GB2312"/>
          <w:sz w:val="32"/>
          <w:szCs w:val="32"/>
          <w:lang w:val="zh-CN"/>
        </w:rPr>
        <w:t>部门决算情况说明</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ind w:firstLine="3855" w:firstLineChars="1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numPr>
          <w:ilvl w:val="0"/>
          <w:numId w:val="1"/>
        </w:numPr>
        <w:ind w:firstLine="640" w:firstLineChars="200"/>
        <w:rPr>
          <w:rFonts w:hint="eastAsia" w:ascii="仿宋" w:hAnsi="仿宋" w:eastAsia="仿宋" w:cs="仿宋"/>
          <w:b w:val="0"/>
          <w:bCs w:val="0"/>
          <w:color w:val="000000"/>
          <w:kern w:val="0"/>
          <w:sz w:val="32"/>
          <w:szCs w:val="32"/>
          <w:highlight w:val="none"/>
          <w:lang w:val="en-US" w:eastAsia="zh-CN" w:bidi="ar-SA"/>
        </w:rPr>
      </w:pPr>
      <w:r>
        <w:rPr>
          <w:rFonts w:hint="eastAsia" w:ascii="仿宋_GB2312" w:hAnsi="仿宋_GB2312" w:eastAsia="仿宋_GB2312" w:cs="仿宋_GB2312"/>
          <w:sz w:val="32"/>
          <w:szCs w:val="32"/>
          <w:lang w:val="zh-CN"/>
        </w:rPr>
        <w:t>部门（单位））职责</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val="0"/>
          <w:bCs w:val="0"/>
          <w:color w:val="000000"/>
          <w:kern w:val="0"/>
          <w:sz w:val="32"/>
          <w:szCs w:val="32"/>
          <w:highlight w:val="none"/>
          <w:lang w:val="en-US" w:eastAsia="zh-CN" w:bidi="ar-SA"/>
        </w:rPr>
        <w:t>东乡族自治县中西医结合医院始是一所集医疗救治、预防保健、人才培养为一体的二级综合医院，占地面积95亩，建筑面积48600平方米。</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机构设置</w:t>
      </w:r>
    </w:p>
    <w:p>
      <w:pPr>
        <w:keepNext w:val="0"/>
        <w:keepLines w:val="0"/>
        <w:pageBreakBefore w:val="0"/>
        <w:widowControl/>
        <w:numPr>
          <w:ilvl w:val="0"/>
          <w:numId w:val="0"/>
        </w:numPr>
        <w:kinsoku/>
        <w:wordWrap/>
        <w:overflowPunct/>
        <w:topLinePunct w:val="0"/>
        <w:autoSpaceDE/>
        <w:autoSpaceDN/>
        <w:bidi w:val="0"/>
        <w:adjustRightInd/>
        <w:snapToGrid/>
        <w:spacing w:before="100" w:beforeLines="0" w:after="100" w:afterLines="0" w:line="240" w:lineRule="auto"/>
        <w:ind w:leftChars="20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 w:hAnsi="仿宋" w:eastAsia="仿宋" w:cs="仿宋"/>
          <w:b w:val="0"/>
          <w:bCs w:val="0"/>
          <w:color w:val="000000"/>
          <w:kern w:val="0"/>
          <w:sz w:val="32"/>
          <w:szCs w:val="32"/>
          <w:highlight w:val="none"/>
          <w:lang w:val="en-US" w:eastAsia="zh-CN" w:bidi="ar-SA"/>
        </w:rPr>
        <w:t>医院拟设急诊科、中医康复科、重症监护室、妇产科、外科（普外科、骨科）、儿科、新生儿科、内科（消化内科、呼吸内科、心血管内科、内分泌科、皮肤科、精神科）、传染科、五官科(眼科、耳鼻喉科）、口腔科、麻醉手术科等12个门诊临床科室；有人事科、财务科、质控科、护理部、药械科、办公室、医务科、后勤保障科、设备科、信息科、感控科等11个职能科室；有中心药房、中药房、病理科、影像科、超声心电科、检验科、供应室、病案室、住院门诊部收费室、医保办、公共卫生预防保健科、内镜中心等12个医技辅助科室。医院拟设床位数300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收入总计14095592.00元，支出总计14095592.00元，与2021年决算数相比，收入增加14095592.00元，增长100%，支出增加14095592.00元，增长100%。主要原因是卫生健康支出、住房保障支出</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000000"/>
          <w:spacing w:val="0"/>
          <w:w w:val="100"/>
          <w:position w:val="0"/>
          <w:sz w:val="32"/>
          <w:szCs w:val="32"/>
          <w:lang w:val="en-US" w:eastAsia="zh-CN"/>
        </w:rPr>
        <w:t>1409.5592</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000000"/>
          <w:spacing w:val="0"/>
          <w:w w:val="100"/>
          <w:position w:val="0"/>
          <w:sz w:val="32"/>
          <w:szCs w:val="32"/>
          <w:lang w:val="en-US" w:eastAsia="zh-CN"/>
        </w:rPr>
        <w:t>1409.5592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000000"/>
          <w:spacing w:val="0"/>
          <w:w w:val="100"/>
          <w:position w:val="0"/>
          <w:sz w:val="32"/>
          <w:szCs w:val="32"/>
          <w:lang w:val="en-US" w:eastAsia="zh-CN"/>
        </w:rPr>
        <w:t>1409.5592</w:t>
      </w:r>
      <w:r>
        <w:rPr>
          <w:rFonts w:hint="eastAsia" w:ascii="仿宋_GB2312" w:hAnsi="仿宋_GB2312" w:eastAsia="仿宋_GB2312" w:cs="仿宋_GB2312"/>
          <w:color w:val="auto"/>
          <w:sz w:val="32"/>
          <w:szCs w:val="32"/>
          <w:lang w:val="zh-CN"/>
        </w:rPr>
        <w:t>万元,其中：基本支出50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0592万元,占</w:t>
      </w:r>
      <w:r>
        <w:rPr>
          <w:rFonts w:hint="eastAsia" w:ascii="仿宋_GB2312" w:hAnsi="仿宋_GB2312" w:eastAsia="仿宋_GB2312" w:cs="仿宋_GB2312"/>
          <w:color w:val="auto"/>
          <w:sz w:val="32"/>
          <w:szCs w:val="32"/>
          <w:lang w:val="en-US" w:eastAsia="zh-CN"/>
        </w:rPr>
        <w:t>3.55</w:t>
      </w:r>
      <w:r>
        <w:rPr>
          <w:rFonts w:hint="eastAsia" w:ascii="仿宋_GB2312" w:hAnsi="仿宋_GB2312" w:eastAsia="仿宋_GB2312" w:cs="仿宋_GB2312"/>
          <w:color w:val="auto"/>
          <w:sz w:val="32"/>
          <w:szCs w:val="32"/>
          <w:lang w:val="zh-CN"/>
        </w:rPr>
        <w:t>%；项目支出1359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5000万元,占</w:t>
      </w:r>
      <w:r>
        <w:rPr>
          <w:rFonts w:hint="eastAsia" w:ascii="仿宋_GB2312" w:hAnsi="仿宋_GB2312" w:eastAsia="仿宋_GB2312" w:cs="仿宋_GB2312"/>
          <w:color w:val="auto"/>
          <w:sz w:val="32"/>
          <w:szCs w:val="32"/>
          <w:lang w:val="en-US" w:eastAsia="zh-CN"/>
        </w:rPr>
        <w:t>96.45</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14095592.00</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14095592.00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一般公共预算财政拨款收入</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14095592.00</w:t>
      </w:r>
      <w:r>
        <w:rPr>
          <w:rFonts w:hint="eastAsia" w:ascii="仿宋_GB2312" w:hAnsi="仿宋_GB2312" w:eastAsia="仿宋_GB2312" w:cs="仿宋_GB2312"/>
          <w:color w:val="000000"/>
          <w:spacing w:val="0"/>
          <w:w w:val="100"/>
          <w:position w:val="0"/>
          <w:sz w:val="32"/>
          <w:szCs w:val="32"/>
        </w:rPr>
        <w:t>元，较上年决算数增</w:t>
      </w:r>
      <w:r>
        <w:rPr>
          <w:rFonts w:hint="eastAsia" w:ascii="仿宋_GB2312" w:hAnsi="仿宋_GB2312" w:eastAsia="仿宋_GB2312" w:cs="仿宋_GB2312"/>
          <w:color w:val="000000"/>
          <w:spacing w:val="0"/>
          <w:w w:val="100"/>
          <w:position w:val="0"/>
          <w:sz w:val="32"/>
          <w:szCs w:val="32"/>
          <w:lang w:val="en-US" w:eastAsia="zh-CN"/>
        </w:rPr>
        <w:t>加14095592.00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卫生健康支出、住房保障支出</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lang w:val="en-US" w:eastAsia="zh-CN"/>
        </w:rPr>
        <w:t>1409.5592</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1408.4595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1408.4595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1.0997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1.0997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2022年度一般公共预算财政拨款基本支出50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0592万元。其中：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zh-CN"/>
        </w:rPr>
        <w:t>50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0592万元,较上年决算数增加50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0592万元,增长</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主要原因是</w:t>
      </w:r>
      <w:r>
        <w:rPr>
          <w:rFonts w:hint="eastAsia" w:ascii="仿宋_GB2312" w:hAnsi="黑体" w:eastAsia="仿宋_GB2312"/>
          <w:b w:val="0"/>
          <w:bCs/>
          <w:sz w:val="32"/>
          <w:szCs w:val="32"/>
          <w:lang w:val="en-US" w:eastAsia="zh-CN"/>
        </w:rPr>
        <w:t>人才引进人员增加，支出增加。</w:t>
      </w:r>
      <w:r>
        <w:rPr>
          <w:rFonts w:hint="eastAsia" w:ascii="仿宋_GB2312" w:hAnsi="仿宋_GB2312" w:eastAsia="仿宋_GB2312" w:cs="仿宋_GB2312"/>
          <w:color w:val="auto"/>
          <w:sz w:val="32"/>
          <w:szCs w:val="32"/>
          <w:lang w:val="zh-CN"/>
        </w:rPr>
        <w:t>人员经费用途主要包括</w:t>
      </w:r>
      <w:r>
        <w:rPr>
          <w:rFonts w:hint="eastAsia" w:ascii="仿宋_GB2312" w:hAnsi="仿宋_GB2312" w:eastAsia="仿宋_GB2312" w:cs="仿宋_GB2312"/>
          <w:color w:val="000000" w:themeColor="text1"/>
          <w:sz w:val="32"/>
          <w:szCs w:val="32"/>
          <w:lang w:val="zh-CN"/>
          <w14:textFill>
            <w14:solidFill>
              <w14:schemeClr w14:val="tx1"/>
            </w14:solidFill>
          </w14:textFill>
        </w:rPr>
        <w:t>基本工资36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9226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万元、津贴补贴12.0369万元、住房公积金1.0997万元。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lang w:val="zh-CN"/>
        </w:rPr>
        <w:t>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zh-CN"/>
        </w:rPr>
        <w:t>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zh-CN"/>
        </w:rPr>
        <w:t>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zh-CN"/>
        </w:rPr>
        <w:t>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zh-CN"/>
        </w:rPr>
        <w:t>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zh-CN"/>
        </w:rPr>
        <w:t>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zh-CN"/>
        </w:rPr>
        <w:t>主要原因</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医院尚处于建设阶段，未投入运营。</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bookmarkStart w:id="0" w:name="_GoBack"/>
      <w:bookmarkEnd w:id="0"/>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rPr>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04A59"/>
    <w:multiLevelType w:val="singleLevel"/>
    <w:tmpl w:val="07404A59"/>
    <w:lvl w:ilvl="0" w:tentative="0">
      <w:start w:val="3"/>
      <w:numFmt w:val="decimal"/>
      <w:lvlText w:val="%1."/>
      <w:lvlJc w:val="left"/>
      <w:pPr>
        <w:tabs>
          <w:tab w:val="left" w:pos="312"/>
        </w:tabs>
      </w:pPr>
    </w:lvl>
  </w:abstractNum>
  <w:abstractNum w:abstractNumId="1">
    <w:nsid w:val="55B522A9"/>
    <w:multiLevelType w:val="singleLevel"/>
    <w:tmpl w:val="55B522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Zjc5NzQ0ZGVjNzQzYTU5OWUwMWU3MGQyZGFlNTYifQ=="/>
  </w:docVars>
  <w:rsids>
    <w:rsidRoot w:val="00000000"/>
    <w:rsid w:val="02AA4B1F"/>
    <w:rsid w:val="03D61BF0"/>
    <w:rsid w:val="0D386A9E"/>
    <w:rsid w:val="11B25539"/>
    <w:rsid w:val="128B3E69"/>
    <w:rsid w:val="12A34BDD"/>
    <w:rsid w:val="1AD863F9"/>
    <w:rsid w:val="1FD16BF6"/>
    <w:rsid w:val="2A8B44DF"/>
    <w:rsid w:val="302D2CFD"/>
    <w:rsid w:val="360835DC"/>
    <w:rsid w:val="3E1822FD"/>
    <w:rsid w:val="470E7B71"/>
    <w:rsid w:val="5D387615"/>
    <w:rsid w:val="5F067854"/>
    <w:rsid w:val="6060714F"/>
    <w:rsid w:val="69AA14E4"/>
    <w:rsid w:val="6E4B0D99"/>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Body Text Indent 2"/>
    <w:basedOn w:val="1"/>
    <w:next w:val="1"/>
    <w:unhideWhenUsed/>
    <w:qFormat/>
    <w:uiPriority w:val="99"/>
    <w:pPr>
      <w:spacing w:after="120" w:afterLines="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9</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牧童</cp:lastModifiedBy>
  <cp:lastPrinted>2023-08-18T07:47:00Z</cp:lastPrinted>
  <dcterms:modified xsi:type="dcterms:W3CDTF">2023-09-19T08:41:42Z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