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东乡县科技局</w:t>
      </w:r>
      <w:r>
        <w:rPr>
          <w:rFonts w:hint="eastAsia" w:ascii="仿宋_GB2312" w:hAnsi="仿宋_GB2312" w:eastAsia="仿宋_GB2312" w:cs="仿宋_GB2312"/>
          <w:sz w:val="32"/>
          <w:szCs w:val="32"/>
          <w:lang w:val="zh-CN"/>
        </w:rPr>
        <w:t>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部门（单位））职责</w:t>
      </w:r>
    </w:p>
    <w:p>
      <w:pPr>
        <w:keepNext w:val="0"/>
        <w:keepLines w:val="0"/>
        <w:pageBreakBefore w:val="0"/>
        <w:widowControl/>
        <w:numPr>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县委办</w:t>
      </w:r>
      <w:r>
        <w:rPr>
          <w:rFonts w:hint="eastAsia" w:ascii="仿宋_GB2312" w:hAnsi="仿宋_GB2312" w:eastAsia="仿宋_GB2312" w:cs="仿宋_GB2312"/>
          <w:sz w:val="32"/>
          <w:szCs w:val="32"/>
          <w:lang w:val="en-US" w:eastAsia="zh-CN"/>
        </w:rPr>
        <w:t>[2019]66号文件，中共东乡县委办公室、东乡县人民政府办公室关于印发《东乡族自治县科学技术局职能配置内设机构和人员编制规定》的通知中，</w:t>
      </w:r>
      <w:r>
        <w:rPr>
          <w:rFonts w:hint="eastAsia" w:ascii="仿宋_GB2312" w:hAnsi="仿宋_GB2312" w:eastAsia="仿宋_GB2312" w:cs="仿宋_GB2312"/>
          <w:sz w:val="32"/>
          <w:szCs w:val="32"/>
          <w:lang w:val="zh-CN"/>
        </w:rPr>
        <w:t>科技局贯彻落实党中央、省州及县委关于科技工作的方针政策和决策部署，在履行职责过程中加强党对科技工作的统一领导。主要职责是：</w:t>
      </w:r>
    </w:p>
    <w:p>
      <w:pPr>
        <w:numPr>
          <w:ilvl w:val="0"/>
          <w:numId w:val="2"/>
        </w:numPr>
        <w:spacing w:line="640" w:lineRule="exact"/>
        <w:ind w:firstLine="1302" w:firstLineChars="407"/>
        <w:jc w:val="both"/>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pPr>
      <w:bookmarkStart w:id="0" w:name="_GoBack"/>
      <w:bookmarkEnd w:id="0"/>
      <w:r>
        <w:rPr>
          <w:rFonts w:hint="eastAsia" w:ascii="仿宋_GB2312" w:hAnsi="宋体" w:eastAsia="仿宋_GB2312" w:cs="宋体"/>
          <w:color w:val="000000" w:themeColor="text1"/>
          <w:kern w:val="0"/>
          <w:sz w:val="32"/>
          <w:szCs w:val="32"/>
          <w:highlight w:val="none"/>
          <w14:textFill>
            <w14:solidFill>
              <w14:schemeClr w14:val="tx1"/>
            </w14:solidFill>
          </w14:textFill>
        </w:rPr>
        <w:t>拟订全县创新驱动发展战略以及科技发展。</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 xml:space="preserve"> </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2、统筹推进全县创新体系建设和科技体制改革。</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highlight w:val="none"/>
          <w14:textFill>
            <w14:solidFill>
              <w14:schemeClr w14:val="tx1"/>
            </w14:solidFill>
          </w14:textFill>
        </w:rPr>
        <w:t>建立统一的科学管理平台和科研项目资金协调、评估、监管机制。</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4、统筹科技创新体系建设，优化科技资源配置。</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5、负责全县引进国外人才和智力工作。</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6、完成县委、县政府和州科学技术局交办的其他任务。</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lang w:val="zh-CN"/>
        </w:rPr>
        <w:t>县委办</w:t>
      </w:r>
      <w:r>
        <w:rPr>
          <w:rFonts w:hint="eastAsia" w:ascii="仿宋_GB2312" w:hAnsi="仿宋_GB2312" w:eastAsia="仿宋_GB2312" w:cs="仿宋_GB2312"/>
          <w:sz w:val="32"/>
          <w:szCs w:val="32"/>
          <w:lang w:val="en-US" w:eastAsia="zh-CN"/>
        </w:rPr>
        <w:t>[2019]66号文件,</w:t>
      </w:r>
      <w:r>
        <w:rPr>
          <w:rFonts w:hint="eastAsia" w:ascii="仿宋_GB2312" w:hAnsi="仿宋_GB2312" w:eastAsia="仿宋_GB2312" w:cs="仿宋_GB2312"/>
          <w:color w:val="000000" w:themeColor="text1"/>
          <w:sz w:val="32"/>
          <w:szCs w:val="32"/>
          <w:lang w:val="zh-CN"/>
          <w14:textFill>
            <w14:solidFill>
              <w14:schemeClr w14:val="tx1"/>
            </w14:solidFill>
          </w14:textFill>
        </w:rPr>
        <w:t>中共东乡县委办公室、东乡县人民政府办公室关于印发</w:t>
      </w:r>
      <w:r>
        <w:rPr>
          <w:rFonts w:hint="eastAsia" w:ascii="仿宋_GB2312" w:hAnsi="仿宋_GB2312" w:eastAsia="仿宋_GB2312" w:cs="仿宋_GB2312"/>
          <w:sz w:val="32"/>
          <w:szCs w:val="32"/>
          <w:lang w:val="en-US" w:eastAsia="zh-CN"/>
        </w:rPr>
        <w:t>《东乡族自治县科学技术局职能配置内设机构和人员编制规定》</w:t>
      </w:r>
      <w:r>
        <w:rPr>
          <w:rFonts w:hint="eastAsia" w:ascii="仿宋_GB2312" w:hAnsi="仿宋_GB2312" w:eastAsia="仿宋_GB2312" w:cs="仿宋_GB2312"/>
          <w:color w:val="000000" w:themeColor="text1"/>
          <w:sz w:val="32"/>
          <w:szCs w:val="32"/>
          <w:lang w:val="zh-CN"/>
          <w14:textFill>
            <w14:solidFill>
              <w14:schemeClr w14:val="tx1"/>
            </w14:solidFill>
          </w14:textFill>
        </w:rPr>
        <w:t>的通知中，县科技局设下列内设机构</w:t>
      </w:r>
    </w:p>
    <w:p>
      <w:pPr>
        <w:keepNext w:val="0"/>
        <w:keepLines w:val="0"/>
        <w:pageBreakBefore w:val="0"/>
        <w:widowControl/>
        <w:numPr>
          <w:ilvl w:val="0"/>
          <w:numId w:val="3"/>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办公室。负责机关日常运转承担机关文电会务档案，</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 w:val="32"/>
          <w:szCs w:val="32"/>
          <w:highlight w:val="none"/>
          <w14:textFill>
            <w14:solidFill>
              <w14:schemeClr w14:val="tx1"/>
            </w14:solidFill>
          </w14:textFill>
        </w:rPr>
        <w:t>信访政务公开监督监办和安全保密等工作</w:t>
      </w:r>
    </w:p>
    <w:p>
      <w:pPr>
        <w:keepNext w:val="0"/>
        <w:keepLines w:val="0"/>
        <w:pageBreakBefore w:val="0"/>
        <w:widowControl/>
        <w:numPr>
          <w:ilvl w:val="0"/>
          <w:numId w:val="3"/>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农业科技股。拟订科技促进农业农村发展的规划和</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 w:val="32"/>
          <w:szCs w:val="32"/>
          <w:highlight w:val="none"/>
          <w14:textFill>
            <w14:solidFill>
              <w14:schemeClr w14:val="tx1"/>
            </w14:solidFill>
          </w14:textFill>
        </w:rPr>
        <w:t>政策</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numPr>
          <w:ilvl w:val="0"/>
          <w:numId w:val="3"/>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企业科技股。拟订促进相关领域技术创新的规划和政策组织开展相关领域技术创新需求分析</w:t>
      </w:r>
    </w:p>
    <w:p>
      <w:pPr>
        <w:keepNext w:val="0"/>
        <w:keepLines w:val="0"/>
        <w:pageBreakBefore w:val="0"/>
        <w:widowControl/>
        <w:numPr>
          <w:ilvl w:val="0"/>
          <w:numId w:val="3"/>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综合科技股。承担推进创新体系建设和科技体制改革工作</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收入支出决算总表</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收入决算表</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支出决算表</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财政拨款收入支出决算总表</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一般公共预算财政拨款支出决算表</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一般公共预算财政拨款基本支出决算明细表</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政府性基金预算财政拨款收入支出决算表</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国有资本经营预算财政拨款支出决算表</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1280" w:firstLineChars="400"/>
        <w:jc w:val="left"/>
        <w:textAlignment w:val="auto"/>
        <w:rPr>
          <w:rFonts w:hint="default" w:ascii="仿宋_GB2312" w:hAnsi="仿宋_GB2312" w:eastAsia="仿宋_GB2312" w:cs="仿宋_GB2312"/>
          <w:b w:val="0"/>
          <w:bCs/>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2022</w:t>
      </w:r>
      <w:r>
        <w:rPr>
          <w:rFonts w:hint="eastAsia" w:ascii="仿宋_GB2312" w:hAnsi="仿宋_GB2312" w:eastAsia="仿宋_GB2312" w:cs="仿宋_GB2312"/>
          <w:b w:val="0"/>
          <w:bCs/>
          <w:color w:val="000000" w:themeColor="text1"/>
          <w:sz w:val="32"/>
          <w:szCs w:val="32"/>
          <w:u w:val="none"/>
          <w:lang w:val="zh-CN"/>
          <w14:textFill>
            <w14:solidFill>
              <w14:schemeClr w14:val="tx1"/>
            </w14:solidFill>
          </w14:textFill>
        </w:rPr>
        <w:t>年度部门决算表见附件</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01</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收入总计3357430.16元，支出总计3357430.16元，与2021年决算数相比，收入增加1154225.96元，增长52.38%，支出增加1154225.96元，增长52.38%。主要原因：一是人员工资增长、养老、医疗缴费基数增加</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。二是</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2022年住房公积金列入预算。三是项目中对高新企业和省创企业奖补资金增加。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2022年度收入合计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335.74</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万元,其中：财政拨款收入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335.74</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335.74</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281.88</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83.95</w:t>
      </w:r>
      <w:r>
        <w:rPr>
          <w:rFonts w:hint="eastAsia" w:ascii="仿宋_GB2312" w:hAnsi="仿宋_GB2312" w:eastAsia="仿宋_GB2312" w:cs="仿宋_GB2312"/>
          <w:color w:val="000000" w:themeColor="text1"/>
          <w:sz w:val="32"/>
          <w:szCs w:val="32"/>
          <w:lang w:val="zh-CN"/>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53.87</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16.05</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年度财政拨款收入</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3357430.16</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元，较上年决算数增加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1154225.96</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元，增长</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52.38</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：一是人员工资增长、养老、医疗缴费基数增加</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。二是</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2022年住房公积金列入预算。三是项目中对高新企业和省创企业奖补资金增加。</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年度财政拨款支出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3357430.16</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元，较上年决算数增加</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1154225.96</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元，增长</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52.38</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：一是人员工资增长、养老、医疗缴费基数增加</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。二是</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2022年住房公积金列入预算。三是项目中对高新企业和省创企业奖补资金增加。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335.74</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增加</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115.42</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增长</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52.38</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：一是人员工资增长、养老、医疗缴费基数增加</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。二是</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2022年住房公积金列入预算。三是项目中对高新企业和省创企业奖补资金增加。</w:t>
      </w:r>
      <w:r>
        <w:rPr>
          <w:rFonts w:hint="eastAsia" w:ascii="仿宋_GB2312" w:hAnsi="仿宋_GB2312" w:eastAsia="仿宋_GB2312" w:cs="仿宋_GB2312"/>
          <w:color w:val="000000" w:themeColor="text1"/>
          <w:sz w:val="32"/>
          <w:szCs w:val="32"/>
          <w:lang w:val="zh-CN"/>
          <w14:textFill>
            <w14:solidFill>
              <w14:schemeClr w14:val="tx1"/>
            </w14:solidFill>
          </w14:textFill>
        </w:rPr>
        <w:t>主要用于以下几个方面：</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1.一般公共服务支出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0.84</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0.84</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lang w:val="zh-CN"/>
          <w14:textFill>
            <w14:solidFill>
              <w14:schemeClr w14:val="tx1"/>
            </w14:solidFill>
          </w14:textFill>
        </w:rPr>
        <w:t>.科学技术支出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279.18</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279.18</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lang w:val="zh-CN"/>
          <w14:textFill>
            <w14:solidFill>
              <w14:schemeClr w14:val="tx1"/>
            </w14:solidFill>
          </w14:textFill>
        </w:rPr>
        <w:t>.社会保障和就业支出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23.75</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23.75</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lang w:val="zh-CN"/>
          <w14:textFill>
            <w14:solidFill>
              <w14:schemeClr w14:val="tx1"/>
            </w14:solidFill>
          </w14:textFill>
        </w:rPr>
        <w:t>.卫生健康支出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9.81</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9.81</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color w:val="000000" w:themeColor="text1"/>
          <w:sz w:val="32"/>
          <w:szCs w:val="32"/>
          <w:lang w:val="zh-CN"/>
          <w14:textFill>
            <w14:solidFill>
              <w14:schemeClr w14:val="tx1"/>
            </w14:solidFill>
          </w14:textFill>
        </w:rPr>
        <w:t>.农林水支出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color w:val="000000" w:themeColor="text1"/>
          <w:sz w:val="32"/>
          <w:szCs w:val="32"/>
          <w:lang w:val="zh-CN"/>
          <w14:textFill>
            <w14:solidFill>
              <w14:schemeClr w14:val="tx1"/>
            </w14:solidFill>
          </w14:textFill>
        </w:rPr>
        <w:t>.住房保障支出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17.77</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17.77</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281.86</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w:t>
      </w:r>
      <w:r>
        <w:rPr>
          <w:rFonts w:hint="eastAsia" w:ascii="仿宋_GB2312" w:hAnsi="仿宋_GB2312" w:eastAsia="仿宋_GB2312" w:cs="仿宋_GB2312"/>
          <w:b/>
          <w:color w:val="000000" w:themeColor="text1"/>
          <w:sz w:val="32"/>
          <w:szCs w:val="32"/>
          <w:lang w:val="zh-CN"/>
          <w14:textFill>
            <w14:solidFill>
              <w14:schemeClr w14:val="tx1"/>
            </w14:solidFill>
          </w14:textFill>
        </w:rPr>
        <w:t>人员经费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270.91</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54.44</w:t>
      </w:r>
      <w:r>
        <w:rPr>
          <w:rFonts w:hint="eastAsia" w:ascii="仿宋_GB2312" w:hAnsi="仿宋_GB2312" w:eastAsia="仿宋_GB2312" w:cs="仿宋_GB2312"/>
          <w:color w:val="000000" w:themeColor="text1"/>
          <w:sz w:val="32"/>
          <w:szCs w:val="32"/>
          <w:lang w:val="zh-CN"/>
          <w14:textFill>
            <w14:solidFill>
              <w14:schemeClr w14:val="tx1"/>
            </w14:solidFill>
          </w14:textFill>
        </w:rPr>
        <w:t>万元,增长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25.14</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一是人员工资增长、养老、医疗缴费基数增加</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。二是</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2022年住房公积金列入预算。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公用经费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10.95</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6.02</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54.97</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2021年车补列入到公用经费</w:t>
      </w:r>
      <w:r>
        <w:rPr>
          <w:rFonts w:hint="eastAsia" w:ascii="仿宋_GB2312" w:hAnsi="仿宋_GB2312" w:eastAsia="仿宋_GB2312" w:cs="仿宋_GB2312"/>
          <w:color w:val="000000" w:themeColor="text1"/>
          <w:sz w:val="32"/>
          <w:szCs w:val="32"/>
          <w:lang w:val="zh-CN"/>
          <w14:textFill>
            <w14:solidFill>
              <w14:schemeClr w14:val="tx1"/>
            </w14:solidFill>
          </w14:textFill>
        </w:rPr>
        <w:t>。公用经费用途主要包括商品和服务、办公费、印刷费、水电费、工会经费、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维修维护费、</w:t>
      </w:r>
      <w:r>
        <w:rPr>
          <w:rFonts w:hint="eastAsia" w:ascii="仿宋_GB2312" w:hAnsi="仿宋_GB2312" w:eastAsia="仿宋_GB2312" w:cs="仿宋_GB2312"/>
          <w:color w:val="000000" w:themeColor="text1"/>
          <w:sz w:val="32"/>
          <w:szCs w:val="32"/>
          <w:lang w:val="zh-CN"/>
          <w14:textFill>
            <w14:solidFill>
              <w14:schemeClr w14:val="tx1"/>
            </w14:solidFill>
          </w14:textFill>
        </w:rPr>
        <w:t>差旅费。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七</w:t>
      </w:r>
      <w:r>
        <w:rPr>
          <w:rFonts w:hint="eastAsia" w:ascii="仿宋_GB2312" w:hAnsi="仿宋_GB2312" w:eastAsia="仿宋_GB2312" w:cs="仿宋_GB2312"/>
          <w:b/>
          <w:color w:val="000000" w:themeColor="text1"/>
          <w:sz w:val="32"/>
          <w:szCs w:val="32"/>
          <w:lang w:val="zh-CN"/>
          <w14:textFill>
            <w14:solidFill>
              <w14:schemeClr w14:val="tx1"/>
            </w14:solidFill>
          </w14:textFill>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2022年度本部门机关运行经费支出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10.95</w:t>
      </w:r>
      <w:r>
        <w:rPr>
          <w:rFonts w:hint="eastAsia" w:ascii="仿宋_GB2312" w:hAnsi="仿宋_GB2312" w:eastAsia="仿宋_GB2312" w:cs="仿宋_GB2312"/>
          <w:color w:val="000000" w:themeColor="text1"/>
          <w:sz w:val="32"/>
          <w:szCs w:val="32"/>
          <w:lang w:val="zh-CN"/>
          <w14:textFill>
            <w14:solidFill>
              <w14:schemeClr w14:val="tx1"/>
            </w14:solidFill>
          </w14:textFill>
        </w:rPr>
        <w:t>万元,机关运行经费主要用于开支商品和服务费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109514.06元</w:t>
      </w:r>
      <w:r>
        <w:rPr>
          <w:rFonts w:hint="eastAsia" w:ascii="仿宋_GB2312" w:hAnsi="仿宋_GB2312" w:eastAsia="仿宋_GB2312" w:cs="仿宋_GB2312"/>
          <w:color w:val="000000" w:themeColor="text1"/>
          <w:sz w:val="32"/>
          <w:szCs w:val="32"/>
          <w:lang w:val="zh-CN"/>
          <w14:textFill>
            <w14:solidFill>
              <w14:schemeClr w14:val="tx1"/>
            </w14:solidFill>
          </w14:textFill>
        </w:rPr>
        <w:t>、办公费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48146.4元</w:t>
      </w:r>
      <w:r>
        <w:rPr>
          <w:rFonts w:hint="eastAsia" w:ascii="仿宋_GB2312" w:hAnsi="仿宋_GB2312" w:eastAsia="仿宋_GB2312" w:cs="仿宋_GB2312"/>
          <w:color w:val="000000" w:themeColor="text1"/>
          <w:sz w:val="32"/>
          <w:szCs w:val="32"/>
          <w:lang w:val="zh-CN"/>
          <w14:textFill>
            <w14:solidFill>
              <w14:schemeClr w14:val="tx1"/>
            </w14:solidFill>
          </w14:textFill>
        </w:rPr>
        <w:t>、印刷费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12000元</w:t>
      </w:r>
      <w:r>
        <w:rPr>
          <w:rFonts w:hint="eastAsia" w:ascii="仿宋_GB2312" w:hAnsi="仿宋_GB2312" w:eastAsia="仿宋_GB2312" w:cs="仿宋_GB2312"/>
          <w:color w:val="000000" w:themeColor="text1"/>
          <w:sz w:val="32"/>
          <w:szCs w:val="32"/>
          <w:lang w:val="zh-CN"/>
          <w14:textFill>
            <w14:solidFill>
              <w14:schemeClr w14:val="tx1"/>
            </w14:solidFill>
          </w14:textFill>
        </w:rPr>
        <w:t>、水费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1700元、</w:t>
      </w:r>
      <w:r>
        <w:rPr>
          <w:rFonts w:hint="eastAsia" w:ascii="仿宋_GB2312" w:hAnsi="仿宋_GB2312" w:eastAsia="仿宋_GB2312" w:cs="仿宋_GB2312"/>
          <w:color w:val="000000" w:themeColor="text1"/>
          <w:sz w:val="32"/>
          <w:szCs w:val="32"/>
          <w:lang w:val="zh-CN"/>
          <w14:textFill>
            <w14:solidFill>
              <w14:schemeClr w14:val="tx1"/>
            </w14:solidFill>
          </w14:textFill>
        </w:rPr>
        <w:t>电费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7787.66元</w:t>
      </w:r>
      <w:r>
        <w:rPr>
          <w:rFonts w:hint="eastAsia" w:ascii="仿宋_GB2312" w:hAnsi="仿宋_GB2312" w:eastAsia="仿宋_GB2312" w:cs="仿宋_GB2312"/>
          <w:color w:val="000000" w:themeColor="text1"/>
          <w:sz w:val="32"/>
          <w:szCs w:val="32"/>
          <w:lang w:val="zh-CN"/>
          <w14:textFill>
            <w14:solidFill>
              <w14:schemeClr w14:val="tx1"/>
            </w14:solidFill>
          </w14:textFill>
        </w:rPr>
        <w:t>、差旅费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24100元、维修维护费6000元、</w:t>
      </w:r>
      <w:r>
        <w:rPr>
          <w:rFonts w:hint="eastAsia" w:ascii="仿宋_GB2312" w:hAnsi="仿宋_GB2312" w:eastAsia="仿宋_GB2312" w:cs="仿宋_GB2312"/>
          <w:color w:val="000000" w:themeColor="text1"/>
          <w:sz w:val="32"/>
          <w:szCs w:val="32"/>
          <w:lang w:val="zh-CN"/>
          <w14:textFill>
            <w14:solidFill>
              <w14:schemeClr w14:val="tx1"/>
            </w14:solidFill>
          </w14:textFill>
        </w:rPr>
        <w:t>工会经费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8448元</w:t>
      </w:r>
      <w:r>
        <w:rPr>
          <w:rFonts w:hint="eastAsia" w:ascii="仿宋_GB2312" w:hAnsi="仿宋_GB2312" w:eastAsia="仿宋_GB2312" w:cs="仿宋_GB2312"/>
          <w:color w:val="000000" w:themeColor="text1"/>
          <w:sz w:val="32"/>
          <w:szCs w:val="32"/>
          <w:lang w:val="zh-CN"/>
          <w14:textFill>
            <w14:solidFill>
              <w14:schemeClr w14:val="tx1"/>
            </w14:solidFill>
          </w14:textFill>
        </w:rPr>
        <w:t>。机关运行经费较上年决算数减少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6.02</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54.97</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2021年车补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列入到</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机关运行经费。</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本年度会议费支出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%,主要原因是本年度无会议费支。本年度培训费支出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%,主要原因是本年度无培训费支出。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2022年度本部门政府采购支出合计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1.58</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万元,其中：政府采购货物支出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lang w:val="zh-CN"/>
          <w14:textFill>
            <w14:solidFill>
              <w14:schemeClr w14:val="tx1"/>
            </w14:solidFill>
          </w14:textFill>
        </w:rPr>
        <w:t>万元、政府采购工程支出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万元、政府采购服务支出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万元。授予中小企业合同金额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1.58</w:t>
      </w:r>
      <w:r>
        <w:rPr>
          <w:rFonts w:hint="eastAsia" w:ascii="仿宋_GB2312" w:hAnsi="仿宋_GB2312" w:eastAsia="仿宋_GB2312" w:cs="仿宋_GB2312"/>
          <w:color w:val="000000" w:themeColor="text1"/>
          <w:sz w:val="32"/>
          <w:szCs w:val="32"/>
          <w:lang w:val="zh-CN"/>
          <w14:textFill>
            <w14:solidFill>
              <w14:schemeClr w14:val="tx1"/>
            </w14:solidFill>
          </w14:textFill>
        </w:rPr>
        <w:t>万元,占政府采购支出总额的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%,其中：授予小微企业合同金额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1.58</w:t>
      </w:r>
      <w:r>
        <w:rPr>
          <w:rFonts w:hint="eastAsia" w:ascii="仿宋_GB2312" w:hAnsi="仿宋_GB2312" w:eastAsia="仿宋_GB2312" w:cs="仿宋_GB2312"/>
          <w:color w:val="000000" w:themeColor="text1"/>
          <w:sz w:val="32"/>
          <w:szCs w:val="32"/>
          <w:lang w:val="zh-CN"/>
          <w14:textFill>
            <w14:solidFill>
              <w14:schemeClr w14:val="tx1"/>
            </w14:solidFill>
          </w14:textFill>
        </w:rPr>
        <w:t>万元,占政府采购支出总额的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九</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截至2022年12月31日,本部门共有车辆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辆,其中,副部(省)级及以上领导用车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辆、主要领导干部用车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辆、机要通信用车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辆、应急保障用车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辆、执法执勤用车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辆,特种专业技术用车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辆,离退休干部用车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辆,其他用车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辆,其他用车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0辆</w:t>
      </w:r>
      <w:r>
        <w:rPr>
          <w:rFonts w:hint="eastAsia" w:ascii="仿宋_GB2312" w:hAnsi="仿宋_GB2312" w:eastAsia="仿宋_GB2312" w:cs="仿宋_GB2312"/>
          <w:color w:val="000000" w:themeColor="text1"/>
          <w:sz w:val="32"/>
          <w:szCs w:val="32"/>
          <w:lang w:val="zh-CN"/>
          <w14:textFill>
            <w14:solidFill>
              <w14:schemeClr w14:val="tx1"/>
            </w14:solidFill>
          </w14:textFill>
        </w:rPr>
        <w:t>。单价100万元(含)以上设备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本单位2022年度无政府性基金收入,也没有使用政府性基金安排的支出。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2022年度政府性基金预算财政拨款年初结转结余0万元，本年收入0万元，本年支出0万元，年末结转和结余0</w:t>
      </w:r>
      <w:r>
        <w:rPr>
          <w:rFonts w:hint="eastAsia" w:ascii="仿宋_GB2312" w:hAnsi="仿宋_GB2312" w:eastAsia="仿宋_GB2312" w:cs="仿宋_GB2312"/>
          <w:color w:val="000000" w:themeColor="text1"/>
          <w:kern w:val="2"/>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000000" w:themeColor="text1"/>
          <w:kern w:val="2"/>
          <w:sz w:val="2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w:t>
      </w:r>
      <w:r>
        <w:rPr>
          <w:rFonts w:hint="eastAsia" w:ascii="仿宋_GB2312" w:hAnsi="仿宋_GB2312" w:eastAsia="仿宋_GB2312" w:cs="仿宋_GB2312"/>
          <w:b/>
          <w:color w:val="000000" w:themeColor="text1"/>
          <w:sz w:val="32"/>
          <w:szCs w:val="32"/>
          <w:lang w:val="en-US"/>
          <w14:textFill>
            <w14:solidFill>
              <w14:schemeClr w14:val="tx1"/>
            </w14:solidFill>
          </w14:textFill>
        </w:rPr>
        <w:t>一</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本单位2022年度没有使用国有资本经营预算安排的支出。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2022年度国有资本经营预算财政拨款本年支出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十二</w:t>
      </w:r>
      <w:r>
        <w:rPr>
          <w:rFonts w:hint="eastAsia" w:ascii="仿宋_GB2312" w:hAnsi="仿宋_GB2312" w:eastAsia="仿宋_GB2312" w:cs="仿宋_GB2312"/>
          <w:b/>
          <w:color w:val="000000" w:themeColor="text1"/>
          <w:sz w:val="32"/>
          <w:szCs w:val="32"/>
          <w:lang w:val="zh-CN"/>
          <w14:textFill>
            <w14:solidFill>
              <w14:schemeClr w14:val="tx1"/>
            </w14:solidFill>
          </w14:textFill>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2022年度“三公”经费支出</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1.因公出国(境)费用</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2.公务用车购置及运行维护费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其中：公务用车购置费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3.公务接待费</w:t>
      </w:r>
      <w:r>
        <w:rPr>
          <w:rFonts w:hint="eastAsia" w:ascii="仿宋_GB2312" w:hAnsi="仿宋_GB2312" w:eastAsia="仿宋_GB2312" w:cs="仿宋_GB2312"/>
          <w:color w:val="000000" w:themeColor="text1"/>
          <w:sz w:val="32"/>
          <w:szCs w:val="32"/>
          <w:lang w:val="en-US"/>
          <w14:textFill>
            <w14:solidFill>
              <w14:schemeClr w14:val="tx1"/>
            </w14:solidFill>
          </w14:textFill>
        </w:rPr>
        <w:t>全</w:t>
      </w:r>
      <w:r>
        <w:rPr>
          <w:rFonts w:hint="eastAsia" w:ascii="仿宋_GB2312" w:hAnsi="仿宋_GB2312" w:eastAsia="仿宋_GB2312" w:cs="仿宋_GB2312"/>
          <w:color w:val="000000" w:themeColor="text1"/>
          <w:sz w:val="32"/>
          <w:szCs w:val="32"/>
          <w:lang w:val="zh-CN"/>
          <w14:textFill>
            <w14:solidFill>
              <w14:schemeClr w14:val="tx1"/>
            </w14:solidFill>
          </w14:textFill>
        </w:rPr>
        <w:t>年预算数为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w:t>
      </w:r>
      <w:r>
        <w:rPr>
          <w:rFonts w:hint="eastAsia" w:ascii="仿宋_GB2312" w:hAnsi="仿宋_GB2312" w:eastAsia="仿宋_GB2312" w:cs="仿宋_GB2312"/>
          <w:b/>
          <w:color w:val="000000" w:themeColor="text1"/>
          <w:sz w:val="32"/>
          <w:szCs w:val="32"/>
          <w:lang w:val="zh-CN"/>
          <w14:textFill>
            <w14:solidFill>
              <w14:schemeClr w14:val="tx1"/>
            </w14:solidFill>
          </w14:textFill>
        </w:rPr>
        <w:t>因公出国(境)</w:t>
      </w:r>
      <w:r>
        <w:rPr>
          <w:rFonts w:hint="eastAsia" w:ascii="仿宋_GB2312" w:hAnsi="仿宋_GB2312" w:eastAsia="仿宋_GB2312" w:cs="仿宋_GB2312"/>
          <w:color w:val="000000" w:themeColor="text1"/>
          <w:sz w:val="32"/>
          <w:szCs w:val="32"/>
          <w:lang w:val="zh-CN"/>
          <w14:textFill>
            <w14:solidFill>
              <w14:schemeClr w14:val="tx1"/>
            </w14:solidFill>
          </w14:textFill>
        </w:rPr>
        <w:t>共计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个团组,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公务用车购置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公务用车保有量</w:t>
      </w:r>
      <w:r>
        <w:rPr>
          <w:rFonts w:hint="eastAsia" w:ascii="仿宋_GB2312" w:hAnsi="仿宋_GB2312" w:eastAsia="仿宋_GB2312" w:cs="仿宋_GB2312"/>
          <w:color w:val="000000" w:themeColor="text1"/>
          <w:sz w:val="32"/>
          <w:szCs w:val="32"/>
          <w:lang w:val="zh-CN"/>
          <w14:textFill>
            <w14:solidFill>
              <w14:schemeClr w14:val="tx1"/>
            </w14:solidFill>
          </w14:textFill>
        </w:rPr>
        <w:t>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国内公务接待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人,其中：</w:t>
      </w:r>
      <w:r>
        <w:rPr>
          <w:rFonts w:hint="eastAsia" w:ascii="仿宋_GB2312" w:hAnsi="仿宋_GB2312" w:eastAsia="仿宋_GB2312" w:cs="仿宋_GB2312"/>
          <w:b/>
          <w:color w:val="000000" w:themeColor="text1"/>
          <w:sz w:val="32"/>
          <w:szCs w:val="32"/>
          <w:lang w:val="zh-CN"/>
          <w14:textFill>
            <w14:solidFill>
              <w14:schemeClr w14:val="tx1"/>
            </w14:solidFill>
          </w14:textFill>
        </w:rPr>
        <w:t>外事接待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国(境)外公务接待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2022年项目为对企业的奖补资金，</w:t>
      </w:r>
      <w:r>
        <w:rPr>
          <w:rFonts w:hint="eastAsia" w:ascii="仿宋_GB2312" w:hAnsi="仿宋_GB2312" w:eastAsia="仿宋_GB2312" w:cs="仿宋_GB2312"/>
          <w:color w:val="000000" w:themeColor="text1"/>
          <w:sz w:val="32"/>
          <w:szCs w:val="32"/>
          <w:lang w:val="zh-CN"/>
          <w14:textFill>
            <w14:solidFill>
              <w14:schemeClr w14:val="tx1"/>
            </w14:solidFill>
          </w14:textFill>
        </w:rPr>
        <w:t>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jc w:val="left"/>
        <w:textAlignment w:val="auto"/>
        <w:rPr>
          <w:rFonts w:hint="eastAsia" w:ascii="仿宋_GB2312" w:hAnsi="仿宋_GB2312" w:eastAsia="仿宋_GB2312" w:cs="仿宋_GB2312"/>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14:textFill>
            <w14:solidFill>
              <w14:schemeClr w14:val="tx1"/>
            </w14:solidFill>
          </w14:textFill>
        </w:rPr>
        <w:t>根据预算绩效管理要求,本部门对2022年度一般公共预算项目支出全面开展绩效自评,其中,一级项目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个,二级项目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万元,占一般公共预算项目支出总额的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%。对2022年度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个政府性基金预算项目开展绩效自评,共涉及资金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万元,占政府性基金预算项目支出总额的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%。组织对2022年度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个国有资本经营预算项目开展绩效自评,共涉及资金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万元,占国有资本经营预算项目支出总额的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%。组织对</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个项目开展了部门评价,涉及一般公共预算支出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万元,政府性基金预算支出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万元,国有资本经营预算支出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1.绩效目标自评表(分项目进行综述)</w:t>
      </w:r>
    </w:p>
    <w:p>
      <w:pPr>
        <w:tabs>
          <w:tab w:val="left" w:pos="1327"/>
        </w:tabs>
        <w:bidi w:val="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14:textFill>
            <w14:solidFill>
              <w14:schemeClr w14:val="tx1"/>
            </w14:solidFill>
          </w14:textFill>
        </w:rPr>
        <w:t>我部门在2022年度部门决算中反映</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个项目绩效自评结果。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项目绩效自评情况：根据年初设定的绩效目标,项目绩效自评得分为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分。项目全年预算数为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万元,执行数为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万元,完成预算的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(三)部门绩效评价结果</w:t>
      </w:r>
    </w:p>
    <w:p>
      <w:pPr>
        <w:tabs>
          <w:tab w:val="left" w:pos="1327"/>
        </w:tabs>
        <w:bidi w:val="0"/>
        <w:ind w:firstLine="640" w:firstLineChars="200"/>
        <w:jc w:val="left"/>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14:textFill>
            <w14:solidFill>
              <w14:schemeClr w14:val="tx1"/>
            </w14:solidFill>
          </w14:textFill>
        </w:rPr>
        <w:t>本单位无绩效评价。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E90C5"/>
    <w:multiLevelType w:val="singleLevel"/>
    <w:tmpl w:val="CC9E90C5"/>
    <w:lvl w:ilvl="0" w:tentative="0">
      <w:start w:val="1"/>
      <w:numFmt w:val="decimal"/>
      <w:suff w:val="nothing"/>
      <w:lvlText w:val="%1、"/>
      <w:lvlJc w:val="left"/>
    </w:lvl>
  </w:abstractNum>
  <w:abstractNum w:abstractNumId="1">
    <w:nsid w:val="1CCF9478"/>
    <w:multiLevelType w:val="singleLevel"/>
    <w:tmpl w:val="1CCF9478"/>
    <w:lvl w:ilvl="0" w:tentative="0">
      <w:start w:val="1"/>
      <w:numFmt w:val="chineseCounting"/>
      <w:suff w:val="nothing"/>
      <w:lvlText w:val="%1、"/>
      <w:lvlJc w:val="left"/>
      <w:rPr>
        <w:rFonts w:hint="eastAsia"/>
      </w:rPr>
    </w:lvl>
  </w:abstractNum>
  <w:abstractNum w:abstractNumId="2">
    <w:nsid w:val="5EF194A5"/>
    <w:multiLevelType w:val="singleLevel"/>
    <w:tmpl w:val="5EF194A5"/>
    <w:lvl w:ilvl="0" w:tentative="0">
      <w:start w:val="1"/>
      <w:numFmt w:val="decimal"/>
      <w:suff w:val="nothing"/>
      <w:lvlText w:val="%1、"/>
      <w:lvlJc w:val="left"/>
    </w:lvl>
  </w:abstractNum>
  <w:abstractNum w:abstractNumId="3">
    <w:nsid w:val="6DFD6816"/>
    <w:multiLevelType w:val="singleLevel"/>
    <w:tmpl w:val="6DFD6816"/>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YTFhNTVkZjdiOWIyZjAyZDEyMzVkNGJhODg4YTEifQ=="/>
  </w:docVars>
  <w:rsids>
    <w:rsidRoot w:val="00172A27"/>
    <w:rsid w:val="02AA4B1F"/>
    <w:rsid w:val="0529185C"/>
    <w:rsid w:val="093813AB"/>
    <w:rsid w:val="0D386A9E"/>
    <w:rsid w:val="11B25539"/>
    <w:rsid w:val="12576593"/>
    <w:rsid w:val="12A34BDD"/>
    <w:rsid w:val="141173D5"/>
    <w:rsid w:val="14EE0D03"/>
    <w:rsid w:val="1AD863F9"/>
    <w:rsid w:val="1AE94167"/>
    <w:rsid w:val="302D2CFD"/>
    <w:rsid w:val="383F0111"/>
    <w:rsid w:val="3A3345FE"/>
    <w:rsid w:val="3BC211E2"/>
    <w:rsid w:val="464C6278"/>
    <w:rsid w:val="470E7B71"/>
    <w:rsid w:val="50BE6407"/>
    <w:rsid w:val="56DA342C"/>
    <w:rsid w:val="5A9568C7"/>
    <w:rsid w:val="5D387615"/>
    <w:rsid w:val="604223DA"/>
    <w:rsid w:val="61565DA5"/>
    <w:rsid w:val="64B17EC2"/>
    <w:rsid w:val="69AA14E4"/>
    <w:rsid w:val="6F9277B6"/>
    <w:rsid w:val="7016507D"/>
    <w:rsid w:val="776C2BD5"/>
    <w:rsid w:val="77925050"/>
    <w:rsid w:val="795D1F6F"/>
    <w:rsid w:val="7AEB5768"/>
    <w:rsid w:val="7AF9755F"/>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2.xml><?xml version="1.0" encoding="utf-8"?>
<ds:datastoreItem xmlns:ds="http://schemas.openxmlformats.org/officeDocument/2006/customXml" ds:itemID="{dd9736f0-b4da-40c5-bb91-cccf845c036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1942c3e6-50fa-42e3-afb2-c9ca37f9532b}">
  <ds:schemaRefs/>
</ds:datastoreItem>
</file>

<file path=customXml/itemProps5.xml><?xml version="1.0" encoding="utf-8"?>
<ds:datastoreItem xmlns:ds="http://schemas.openxmlformats.org/officeDocument/2006/customXml" ds:itemID="{9f816721-a34c-4b38-8df9-8940ce05977f}">
  <ds:schemaRefs/>
</ds:datastoreItem>
</file>

<file path=customXml/itemProps6.xml><?xml version="1.0" encoding="utf-8"?>
<ds:datastoreItem xmlns:ds="http://schemas.openxmlformats.org/officeDocument/2006/customXml" ds:itemID="{abd899ba-6e03-4791-9897-a1bbba214d3e}">
  <ds:schemaRefs/>
</ds:datastoreItem>
</file>

<file path=customXml/itemProps7.xml><?xml version="1.0" encoding="utf-8"?>
<ds:datastoreItem xmlns:ds="http://schemas.openxmlformats.org/officeDocument/2006/customXml" ds:itemID="{9ebdd679-4610-4a7d-99c1-8a4128f5cebc}">
  <ds:schemaRefs/>
</ds:datastoreItem>
</file>

<file path=customXml/itemProps8.xml><?xml version="1.0" encoding="utf-8"?>
<ds:datastoreItem xmlns:ds="http://schemas.openxmlformats.org/officeDocument/2006/customXml" ds:itemID="{65f361dc-07a0-4362-b527-b3db1c437bbe}">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8299</Words>
  <Characters>12563</Characters>
  <Lines>0</Lines>
  <Paragraphs>0</Paragraphs>
  <TotalTime>23</TotalTime>
  <ScaleCrop>false</ScaleCrop>
  <LinksUpToDate>false</LinksUpToDate>
  <CharactersWithSpaces>12784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2023-09-12T05:44:13Z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