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东乡县第三中学</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ind w:firstLine="640" w:firstLineChars="200"/>
        <w:jc w:val="left"/>
        <w:rPr>
          <w:rFonts w:hint="eastAsia" w:ascii="仿宋" w:hAnsi="仿宋" w:eastAsia="仿宋" w:cs="仿宋_GB2312"/>
          <w:sz w:val="30"/>
          <w:szCs w:val="30"/>
        </w:rPr>
      </w:pPr>
      <w:r>
        <w:rPr>
          <w:rFonts w:hint="eastAsia" w:ascii="仿宋_GB2312" w:hAnsi="仿宋_GB2312" w:eastAsia="仿宋_GB2312" w:cs="仿宋_GB2312"/>
          <w:sz w:val="32"/>
          <w:szCs w:val="32"/>
          <w:lang w:val="zh-CN"/>
        </w:rPr>
        <w:t>二、机构设置</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1.办公室</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综合协调，创造和谐的办公环境。围绕学校工作，协助校长、督促学校部门积极做好</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，对各部门常规</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开展情况进行统计，做好记录，及时向校长反馈</w:t>
      </w:r>
      <w:r>
        <w:fldChar w:fldCharType="begin"/>
      </w:r>
      <w:r>
        <w:instrText xml:space="preserve"> HYPERLINK "http://www.eduzhai.net/" </w:instrText>
      </w:r>
      <w:r>
        <w:fldChar w:fldCharType="separate"/>
      </w:r>
      <w:r>
        <w:rPr>
          <w:rFonts w:hint="eastAsia" w:ascii="仿宋" w:hAnsi="仿宋" w:eastAsia="仿宋" w:cs="仿宋_GB2312"/>
          <w:sz w:val="30"/>
          <w:szCs w:val="30"/>
        </w:rPr>
        <w:t>信息</w:t>
      </w:r>
      <w:r>
        <w:rPr>
          <w:rFonts w:hint="eastAsia" w:ascii="仿宋" w:hAnsi="仿宋" w:eastAsia="仿宋" w:cs="仿宋_GB2312"/>
          <w:sz w:val="30"/>
          <w:szCs w:val="30"/>
        </w:rPr>
        <w:fldChar w:fldCharType="end"/>
      </w:r>
      <w:r>
        <w:rPr>
          <w:rFonts w:hint="eastAsia" w:ascii="仿宋" w:hAnsi="仿宋" w:eastAsia="仿宋" w:cs="仿宋_GB2312"/>
          <w:sz w:val="30"/>
          <w:szCs w:val="30"/>
        </w:rPr>
        <w:t>，为学校决策提供参考依据。做好统筹协调</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，整合部门之间的相关</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，上情下达，下情上晓要及时、准确；做部门之间沟通的桥梁，维护好学校班子的团结，提高</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效率；上传下达，创设畅通的</w:t>
      </w:r>
      <w:r>
        <w:fldChar w:fldCharType="begin"/>
      </w:r>
      <w:r>
        <w:instrText xml:space="preserve"> HYPERLINK "http://www.eduzhai.net/" </w:instrText>
      </w:r>
      <w:r>
        <w:fldChar w:fldCharType="separate"/>
      </w:r>
      <w:r>
        <w:rPr>
          <w:rFonts w:hint="eastAsia" w:ascii="仿宋" w:hAnsi="仿宋" w:eastAsia="仿宋" w:cs="仿宋_GB2312"/>
          <w:sz w:val="30"/>
          <w:szCs w:val="30"/>
        </w:rPr>
        <w:t>信息</w:t>
      </w:r>
      <w:r>
        <w:rPr>
          <w:rFonts w:hint="eastAsia" w:ascii="仿宋" w:hAnsi="仿宋" w:eastAsia="仿宋" w:cs="仿宋_GB2312"/>
          <w:sz w:val="30"/>
          <w:szCs w:val="30"/>
        </w:rPr>
        <w:fldChar w:fldCharType="end"/>
      </w:r>
      <w:r>
        <w:rPr>
          <w:rFonts w:hint="eastAsia" w:ascii="仿宋" w:hAnsi="仿宋" w:eastAsia="仿宋" w:cs="仿宋_GB2312"/>
          <w:sz w:val="30"/>
          <w:szCs w:val="30"/>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，确保有序的运转机制。及时出好会议通知、</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安排通知、节假日放假安排等通知；安排好节、假日的</w:t>
      </w:r>
      <w:r>
        <w:fldChar w:fldCharType="begin"/>
      </w:r>
      <w:r>
        <w:instrText xml:space="preserve"> HYPERLINK "http://www.eduzhai.net/falv/" </w:instrText>
      </w:r>
      <w:r>
        <w:fldChar w:fldCharType="separate"/>
      </w:r>
      <w:r>
        <w:rPr>
          <w:rFonts w:hint="eastAsia" w:ascii="仿宋" w:hAnsi="仿宋" w:eastAsia="仿宋" w:cs="仿宋_GB2312"/>
          <w:sz w:val="30"/>
          <w:szCs w:val="30"/>
        </w:rPr>
        <w:t>行政</w:t>
      </w:r>
      <w:r>
        <w:rPr>
          <w:rFonts w:hint="eastAsia" w:ascii="仿宋" w:hAnsi="仿宋" w:eastAsia="仿宋" w:cs="仿宋_GB2312"/>
          <w:sz w:val="30"/>
          <w:szCs w:val="30"/>
        </w:rPr>
        <w:fldChar w:fldCharType="end"/>
      </w:r>
      <w:r>
        <w:rPr>
          <w:rFonts w:hint="eastAsia" w:ascii="仿宋" w:hAnsi="仿宋" w:eastAsia="仿宋" w:cs="仿宋_GB2312"/>
          <w:sz w:val="30"/>
          <w:szCs w:val="30"/>
        </w:rPr>
        <w:t>值班</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；建立规范的办公流程，规范行政管理，各种记录规范，建立统一的格式，规范各种会议议程；对外接待，做好合理的招待安排。做好对外接待安排，协调对口接待</w:t>
      </w:r>
      <w:r>
        <w:fldChar w:fldCharType="begin"/>
      </w:r>
      <w:r>
        <w:instrText xml:space="preserve"> HYPERLINK "http://www.eduzhai.net/jianli/" </w:instrText>
      </w:r>
      <w:r>
        <w:fldChar w:fldCharType="separate"/>
      </w:r>
      <w:r>
        <w:rPr>
          <w:rFonts w:hint="eastAsia" w:ascii="仿宋" w:hAnsi="仿宋" w:eastAsia="仿宋" w:cs="仿宋_GB2312"/>
          <w:sz w:val="30"/>
          <w:szCs w:val="30"/>
        </w:rPr>
        <w:t>工作</w:t>
      </w:r>
      <w:r>
        <w:rPr>
          <w:rFonts w:hint="eastAsia" w:ascii="仿宋" w:hAnsi="仿宋" w:eastAsia="仿宋" w:cs="仿宋_GB2312"/>
          <w:sz w:val="30"/>
          <w:szCs w:val="30"/>
        </w:rPr>
        <w:fldChar w:fldCharType="end"/>
      </w:r>
      <w:r>
        <w:rPr>
          <w:rFonts w:hint="eastAsia" w:ascii="仿宋" w:hAnsi="仿宋" w:eastAsia="仿宋" w:cs="仿宋_GB2312"/>
          <w:sz w:val="30"/>
          <w:szCs w:val="30"/>
        </w:rPr>
        <w:t>，做好合理的招待安排，按照规定备办接待用餐；加强劳动纪律管理工作：制定考勤制度，严格履行请假手续；建立行政办档案，做到事事有记载，人人可查询。</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2.教务处</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3.政教处</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4.教研室</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ind w:firstLine="600" w:firstLineChars="200"/>
        <w:rPr>
          <w:rFonts w:ascii="仿宋" w:hAnsi="仿宋" w:eastAsia="仿宋" w:cs="仿宋_GB2312"/>
          <w:sz w:val="30"/>
          <w:szCs w:val="30"/>
        </w:rPr>
      </w:pPr>
      <w:r>
        <w:rPr>
          <w:rFonts w:hint="eastAsia" w:ascii="仿宋" w:hAnsi="仿宋" w:eastAsia="仿宋" w:cs="仿宋_GB2312"/>
          <w:sz w:val="30"/>
          <w:szCs w:val="30"/>
        </w:rPr>
        <w:t>5.总务处</w:t>
      </w:r>
    </w:p>
    <w:p>
      <w:pPr>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ind w:firstLine="600" w:firstLineChars="200"/>
        <w:rPr>
          <w:rFonts w:ascii="仿宋" w:hAnsi="仿宋" w:eastAsia="仿宋" w:cs="仿宋_GB2312"/>
          <w:sz w:val="30"/>
          <w:szCs w:val="30"/>
          <w:lang w:val="zh-CN"/>
        </w:rPr>
      </w:pPr>
      <w:r>
        <w:rPr>
          <w:rFonts w:hint="eastAsia" w:ascii="仿宋" w:hAnsi="仿宋" w:eastAsia="仿宋" w:cs="仿宋_GB2312"/>
          <w:sz w:val="30"/>
          <w:szCs w:val="30"/>
        </w:rPr>
        <w:t>6.</w:t>
      </w:r>
      <w:r>
        <w:rPr>
          <w:rFonts w:hint="eastAsia" w:ascii="仿宋" w:hAnsi="仿宋" w:eastAsia="仿宋" w:cs="仿宋_GB2312"/>
          <w:sz w:val="30"/>
          <w:szCs w:val="30"/>
          <w:lang w:val="zh-CN"/>
        </w:rPr>
        <w:t>团委</w:t>
      </w:r>
    </w:p>
    <w:p>
      <w:pPr>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664"/>
        <w:gridCol w:w="1110"/>
        <w:gridCol w:w="2839"/>
        <w:gridCol w:w="3902"/>
        <w:gridCol w:w="728"/>
        <w:gridCol w:w="1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664"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1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83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0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27"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664"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11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83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0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27"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61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645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28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82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1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3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72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2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23,225,024.84</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19,390,307.39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20,058.56</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23,265,688.40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22,543,807.03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90,794.64</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812,676.01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28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827"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283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23,356,483.04</w:t>
            </w:r>
          </w:p>
        </w:tc>
        <w:tc>
          <w:tcPr>
            <w:tcW w:w="3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7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82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23,356,483.04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2022年度决算公开表格02表》</w:t>
      </w:r>
    </w:p>
    <w:tbl>
      <w:tblPr>
        <w:tblW w:w="147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53"/>
        <w:gridCol w:w="240"/>
        <w:gridCol w:w="240"/>
        <w:gridCol w:w="4380"/>
        <w:gridCol w:w="1920"/>
        <w:gridCol w:w="1905"/>
        <w:gridCol w:w="960"/>
        <w:gridCol w:w="900"/>
        <w:gridCol w:w="795"/>
        <w:gridCol w:w="79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723"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53"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2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113"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192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0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9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1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9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9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9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3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438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9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8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8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1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9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9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3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1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23,265,688.40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23,245,629.84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20,058.56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19,678,026.12</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19,657,967.56</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1,363,034.69</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1,363,034.69</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13,000.00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1,350,034.69</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1,350,034.69</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18,314,991.43</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18,294,932.87</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264,150.00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264,150.00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2050204</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高中教育</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15,963,280.56</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15,943,222.00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2,087,560.87</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2,087,560.87</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1,554,575.44</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1,554,575.44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1,554,575.44</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1,554,575.44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1,554,575.44</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1,554,575.44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695,607.84</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695,607.84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695,607.84</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695,607.84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695,607.84</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695,607.84</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4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9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96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723"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2022年度决算公开表格03表》</w:t>
      </w:r>
    </w:p>
    <w:tbl>
      <w:tblPr>
        <w:tblW w:w="140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5"/>
        <w:gridCol w:w="327"/>
        <w:gridCol w:w="334"/>
        <w:gridCol w:w="3910"/>
        <w:gridCol w:w="2207"/>
        <w:gridCol w:w="2055"/>
        <w:gridCol w:w="1365"/>
        <w:gridCol w:w="1245"/>
        <w:gridCol w:w="11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33"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5"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2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07" w:type="dxa"/>
            <w:tcBorders>
              <w:top w:val="nil"/>
              <w:left w:val="nil"/>
              <w:bottom w:val="nil"/>
              <w:right w:val="nil"/>
            </w:tcBorders>
            <w:shd w:val="clear"/>
            <w:noWrap/>
            <w:vAlign w:val="center"/>
          </w:tcPr>
          <w:p>
            <w:pPr>
              <w:rPr>
                <w:rFonts w:hint="default" w:ascii="Arial" w:hAnsi="Arial" w:cs="Arial"/>
                <w:i w:val="0"/>
                <w:iCs w:val="0"/>
                <w:color w:val="000000"/>
                <w:sz w:val="20"/>
                <w:szCs w:val="20"/>
                <w:u w:val="none"/>
              </w:rPr>
            </w:pPr>
          </w:p>
        </w:tc>
        <w:tc>
          <w:tcPr>
            <w:tcW w:w="205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96" w:type="dxa"/>
            <w:gridSpan w:val="4"/>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220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5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6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220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20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3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2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1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1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91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20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0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22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0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3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89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22,543,807.03</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22,543,807.03</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19,390,307.39</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19,390,307.39</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1,363,034.69</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1,363,034.69</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13,000.00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13,000.00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1,350,034.69</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1,350,034.69</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18,027,272.70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18,027,272.70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264,150.00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264,150.00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2050204</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高中教育</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15,675,561.83</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15,675,561.83</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2,087,560.87</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2,087,560.87</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39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22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2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36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12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33"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2022年度决算公开表格04表》</w:t>
      </w:r>
    </w:p>
    <w:tbl>
      <w:tblPr>
        <w:tblW w:w="146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03"/>
        <w:gridCol w:w="465"/>
        <w:gridCol w:w="1680"/>
        <w:gridCol w:w="3450"/>
        <w:gridCol w:w="510"/>
        <w:gridCol w:w="1650"/>
        <w:gridCol w:w="1680"/>
        <w:gridCol w:w="124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678"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03"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6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45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40"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68"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45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1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40"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34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33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0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5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2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7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320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6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23,225,024.84</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19,286,963.39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19,286,963.39</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23,245,629.84</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22,440,463.03</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22,419,858.03</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2,669.64</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807,836.45</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807,836.45</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2,669.64</w:t>
            </w:r>
          </w:p>
        </w:tc>
        <w:tc>
          <w:tcPr>
            <w:tcW w:w="345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45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45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6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9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23,248,299.48</w:t>
            </w:r>
          </w:p>
        </w:tc>
        <w:tc>
          <w:tcPr>
            <w:tcW w:w="3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23,248,299.48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23,227,694.48</w:t>
            </w:r>
          </w:p>
        </w:tc>
        <w:tc>
          <w:tcPr>
            <w:tcW w:w="12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7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883"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795"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ind w:left="0" w:leftChars="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2022年度决算公开表格05表》</w:t>
      </w:r>
    </w:p>
    <w:tbl>
      <w:tblPr>
        <w:tblW w:w="13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416"/>
        <w:gridCol w:w="222"/>
        <w:gridCol w:w="222"/>
        <w:gridCol w:w="3956"/>
        <w:gridCol w:w="1897"/>
        <w:gridCol w:w="180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3328"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51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8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22,419,858.03</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22,419,858.03</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19,286,963.39</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19,286,963.39</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1,363,034.69</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1,363,034.69</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13,000.00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1,350,034.69</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1,350,034.69</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17,923,928.70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17,923,928.70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264,150.00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264,150.00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2050204</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高中教育</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15,572,217.83</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15,572,217.83</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2,087,560.87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2,087,560.87</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8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328"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2022年度决算公开表格06表》</w:t>
      </w:r>
    </w:p>
    <w:tbl>
      <w:tblPr>
        <w:tblW w:w="146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48"/>
        <w:gridCol w:w="2819"/>
        <w:gridCol w:w="1846"/>
        <w:gridCol w:w="870"/>
        <w:gridCol w:w="1815"/>
        <w:gridCol w:w="1815"/>
        <w:gridCol w:w="840"/>
        <w:gridCol w:w="217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633"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8"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81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780"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13" w:type="dxa"/>
            <w:gridSpan w:val="3"/>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8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780" w:type="dxa"/>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51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912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8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8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1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4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18,273,114.97</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1,742,135.20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12,472,260.33</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579,307.88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289,687.00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2,112,005.00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8,350.00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1,121,060.80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136,316.84</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30,516.00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694,959.84</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120,000.00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34,180.00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1,257,829.00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184,709.98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48,700.00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2,404,607.86</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10,612.50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2,180,607.86</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211,500.00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25,710.00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224,000.00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57,434.00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2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28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4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7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1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4,811.00</w:t>
            </w:r>
          </w:p>
        </w:tc>
        <w:tc>
          <w:tcPr>
            <w:tcW w:w="84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7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667"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18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20,677,722.83</w:t>
            </w:r>
          </w:p>
        </w:tc>
        <w:tc>
          <w:tcPr>
            <w:tcW w:w="751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16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1,742,135.20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33" w:type="dxa"/>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2022年度决算公开表格07》</w:t>
      </w:r>
    </w:p>
    <w:tbl>
      <w:tblPr>
        <w:tblW w:w="146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6"/>
        <w:gridCol w:w="327"/>
        <w:gridCol w:w="484"/>
        <w:gridCol w:w="4481"/>
        <w:gridCol w:w="1815"/>
        <w:gridCol w:w="1635"/>
        <w:gridCol w:w="1500"/>
        <w:gridCol w:w="1500"/>
        <w:gridCol w:w="121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663"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2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48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618"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18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61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421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448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5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2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8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8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61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3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61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20,605.00</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4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4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44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8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5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20,605.00</w:t>
            </w:r>
          </w:p>
        </w:tc>
        <w:tc>
          <w:tcPr>
            <w:tcW w:w="121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48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48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48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48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48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63"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0" w:leftChars="0" w:firstLine="0" w:firstLineChars="0"/>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2022年度决算公开表格08表》，因本单无相关数据，故本表无数据。</w:t>
      </w:r>
    </w:p>
    <w:tbl>
      <w:tblPr>
        <w:tblW w:w="14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21"/>
        <w:gridCol w:w="622"/>
        <w:gridCol w:w="814"/>
        <w:gridCol w:w="3235"/>
        <w:gridCol w:w="2681"/>
        <w:gridCol w:w="2935"/>
        <w:gridCol w:w="3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92"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21"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6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1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68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9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8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92"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部门：甘肃省东乡族自治县第三中学</w:t>
            </w:r>
          </w:p>
        </w:tc>
        <w:tc>
          <w:tcPr>
            <w:tcW w:w="268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9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84"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9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890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23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68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9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32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68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9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26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9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32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9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3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3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3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3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3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57"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323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6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2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92"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13"/>
        <w:ind w:left="1270" w:firstLine="0" w:firstLineChars="0"/>
        <w:jc w:val="left"/>
        <w:rPr>
          <w:rFonts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本部门（本单位）收入总计23265688.4元，支出总计22543807.03元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与2021年决算数相比，收入增加</w:t>
      </w:r>
      <w:r>
        <w:rPr>
          <w:rFonts w:hint="eastAsia" w:ascii="仿宋_GB2312" w:hAnsi="仿宋_GB2312" w:eastAsia="仿宋_GB2312" w:cs="仿宋_GB2312"/>
          <w:color w:val="000000"/>
          <w:sz w:val="32"/>
          <w:szCs w:val="32"/>
          <w:lang w:val="en-US" w:eastAsia="zh-CN"/>
        </w:rPr>
        <w:t>2972492.49</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14.6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支出总计22543807.03元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与2021年决算数相比增加</w:t>
      </w:r>
      <w:r>
        <w:rPr>
          <w:rFonts w:hint="eastAsia" w:ascii="仿宋_GB2312" w:hAnsi="仿宋_GB2312" w:eastAsia="仿宋_GB2312" w:cs="仿宋_GB2312"/>
          <w:color w:val="000000"/>
          <w:sz w:val="32"/>
          <w:szCs w:val="32"/>
          <w:lang w:val="en-US" w:eastAsia="zh-CN"/>
        </w:rPr>
        <w:t>2337087.4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11.6</w:t>
      </w:r>
      <w:r>
        <w:rPr>
          <w:rFonts w:hint="eastAsia" w:ascii="仿宋_GB2312" w:hAnsi="仿宋_GB2312" w:eastAsia="仿宋_GB2312" w:cs="仿宋_GB2312"/>
          <w:color w:val="000000"/>
          <w:sz w:val="32"/>
          <w:szCs w:val="32"/>
        </w:rPr>
        <w:t>%。主要原因是2022年单位</w:t>
      </w:r>
      <w:r>
        <w:rPr>
          <w:rFonts w:hint="eastAsia" w:ascii="仿宋_GB2312" w:hAnsi="仿宋_GB2312" w:eastAsia="仿宋_GB2312" w:cs="仿宋_GB2312"/>
          <w:color w:val="000000"/>
          <w:sz w:val="32"/>
          <w:szCs w:val="32"/>
          <w:lang w:val="en-US" w:eastAsia="zh-CN"/>
        </w:rPr>
        <w:t>教师人数和学生数</w:t>
      </w:r>
      <w:r>
        <w:rPr>
          <w:rFonts w:hint="eastAsia" w:ascii="仿宋_GB2312" w:hAnsi="仿宋_GB2312" w:eastAsia="仿宋_GB2312" w:cs="仿宋_GB2312"/>
          <w:color w:val="000000"/>
          <w:sz w:val="32"/>
          <w:szCs w:val="32"/>
        </w:rPr>
        <w:t>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23265688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rPr>
        <w:t>23245629.84</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99.9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其他收入20058.56元，占0.1</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22543807.03</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22543807.03</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23245629.84</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3208865.93</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%。主要原因是本年度单位</w:t>
      </w:r>
      <w:r>
        <w:rPr>
          <w:rFonts w:hint="eastAsia" w:ascii="仿宋_GB2312" w:hAnsi="仿宋_GB2312" w:eastAsia="仿宋_GB2312" w:cs="仿宋_GB2312"/>
          <w:color w:val="000000"/>
          <w:sz w:val="32"/>
          <w:szCs w:val="32"/>
          <w:lang w:val="en-US" w:eastAsia="zh-CN"/>
        </w:rPr>
        <w:t>教师人数和学生数</w:t>
      </w:r>
      <w:r>
        <w:rPr>
          <w:rFonts w:hint="eastAsia" w:ascii="仿宋_GB2312" w:hAnsi="仿宋_GB2312" w:eastAsia="仿宋_GB2312" w:cs="仿宋_GB2312"/>
          <w:color w:val="000000"/>
          <w:sz w:val="32"/>
          <w:szCs w:val="32"/>
        </w:rPr>
        <w:t>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sz w:val="32"/>
          <w:szCs w:val="32"/>
        </w:rPr>
        <w:t>22440463.03</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2413960.4</w:t>
      </w:r>
      <w:r>
        <w:rPr>
          <w:rFonts w:hint="eastAsia" w:ascii="仿宋_GB2312" w:hAnsi="仿宋_GB2312" w:eastAsia="仿宋_GB2312" w:cs="仿宋_GB2312"/>
          <w:color w:val="000000"/>
          <w:sz w:val="32"/>
          <w:szCs w:val="32"/>
        </w:rPr>
        <w:t>元，增长12.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%。主要原因是本年度单位</w:t>
      </w:r>
      <w:r>
        <w:rPr>
          <w:rFonts w:hint="eastAsia" w:ascii="仿宋_GB2312" w:hAnsi="仿宋_GB2312" w:eastAsia="仿宋_GB2312" w:cs="仿宋_GB2312"/>
          <w:color w:val="000000"/>
          <w:sz w:val="32"/>
          <w:szCs w:val="32"/>
          <w:lang w:val="en-US" w:eastAsia="zh-CN"/>
        </w:rPr>
        <w:t>教师人数和学生数</w:t>
      </w:r>
      <w:r>
        <w:rPr>
          <w:rFonts w:hint="eastAsia" w:ascii="仿宋_GB2312" w:hAnsi="仿宋_GB2312" w:eastAsia="仿宋_GB2312" w:cs="仿宋_GB2312"/>
          <w:color w:val="000000"/>
          <w:sz w:val="32"/>
          <w:szCs w:val="32"/>
        </w:rPr>
        <w:t>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22419858.03</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2393355.4</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rPr>
        <w:t>本年度单位</w:t>
      </w:r>
      <w:r>
        <w:rPr>
          <w:rFonts w:hint="eastAsia" w:ascii="仿宋_GB2312" w:hAnsi="仿宋_GB2312" w:eastAsia="仿宋_GB2312" w:cs="仿宋_GB2312"/>
          <w:color w:val="FF0000"/>
          <w:sz w:val="32"/>
          <w:szCs w:val="32"/>
          <w:lang w:val="en-US" w:eastAsia="zh-CN"/>
        </w:rPr>
        <w:t>教师人数和学生数</w:t>
      </w:r>
      <w:r>
        <w:rPr>
          <w:rFonts w:hint="eastAsia" w:ascii="仿宋_GB2312" w:hAnsi="仿宋_GB2312" w:eastAsia="仿宋_GB2312" w:cs="仿宋_GB2312"/>
          <w:color w:val="FF0000"/>
          <w:sz w:val="32"/>
          <w:szCs w:val="32"/>
        </w:rPr>
        <w:t>增加</w:t>
      </w:r>
      <w:r>
        <w:rPr>
          <w:rFonts w:hint="eastAsia" w:ascii="仿宋_GB2312" w:hAnsi="仿宋_GB2312" w:eastAsia="仿宋_GB2312" w:cs="仿宋_GB2312"/>
          <w:color w:val="FF0000"/>
          <w:sz w:val="32"/>
          <w:szCs w:val="32"/>
          <w:lang w:eastAsia="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ascii="仿宋_GB2312" w:hAnsi="黑体" w:eastAsia="仿宋_GB2312"/>
          <w:sz w:val="32"/>
          <w:szCs w:val="32"/>
        </w:rPr>
        <w:t>57434</w:t>
      </w:r>
      <w:r>
        <w:rPr>
          <w:rFonts w:hint="eastAsia" w:ascii="仿宋_GB2312" w:hAnsi="仿宋_GB2312" w:eastAsia="仿宋_GB2312" w:cs="仿宋_GB2312"/>
          <w:sz w:val="32"/>
          <w:szCs w:val="32"/>
          <w:lang w:val="zh-CN"/>
        </w:rPr>
        <w:t>元,支出决算为57434元,完成年初预算的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auto"/>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w:t>
      </w:r>
      <w:r>
        <w:rPr>
          <w:rFonts w:hint="eastAsia" w:ascii="仿宋_GB2312" w:hAnsi="仿宋_GB2312" w:eastAsia="仿宋_GB2312" w:cs="仿宋_GB2312"/>
          <w:b/>
          <w:sz w:val="32"/>
          <w:szCs w:val="32"/>
          <w:lang w:val="zh-CN"/>
        </w:rPr>
        <w:t>育支</w:t>
      </w:r>
      <w:r>
        <w:rPr>
          <w:rFonts w:ascii="仿宋_GB2312" w:hAnsi="宋体" w:eastAsia="仿宋_GB2312"/>
          <w:b/>
          <w:bCs/>
          <w:sz w:val="32"/>
          <w:szCs w:val="32"/>
        </w:rPr>
        <w:t>出</w:t>
      </w:r>
      <w:r>
        <w:rPr>
          <w:rFonts w:hint="eastAsia" w:ascii="仿宋_GB2312" w:hAnsi="仿宋_GB2312" w:eastAsia="仿宋_GB2312" w:cs="仿宋_GB2312"/>
          <w:sz w:val="32"/>
          <w:szCs w:val="32"/>
          <w:lang w:val="zh-CN"/>
        </w:rPr>
        <w:t>年初预算数为</w:t>
      </w:r>
      <w:r>
        <w:rPr>
          <w:rFonts w:hint="eastAsia" w:ascii="仿宋_GB2312" w:hAnsi="宋体" w:eastAsia="仿宋_GB2312"/>
          <w:sz w:val="32"/>
          <w:szCs w:val="32"/>
        </w:rPr>
        <w:t>14219749元</w:t>
      </w:r>
      <w:r>
        <w:rPr>
          <w:rFonts w:hint="eastAsia" w:ascii="仿宋_GB2312" w:hAnsi="宋体" w:eastAsia="仿宋_GB2312"/>
          <w:sz w:val="32"/>
          <w:szCs w:val="32"/>
          <w:lang w:eastAsia="zh-CN"/>
        </w:rPr>
        <w:t>，</w:t>
      </w:r>
      <w:r>
        <w:rPr>
          <w:rFonts w:hint="eastAsia" w:ascii="仿宋_GB2312" w:hAnsi="仿宋_GB2312" w:eastAsia="仿宋_GB2312" w:cs="仿宋_GB2312"/>
          <w:sz w:val="32"/>
          <w:szCs w:val="32"/>
          <w:lang w:val="zh-CN"/>
        </w:rPr>
        <w:t>支出决算为19286963.39元,完成年初预算的</w:t>
      </w:r>
      <w:r>
        <w:rPr>
          <w:rFonts w:hint="eastAsia" w:ascii="仿宋_GB2312" w:hAnsi="仿宋_GB2312" w:eastAsia="仿宋_GB2312" w:cs="仿宋_GB2312"/>
          <w:sz w:val="32"/>
          <w:szCs w:val="32"/>
          <w:lang w:val="en-US" w:eastAsia="zh-CN"/>
        </w:rPr>
        <w:t>135.64</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val="zh-CN"/>
        </w:rPr>
        <w:t>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2022年补发了2021年业绩考核奖</w:t>
      </w:r>
      <w:r>
        <w:rPr>
          <w:rFonts w:hint="eastAsia" w:ascii="仿宋_GB2312" w:hAnsi="仿宋_GB2312" w:eastAsia="仿宋_GB2312" w:cs="仿宋_GB2312"/>
          <w:color w:val="auto"/>
          <w:sz w:val="32"/>
          <w:szCs w:val="32"/>
          <w:lang w:val="zh-CN"/>
        </w:rPr>
        <w:t>。</w:t>
      </w:r>
    </w:p>
    <w:p>
      <w:pPr>
        <w:ind w:firstLine="640" w:firstLineChars="200"/>
        <w:jc w:val="left"/>
        <w:rPr>
          <w:rFonts w:hint="eastAsia" w:ascii="仿宋_GB2312" w:hAnsi="仿宋_GB2312" w:eastAsia="仿宋_GB2312" w:cs="仿宋_GB2312"/>
          <w:color w:val="FF0000"/>
          <w:sz w:val="32"/>
          <w:szCs w:val="32"/>
          <w:lang w:val="zh-CN" w:eastAsia="zh-CN"/>
        </w:rPr>
      </w:pP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ascii="仿宋_GB2312" w:hAnsi="黑体" w:eastAsia="仿宋_GB2312"/>
          <w:sz w:val="32"/>
          <w:szCs w:val="32"/>
        </w:rPr>
        <w:t>1782048.28</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1121060.8</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62.91</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宋体" w:eastAsia="仿宋_GB2312"/>
          <w:sz w:val="32"/>
          <w:szCs w:val="32"/>
        </w:rPr>
        <w:t>730031.37</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694959.84</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95.20</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5.住房保障支出</w:t>
      </w:r>
      <w:r>
        <w:rPr>
          <w:rFonts w:hint="eastAsia" w:ascii="仿宋_GB2312" w:hAnsi="仿宋_GB2312" w:eastAsia="仿宋_GB2312" w:cs="仿宋_GB2312"/>
          <w:sz w:val="32"/>
          <w:szCs w:val="32"/>
          <w:lang w:val="zh-CN"/>
        </w:rPr>
        <w:t>年初预算数为</w:t>
      </w:r>
      <w:r>
        <w:rPr>
          <w:rFonts w:hint="eastAsia" w:ascii="仿宋_GB2312" w:hAnsi="宋体" w:eastAsia="仿宋_GB2312"/>
          <w:sz w:val="32"/>
          <w:szCs w:val="32"/>
        </w:rPr>
        <w:t>1320035.76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1257829</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95.29</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22419858.03</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20677722.83</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2879559.31</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lang w:val="en-US" w:eastAsia="zh-CN"/>
        </w:rPr>
        <w:t>16.18</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教师人数</w:t>
      </w:r>
      <w:r>
        <w:rPr>
          <w:rFonts w:hint="eastAsia" w:ascii="仿宋_GB2312" w:hAnsi="仿宋_GB2312" w:eastAsia="仿宋_GB2312" w:cs="仿宋_GB2312"/>
          <w:color w:val="FF0000"/>
          <w:sz w:val="32"/>
          <w:szCs w:val="32"/>
          <w:lang w:val="zh-CN"/>
        </w:rPr>
        <w:t>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主要包括基本工资12472260.33元，津贴补贴615000元，奖金2112005元，社会保障缴费（养老保险）1121060.8元，医疗补助缴费694959.84元，住房公积金缴费1257829元，对个人和家庭的补助2404607.86元。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公用经费1742135.2</w:t>
      </w:r>
      <w:r>
        <w:rPr>
          <w:rFonts w:hint="eastAsia" w:ascii="仿宋_GB2312" w:hAnsi="仿宋_GB2312" w:eastAsia="仿宋_GB2312" w:cs="仿宋_GB2312"/>
          <w:sz w:val="32"/>
          <w:szCs w:val="32"/>
          <w:lang w:val="zh-CN"/>
        </w:rPr>
        <w:t>元,较上年决算数</w:t>
      </w:r>
      <w:r>
        <w:rPr>
          <w:rFonts w:hint="eastAsia" w:ascii="仿宋_GB2312" w:hAnsi="仿宋_GB2312" w:eastAsia="仿宋_GB2312" w:cs="仿宋_GB2312"/>
          <w:sz w:val="32"/>
          <w:szCs w:val="32"/>
          <w:lang w:val="en-US" w:eastAsia="zh-CN"/>
        </w:rPr>
        <w:t>减少486203.91</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zh-CN"/>
        </w:rPr>
        <w:t>加</w:t>
      </w:r>
      <w:r>
        <w:rPr>
          <w:rFonts w:hint="eastAsia" w:ascii="仿宋_GB2312" w:hAnsi="仿宋_GB2312" w:eastAsia="仿宋_GB2312" w:cs="仿宋_GB2312"/>
          <w:sz w:val="32"/>
          <w:szCs w:val="32"/>
          <w:lang w:val="en-US" w:eastAsia="zh-CN"/>
        </w:rPr>
        <w:t>21.82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部分经费结转至下年度支出</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主要包括办公费579307.88元，印刷费289687元，</w:t>
      </w:r>
      <w:r>
        <w:rPr>
          <w:rFonts w:hint="eastAsia" w:ascii="仿宋_GB2312" w:hAnsi="仿宋_GB2312" w:eastAsia="仿宋_GB2312" w:cs="仿宋_GB2312"/>
          <w:color w:val="FF0000"/>
          <w:sz w:val="32"/>
          <w:szCs w:val="32"/>
          <w:lang w:val="en-US" w:eastAsia="zh-CN"/>
        </w:rPr>
        <w:t>维修</w:t>
      </w:r>
      <w:r>
        <w:rPr>
          <w:rFonts w:hint="eastAsia" w:ascii="仿宋_GB2312" w:hAnsi="仿宋_GB2312" w:eastAsia="仿宋_GB2312" w:cs="仿宋_GB2312"/>
          <w:color w:val="FF0000"/>
          <w:sz w:val="32"/>
          <w:szCs w:val="32"/>
          <w:lang w:val="zh-CN"/>
        </w:rPr>
        <w:t>费184709.98元，电费136316.84元、</w:t>
      </w:r>
      <w:r>
        <w:rPr>
          <w:rFonts w:hint="eastAsia" w:ascii="仿宋_GB2312" w:hAnsi="仿宋_GB2312" w:eastAsia="仿宋_GB2312" w:cs="仿宋_GB2312"/>
          <w:color w:val="FF0000"/>
          <w:sz w:val="32"/>
          <w:szCs w:val="32"/>
          <w:lang w:val="en-US" w:eastAsia="zh-CN"/>
        </w:rPr>
        <w:t>取暖费120000元、租赁</w:t>
      </w:r>
      <w:r>
        <w:rPr>
          <w:rFonts w:hint="eastAsia" w:ascii="仿宋_GB2312" w:hAnsi="仿宋_GB2312" w:eastAsia="仿宋_GB2312" w:cs="仿宋_GB2312"/>
          <w:color w:val="FF0000"/>
          <w:sz w:val="32"/>
          <w:szCs w:val="32"/>
          <w:lang w:val="zh-CN"/>
        </w:rPr>
        <w:t>费48700元，差旅费34180元，</w:t>
      </w:r>
      <w:r>
        <w:rPr>
          <w:rFonts w:hint="eastAsia" w:ascii="仿宋_GB2312" w:hAnsi="仿宋_GB2312" w:eastAsia="仿宋_GB2312" w:cs="仿宋_GB2312"/>
          <w:color w:val="FF0000"/>
          <w:sz w:val="32"/>
          <w:szCs w:val="32"/>
          <w:lang w:val="en-US" w:eastAsia="zh-CN"/>
        </w:rPr>
        <w:t>培训费10612.5元、劳务费211500元、委托业务费25710元、</w:t>
      </w:r>
      <w:r>
        <w:rPr>
          <w:rFonts w:hint="eastAsia" w:ascii="仿宋_GB2312" w:hAnsi="仿宋_GB2312" w:eastAsia="仿宋_GB2312" w:cs="仿宋_GB2312"/>
          <w:color w:val="FF0000"/>
          <w:sz w:val="32"/>
          <w:szCs w:val="32"/>
          <w:lang w:val="zh-CN"/>
        </w:rPr>
        <w:t>工会经费57434元。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43250</w:t>
      </w:r>
      <w:r>
        <w:rPr>
          <w:rFonts w:hint="eastAsia" w:ascii="仿宋_GB2312" w:hAnsi="仿宋_GB2312" w:eastAsia="仿宋_GB2312" w:cs="仿宋_GB2312"/>
          <w:sz w:val="32"/>
          <w:szCs w:val="32"/>
          <w:lang w:val="zh-CN"/>
        </w:rPr>
        <w:t>元,其中：政府采购</w:t>
      </w:r>
      <w:r>
        <w:rPr>
          <w:rFonts w:hint="eastAsia" w:ascii="仿宋_GB2312" w:hAnsi="仿宋_GB2312" w:eastAsia="仿宋_GB2312" w:cs="仿宋_GB2312"/>
          <w:sz w:val="32"/>
          <w:szCs w:val="32"/>
          <w:lang w:val="en-US" w:eastAsia="zh-CN"/>
        </w:rPr>
        <w:t>货物</w:t>
      </w:r>
      <w:r>
        <w:rPr>
          <w:rFonts w:hint="eastAsia" w:ascii="仿宋_GB2312" w:hAnsi="仿宋_GB2312" w:eastAsia="仿宋_GB2312" w:cs="仿宋_GB2312"/>
          <w:sz w:val="32"/>
          <w:szCs w:val="32"/>
          <w:lang w:val="zh-CN"/>
        </w:rPr>
        <w:t>支出</w:t>
      </w:r>
      <w:r>
        <w:rPr>
          <w:rFonts w:hint="eastAsia" w:ascii="仿宋_GB2312" w:hAnsi="仿宋_GB2312" w:eastAsia="仿宋_GB2312" w:cs="仿宋_GB2312"/>
          <w:sz w:val="32"/>
          <w:szCs w:val="32"/>
          <w:lang w:val="en-US" w:eastAsia="zh-CN"/>
        </w:rPr>
        <w:t>43250</w:t>
      </w:r>
      <w:r>
        <w:rPr>
          <w:rFonts w:hint="eastAsia" w:ascii="仿宋_GB2312" w:hAnsi="仿宋_GB2312" w:eastAsia="仿宋_GB2312" w:cs="仿宋_GB2312"/>
          <w:sz w:val="32"/>
          <w:szCs w:val="32"/>
          <w:lang w:val="zh-CN"/>
        </w:rPr>
        <w:t>元。其中：授予小微企业合同金额</w:t>
      </w:r>
      <w:r>
        <w:rPr>
          <w:rFonts w:hint="eastAsia" w:ascii="仿宋_GB2312" w:hAnsi="仿宋_GB2312" w:eastAsia="仿宋_GB2312" w:cs="仿宋_GB2312"/>
          <w:sz w:val="32"/>
          <w:szCs w:val="32"/>
          <w:lang w:val="en-US" w:eastAsia="zh-CN"/>
        </w:rPr>
        <w:t>43250</w:t>
      </w:r>
      <w:r>
        <w:rPr>
          <w:rFonts w:hint="eastAsia" w:ascii="仿宋_GB2312" w:hAnsi="仿宋_GB2312" w:eastAsia="仿宋_GB2312" w:cs="仿宋_GB2312"/>
          <w:sz w:val="32"/>
          <w:szCs w:val="32"/>
          <w:lang w:val="zh-CN"/>
        </w:rPr>
        <w:t>元,占政府采购支出总额的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00" w:firstLineChars="200"/>
        <w:rPr>
          <w:rFonts w:hint="eastAsia" w:ascii="仿宋" w:hAnsi="仿宋" w:eastAsia="仿宋"/>
          <w:sz w:val="30"/>
          <w:szCs w:val="30"/>
        </w:rPr>
      </w:pPr>
      <w:r>
        <w:rPr>
          <w:rFonts w:hint="eastAsia" w:ascii="仿宋" w:hAnsi="仿宋" w:eastAsia="仿宋"/>
          <w:sz w:val="30"/>
          <w:szCs w:val="30"/>
        </w:rPr>
        <w:t>截至202</w:t>
      </w:r>
      <w:r>
        <w:rPr>
          <w:rFonts w:hint="eastAsia" w:ascii="仿宋" w:hAnsi="仿宋" w:eastAsia="仿宋"/>
          <w:sz w:val="30"/>
          <w:szCs w:val="30"/>
          <w:lang w:val="en-US" w:eastAsia="zh-CN"/>
        </w:rPr>
        <w:t>2</w:t>
      </w:r>
      <w:r>
        <w:rPr>
          <w:rFonts w:hint="eastAsia" w:ascii="仿宋" w:hAnsi="仿宋" w:eastAsia="仿宋"/>
          <w:sz w:val="30"/>
          <w:szCs w:val="30"/>
        </w:rPr>
        <w:t>年12月31日</w:t>
      </w:r>
      <w:r>
        <w:rPr>
          <w:rFonts w:ascii="仿宋" w:hAnsi="仿宋" w:eastAsia="仿宋"/>
          <w:sz w:val="30"/>
          <w:szCs w:val="30"/>
        </w:rPr>
        <w:t>，本单位共有车辆</w:t>
      </w:r>
      <w:r>
        <w:rPr>
          <w:rFonts w:hint="eastAsia" w:ascii="仿宋" w:hAnsi="仿宋" w:eastAsia="仿宋"/>
          <w:sz w:val="30"/>
          <w:szCs w:val="30"/>
        </w:rPr>
        <w:t>0辆。单价50万元</w:t>
      </w:r>
      <w:r>
        <w:rPr>
          <w:rFonts w:ascii="仿宋" w:hAnsi="仿宋" w:eastAsia="仿宋"/>
          <w:sz w:val="30"/>
          <w:szCs w:val="30"/>
        </w:rPr>
        <w:t>以上</w:t>
      </w:r>
      <w:r>
        <w:rPr>
          <w:rFonts w:hint="eastAsia" w:ascii="仿宋" w:hAnsi="仿宋" w:eastAsia="仿宋"/>
          <w:sz w:val="30"/>
          <w:szCs w:val="30"/>
        </w:rPr>
        <w:t>通用设备0台</w:t>
      </w:r>
      <w:r>
        <w:rPr>
          <w:rFonts w:ascii="仿宋" w:hAnsi="仿宋" w:eastAsia="仿宋"/>
          <w:sz w:val="30"/>
          <w:szCs w:val="30"/>
        </w:rPr>
        <w:t>（套）</w:t>
      </w:r>
      <w:r>
        <w:rPr>
          <w:rFonts w:hint="eastAsia" w:ascii="仿宋" w:hAnsi="仿宋" w:eastAsia="仿宋"/>
          <w:sz w:val="30"/>
          <w:szCs w:val="30"/>
        </w:rPr>
        <w:t>，</w:t>
      </w:r>
      <w:r>
        <w:rPr>
          <w:rFonts w:ascii="仿宋" w:hAnsi="仿宋" w:eastAsia="仿宋"/>
          <w:sz w:val="30"/>
          <w:szCs w:val="30"/>
        </w:rPr>
        <w:t>单价</w:t>
      </w:r>
      <w:r>
        <w:rPr>
          <w:rFonts w:hint="eastAsia" w:ascii="仿宋" w:hAnsi="仿宋" w:eastAsia="仿宋"/>
          <w:sz w:val="30"/>
          <w:szCs w:val="30"/>
        </w:rPr>
        <w:t>100万元</w:t>
      </w:r>
      <w:r>
        <w:rPr>
          <w:rFonts w:ascii="仿宋" w:hAnsi="仿宋" w:eastAsia="仿宋"/>
          <w:sz w:val="30"/>
          <w:szCs w:val="30"/>
        </w:rPr>
        <w:t>以上</w:t>
      </w:r>
      <w:r>
        <w:rPr>
          <w:rFonts w:hint="eastAsia" w:ascii="仿宋" w:hAnsi="仿宋" w:eastAsia="仿宋"/>
          <w:sz w:val="30"/>
          <w:szCs w:val="30"/>
        </w:rPr>
        <w:t>专用</w:t>
      </w:r>
      <w:r>
        <w:rPr>
          <w:rFonts w:ascii="仿宋" w:hAnsi="仿宋" w:eastAsia="仿宋"/>
          <w:sz w:val="30"/>
          <w:szCs w:val="30"/>
        </w:rPr>
        <w:t>设备</w:t>
      </w:r>
      <w:r>
        <w:rPr>
          <w:rFonts w:hint="eastAsia" w:ascii="仿宋" w:hAnsi="仿宋" w:eastAsia="仿宋"/>
          <w:sz w:val="30"/>
          <w:szCs w:val="30"/>
        </w:rPr>
        <w:t>0台</w:t>
      </w:r>
      <w:r>
        <w:rPr>
          <w:rFonts w:ascii="仿宋" w:hAnsi="仿宋" w:eastAsia="仿宋"/>
          <w:sz w:val="30"/>
          <w:szCs w:val="30"/>
        </w:rPr>
        <w:t>（套）。</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2022年度政府性基金预算财政拨款年初结转结余0万元，本年收入20605元，本年支出20605元，年末结转和结余0</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00" w:firstLineChars="200"/>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年度本单位因公出国（境）共计</w:t>
      </w:r>
      <w:r>
        <w:rPr>
          <w:rFonts w:ascii="仿宋" w:hAnsi="仿宋" w:eastAsia="仿宋"/>
          <w:sz w:val="30"/>
          <w:szCs w:val="30"/>
        </w:rPr>
        <w:t>0</w:t>
      </w:r>
      <w:r>
        <w:rPr>
          <w:rFonts w:hint="eastAsia" w:ascii="仿宋" w:hAnsi="仿宋" w:eastAsia="仿宋"/>
          <w:sz w:val="30"/>
          <w:szCs w:val="30"/>
        </w:rPr>
        <w:t>个团组。2021年度本单位人均接待费</w:t>
      </w:r>
      <w:r>
        <w:rPr>
          <w:rFonts w:ascii="仿宋" w:hAnsi="仿宋" w:eastAsia="仿宋"/>
          <w:sz w:val="30"/>
          <w:szCs w:val="30"/>
        </w:rPr>
        <w:t>0</w:t>
      </w:r>
      <w:r>
        <w:rPr>
          <w:rFonts w:hint="eastAsia" w:ascii="仿宋" w:hAnsi="仿宋" w:eastAsia="仿宋"/>
          <w:sz w:val="30"/>
          <w:szCs w:val="30"/>
        </w:rPr>
        <w:t>元，车均购置费</w:t>
      </w:r>
      <w:r>
        <w:rPr>
          <w:rFonts w:ascii="仿宋" w:hAnsi="仿宋" w:eastAsia="仿宋"/>
          <w:sz w:val="30"/>
          <w:szCs w:val="30"/>
        </w:rPr>
        <w:t>0</w:t>
      </w:r>
      <w:r>
        <w:rPr>
          <w:rFonts w:hint="eastAsia" w:ascii="仿宋" w:hAnsi="仿宋" w:eastAsia="仿宋"/>
          <w:sz w:val="30"/>
          <w:szCs w:val="30"/>
        </w:rPr>
        <w:t>元，车均维护费</w:t>
      </w:r>
      <w:r>
        <w:rPr>
          <w:rFonts w:ascii="仿宋" w:hAnsi="仿宋" w:eastAsia="仿宋"/>
          <w:sz w:val="30"/>
          <w:szCs w:val="30"/>
        </w:rPr>
        <w:t>0</w:t>
      </w:r>
      <w:r>
        <w:rPr>
          <w:rFonts w:hint="eastAsia" w:ascii="仿宋" w:hAnsi="仿宋" w:eastAsia="仿宋"/>
          <w:sz w:val="30"/>
          <w:szCs w:val="30"/>
        </w:rPr>
        <w:t>元。</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w:t>
      </w:r>
      <w:r>
        <w:rPr>
          <w:rFonts w:hint="eastAsia" w:ascii="仿宋_GB2312" w:hAnsi="仿宋_GB2312" w:eastAsia="仿宋_GB2312" w:cs="仿宋_GB2312"/>
          <w:sz w:val="32"/>
          <w:szCs w:val="32"/>
          <w:lang w:val="en-US" w:eastAsia="zh-CN"/>
        </w:rPr>
        <w:t>第三中学</w:t>
      </w:r>
      <w:r>
        <w:rPr>
          <w:rFonts w:hint="eastAsia" w:ascii="仿宋_GB2312" w:hAnsi="仿宋_GB2312" w:eastAsia="仿宋_GB2312" w:cs="仿宋_GB2312"/>
          <w:sz w:val="32"/>
          <w:szCs w:val="32"/>
          <w:lang w:val="zh-CN"/>
        </w:rPr>
        <w:t>（决算2023-9-12）</w:t>
      </w:r>
    </w:p>
    <w:p>
      <w:pPr>
        <w:rPr>
          <w:rFonts w:ascii="仿宋_GB2312" w:hAnsi="仿宋_GB2312" w:eastAsia="仿宋_GB2312" w:cs="仿宋_GB2312"/>
          <w:sz w:val="32"/>
          <w:szCs w:val="32"/>
          <w:lang w:val="zh-CN"/>
        </w:rPr>
      </w:pPr>
      <w:bookmarkStart w:id="0" w:name="_GoBack"/>
      <w:bookmarkEnd w:id="0"/>
    </w:p>
    <w:sectPr>
      <w:footerReference r:id="rId3" w:type="default"/>
      <w:pgSz w:w="16838" w:h="11906" w:orient="landscape"/>
      <w:pgMar w:top="1803" w:right="1100" w:bottom="1803" w:left="1100" w:header="720" w:footer="720"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I2ZWU0MDBhYTBhMmVmMTg0NTkxNmJlZGJjZjUyOGI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AF164B5"/>
    <w:rsid w:val="0D386A9E"/>
    <w:rsid w:val="0F0A3BA7"/>
    <w:rsid w:val="11B25539"/>
    <w:rsid w:val="12A34BDD"/>
    <w:rsid w:val="1AD863F9"/>
    <w:rsid w:val="1BF215F4"/>
    <w:rsid w:val="1E605592"/>
    <w:rsid w:val="302D2CFD"/>
    <w:rsid w:val="31EC5364"/>
    <w:rsid w:val="3EFF6C0C"/>
    <w:rsid w:val="4416656F"/>
    <w:rsid w:val="470E7B71"/>
    <w:rsid w:val="478101A3"/>
    <w:rsid w:val="4ACE2A8B"/>
    <w:rsid w:val="4DB20EEB"/>
    <w:rsid w:val="4F5847F6"/>
    <w:rsid w:val="55935C72"/>
    <w:rsid w:val="5D387615"/>
    <w:rsid w:val="5D925B9A"/>
    <w:rsid w:val="60572A77"/>
    <w:rsid w:val="65F75DA9"/>
    <w:rsid w:val="69AA14E4"/>
    <w:rsid w:val="6E7779CA"/>
    <w:rsid w:val="6F9277B6"/>
    <w:rsid w:val="75E42760"/>
    <w:rsid w:val="76B672EB"/>
    <w:rsid w:val="776C2BD5"/>
    <w:rsid w:val="77925050"/>
    <w:rsid w:val="7E596DD4"/>
    <w:rsid w:val="7E77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35</Pages>
  <Words>11768</Words>
  <Characters>16979</Characters>
  <Lines>107</Lines>
  <Paragraphs>30</Paragraphs>
  <TotalTime>0</TotalTime>
  <ScaleCrop>false</ScaleCrop>
  <LinksUpToDate>false</LinksUpToDate>
  <CharactersWithSpaces>17233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章法强</cp:lastModifiedBy>
  <cp:lastPrinted>2023-08-18T07:47:00Z</cp:lastPrinted>
  <dcterms:modified xsi:type="dcterms:W3CDTF">2023-09-20T10:01:03Z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