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jc w:val="center"/>
        <w:rPr>
          <w:rFonts w:ascii="楷体" w:hAnsi="楷体" w:eastAsia="楷体"/>
          <w:sz w:val="30"/>
          <w:szCs w:val="30"/>
        </w:rPr>
      </w:pPr>
      <w:r>
        <w:rPr>
          <w:rFonts w:hint="eastAsia" w:ascii="方正小标宋简体" w:eastAsia="方正小标宋简体"/>
          <w:sz w:val="72"/>
          <w:szCs w:val="72"/>
          <w:highlight w:val="none"/>
        </w:rPr>
        <w:t>东乡县</w:t>
      </w:r>
      <w:r>
        <w:rPr>
          <w:rFonts w:hint="eastAsia" w:ascii="方正小标宋简体" w:eastAsia="方正小标宋简体"/>
          <w:b/>
          <w:bCs/>
          <w:sz w:val="72"/>
          <w:szCs w:val="72"/>
          <w:highlight w:val="none"/>
        </w:rPr>
        <w:t>供排水服务中心</w:t>
      </w:r>
      <w:r>
        <w:rPr>
          <w:rFonts w:hint="eastAsia" w:ascii="方正小标宋简体" w:eastAsia="方正小标宋简体"/>
          <w:sz w:val="72"/>
          <w:szCs w:val="72"/>
        </w:rPr>
        <w:t>部门预算</w:t>
      </w:r>
    </w:p>
    <w:p>
      <w:pPr>
        <w:jc w:val="center"/>
        <w:rPr>
          <w:rFonts w:ascii="方正小标宋简体" w:eastAsia="方正小标宋简体"/>
          <w:sz w:val="48"/>
          <w:szCs w:val="48"/>
        </w:rPr>
      </w:pPr>
      <w:r>
        <w:rPr>
          <w:rFonts w:hint="eastAsia" w:ascii="方正小标宋简体" w:eastAsia="方正小标宋简体"/>
          <w:sz w:val="48"/>
          <w:szCs w:val="48"/>
        </w:rPr>
        <w:t>（202</w:t>
      </w:r>
      <w:r>
        <w:rPr>
          <w:rFonts w:hint="eastAsia" w:ascii="方正小标宋简体" w:eastAsia="方正小标宋简体"/>
          <w:sz w:val="48"/>
          <w:szCs w:val="48"/>
          <w:lang w:val="en-US" w:eastAsia="zh-CN"/>
        </w:rPr>
        <w:t>2</w:t>
      </w:r>
      <w:r>
        <w:rPr>
          <w:rFonts w:hint="eastAsia" w:ascii="方正小标宋简体" w:eastAsia="方正小标宋简体"/>
          <w:sz w:val="48"/>
          <w:szCs w:val="48"/>
        </w:rPr>
        <w:t>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rPr>
        <w:t>202</w:t>
      </w:r>
      <w:r>
        <w:rPr>
          <w:rFonts w:hint="eastAsia" w:ascii="方正小标宋简体" w:eastAsia="方正小标宋简体"/>
          <w:sz w:val="48"/>
          <w:szCs w:val="48"/>
          <w:lang w:val="en-US" w:eastAsia="zh-CN"/>
        </w:rPr>
        <w:t>2</w:t>
      </w:r>
      <w:r>
        <w:rPr>
          <w:rFonts w:hint="eastAsia" w:ascii="方正小标宋简体" w:eastAsia="方正小标宋简体"/>
          <w:sz w:val="48"/>
          <w:szCs w:val="48"/>
        </w:rPr>
        <w:t>年</w:t>
      </w:r>
      <w:r>
        <w:rPr>
          <w:rFonts w:hint="eastAsia" w:ascii="方正小标宋简体" w:eastAsia="方正小标宋简体"/>
          <w:sz w:val="48"/>
          <w:szCs w:val="48"/>
          <w:lang w:val="en-US" w:eastAsia="zh-CN"/>
        </w:rPr>
        <w:t>5</w:t>
      </w:r>
      <w:r>
        <w:rPr>
          <w:rFonts w:hint="eastAsia" w:ascii="方正小标宋简体" w:eastAsia="方正小标宋简体"/>
          <w:sz w:val="48"/>
          <w:szCs w:val="48"/>
        </w:rPr>
        <w:t>月</w:t>
      </w: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hint="eastAsia" w:ascii="黑体" w:hAnsi="黑体" w:eastAsia="黑体"/>
          <w:sz w:val="48"/>
          <w:szCs w:val="48"/>
        </w:rPr>
      </w:pP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textAlignment w:val="auto"/>
        <w:rPr>
          <w:rFonts w:ascii="黑体" w:hAnsi="黑体" w:eastAsia="黑体"/>
          <w:sz w:val="32"/>
          <w:szCs w:val="32"/>
        </w:rPr>
      </w:pPr>
      <w:r>
        <w:rPr>
          <w:rFonts w:hint="eastAsia" w:ascii="黑体" w:hAnsi="黑体" w:eastAsia="黑体"/>
          <w:sz w:val="32"/>
          <w:szCs w:val="32"/>
        </w:rPr>
        <w:t>部门职责</w:t>
      </w:r>
    </w:p>
    <w:p>
      <w:pPr>
        <w:keepNext w:val="0"/>
        <w:keepLines w:val="0"/>
        <w:pageBreakBefore w:val="0"/>
        <w:widowControl w:val="0"/>
        <w:shd w:val="clear" w:color="auto" w:fill="auto"/>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eastAsia="zh-CN"/>
        </w:rPr>
        <w:t>负责宣传贯彻执行国家、省、州、县有关供水和排水的方针、政策、法律、规章及管理办法，配合县上有关部门搞好供水、排水规划。</w:t>
      </w:r>
    </w:p>
    <w:p>
      <w:pPr>
        <w:keepNext w:val="0"/>
        <w:keepLines w:val="0"/>
        <w:pageBreakBefore w:val="0"/>
        <w:widowControl w:val="0"/>
        <w:shd w:val="clear" w:color="auto" w:fill="auto"/>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eastAsia="zh-CN"/>
        </w:rPr>
        <w:t>负责全县辖区内的供水、县城内的排水及管理工作。</w:t>
      </w:r>
    </w:p>
    <w:p>
      <w:pPr>
        <w:keepNext w:val="0"/>
        <w:keepLines w:val="0"/>
        <w:pageBreakBefore w:val="0"/>
        <w:widowControl w:val="0"/>
        <w:shd w:val="clear" w:color="auto" w:fill="auto"/>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eastAsia="zh-CN"/>
        </w:rPr>
        <w:t>负责全县用户用水审核审批、入户安装、查抄水表、水费征收等工作。</w:t>
      </w:r>
    </w:p>
    <w:p>
      <w:pPr>
        <w:keepNext w:val="0"/>
        <w:keepLines w:val="0"/>
        <w:pageBreakBefore w:val="0"/>
        <w:widowControl w:val="0"/>
        <w:shd w:val="clear" w:color="auto" w:fill="auto"/>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eastAsia="zh-CN"/>
        </w:rPr>
        <w:t>负责全县供水、县城排水设施的维护、维修工作。</w:t>
      </w:r>
    </w:p>
    <w:p>
      <w:pPr>
        <w:keepNext w:val="0"/>
        <w:keepLines w:val="0"/>
        <w:pageBreakBefore w:val="0"/>
        <w:widowControl w:val="0"/>
        <w:shd w:val="clear" w:color="auto" w:fill="auto"/>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eastAsia="zh-CN"/>
        </w:rPr>
        <w:t>参与全县供水、县城排水工程规划、设计、建设及供水、排水工程竣工验收工作。</w:t>
      </w:r>
    </w:p>
    <w:p>
      <w:pPr>
        <w:keepNext w:val="0"/>
        <w:keepLines w:val="0"/>
        <w:pageBreakBefore w:val="0"/>
        <w:widowControl w:val="0"/>
        <w:shd w:val="clear" w:color="auto" w:fill="auto"/>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eastAsia="zh-CN"/>
        </w:rPr>
        <w:t>受行政管理部门委托，开展相关的水政执法。</w:t>
      </w:r>
    </w:p>
    <w:p>
      <w:pPr>
        <w:keepNext w:val="0"/>
        <w:keepLines w:val="0"/>
        <w:pageBreakBefore w:val="0"/>
        <w:widowControl w:val="0"/>
        <w:kinsoku/>
        <w:wordWrap/>
        <w:overflowPunct/>
        <w:topLinePunct w:val="0"/>
        <w:autoSpaceDE/>
        <w:autoSpaceDN/>
        <w:bidi w:val="0"/>
        <w:adjustRightInd/>
        <w:snapToGrid/>
        <w:spacing w:line="640" w:lineRule="exact"/>
        <w:ind w:firstLine="645"/>
        <w:textAlignment w:val="auto"/>
        <w:rPr>
          <w:rFonts w:ascii="仿宋_GB2312" w:hAnsi="宋体" w:eastAsia="仿宋_GB2312" w:cs="宋体"/>
          <w:kern w:val="0"/>
          <w:sz w:val="32"/>
          <w:szCs w:val="32"/>
          <w:highlight w:val="yellow"/>
        </w:rPr>
      </w:pPr>
      <w:r>
        <w:rPr>
          <w:rFonts w:hint="eastAsia" w:ascii="仿宋_GB2312" w:hAnsi="宋体" w:eastAsia="仿宋_GB2312" w:cs="宋体"/>
          <w:kern w:val="0"/>
          <w:sz w:val="32"/>
          <w:szCs w:val="32"/>
          <w:highlight w:val="none"/>
          <w:lang w:eastAsia="zh-CN"/>
        </w:rPr>
        <w:t>承办县委、县人民政府交办的其他事项。</w:t>
      </w:r>
    </w:p>
    <w:p>
      <w:pPr>
        <w:spacing w:line="640" w:lineRule="exact"/>
        <w:ind w:firstLine="645"/>
        <w:rPr>
          <w:rFonts w:ascii="黑体" w:hAnsi="黑体" w:eastAsia="黑体"/>
          <w:sz w:val="32"/>
          <w:szCs w:val="32"/>
        </w:rPr>
      </w:pPr>
      <w:r>
        <w:rPr>
          <w:rFonts w:hint="eastAsia" w:ascii="黑体" w:hAnsi="黑体" w:eastAsia="黑体"/>
          <w:sz w:val="32"/>
          <w:szCs w:val="32"/>
        </w:rPr>
        <w:t>二、机构设置</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lang w:val="en-US" w:eastAsia="zh-CN"/>
        </w:rPr>
        <w:t>1、</w:t>
      </w:r>
      <w:r>
        <w:rPr>
          <w:rFonts w:hint="eastAsia" w:ascii="仿宋_GB2312" w:hAnsi="仿宋_GB2312" w:eastAsia="仿宋_GB2312" w:cs="仿宋_GB2312"/>
          <w:color w:val="000000"/>
          <w:spacing w:val="0"/>
          <w:w w:val="100"/>
          <w:position w:val="0"/>
          <w:sz w:val="32"/>
          <w:szCs w:val="32"/>
          <w:highlight w:val="none"/>
        </w:rPr>
        <w:t>内设机构</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rPr>
        <w:t>东乡县</w:t>
      </w:r>
      <w:r>
        <w:rPr>
          <w:rFonts w:hint="eastAsia" w:ascii="仿宋_GB2312" w:hAnsi="仿宋_GB2312" w:eastAsia="仿宋_GB2312" w:cs="仿宋_GB2312"/>
          <w:color w:val="000000"/>
          <w:spacing w:val="0"/>
          <w:w w:val="100"/>
          <w:position w:val="0"/>
          <w:sz w:val="32"/>
          <w:szCs w:val="32"/>
          <w:highlight w:val="none"/>
          <w:lang w:eastAsia="zh-CN"/>
        </w:rPr>
        <w:t>供排水服务中心</w:t>
      </w:r>
      <w:r>
        <w:rPr>
          <w:rFonts w:hint="eastAsia" w:ascii="仿宋_GB2312" w:hAnsi="仿宋_GB2312" w:eastAsia="仿宋_GB2312" w:cs="仿宋_GB2312"/>
          <w:color w:val="000000"/>
          <w:spacing w:val="0"/>
          <w:w w:val="100"/>
          <w:position w:val="0"/>
          <w:sz w:val="32"/>
          <w:szCs w:val="32"/>
          <w:highlight w:val="none"/>
        </w:rPr>
        <w:t>内设及归口管理机构有</w:t>
      </w:r>
      <w:r>
        <w:rPr>
          <w:rFonts w:hint="eastAsia" w:ascii="仿宋_GB2312" w:hAnsi="仿宋_GB2312" w:eastAsia="仿宋_GB2312" w:cs="仿宋_GB2312"/>
          <w:color w:val="000000"/>
          <w:spacing w:val="0"/>
          <w:w w:val="100"/>
          <w:position w:val="0"/>
          <w:sz w:val="32"/>
          <w:szCs w:val="32"/>
          <w:highlight w:val="none"/>
          <w:lang w:val="en-US" w:eastAsia="zh-CN"/>
        </w:rPr>
        <w:t>9个职能股(室）：</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highlight w:val="none"/>
          <w:lang w:val="en-US" w:eastAsia="zh-CN"/>
        </w:rPr>
      </w:pPr>
      <w:r>
        <w:rPr>
          <w:rFonts w:hint="eastAsia" w:ascii="仿宋_GB2312" w:hAnsi="仿宋_GB2312" w:eastAsia="仿宋_GB2312" w:cs="仿宋_GB2312"/>
          <w:color w:val="000000"/>
          <w:spacing w:val="0"/>
          <w:w w:val="100"/>
          <w:position w:val="0"/>
          <w:sz w:val="32"/>
          <w:szCs w:val="32"/>
          <w:highlight w:val="none"/>
          <w:lang w:val="en-US" w:eastAsia="zh-CN"/>
        </w:rPr>
        <w:t>人秘股;财务及内审股;纪检监察室;计量设施鉴定股;水质监测化验股;抢修股;乡镇供水管理股;人饮工程泵站管理股;水厂管理股。</w:t>
      </w:r>
    </w:p>
    <w:p>
      <w:pPr>
        <w:keepNext w:val="0"/>
        <w:keepLines w:val="0"/>
        <w:pageBreakBefore w:val="0"/>
        <w:widowControl w:val="0"/>
        <w:kinsoku/>
        <w:wordWrap/>
        <w:overflowPunct/>
        <w:topLinePunct w:val="0"/>
        <w:autoSpaceDE/>
        <w:autoSpaceDN/>
        <w:bidi w:val="0"/>
        <w:adjustRightInd/>
        <w:snapToGrid/>
        <w:spacing w:line="640" w:lineRule="exact"/>
        <w:ind w:firstLine="602" w:firstLineChars="200"/>
        <w:textAlignment w:val="auto"/>
        <w:rPr>
          <w:rFonts w:hint="eastAsia" w:ascii="仿宋_GB2312" w:eastAsia="仿宋_GB2312"/>
          <w:sz w:val="30"/>
          <w:szCs w:val="30"/>
        </w:rPr>
      </w:pPr>
      <w:r>
        <w:rPr>
          <w:rFonts w:hint="eastAsia" w:ascii="仿宋_GB2312" w:eastAsia="仿宋_GB2312"/>
          <w:b/>
          <w:bCs/>
          <w:sz w:val="30"/>
          <w:szCs w:val="30"/>
          <w:lang w:val="en-US" w:eastAsia="zh-CN"/>
        </w:rPr>
        <w:t>2、</w:t>
      </w:r>
      <w:r>
        <w:rPr>
          <w:rFonts w:hint="eastAsia" w:ascii="仿宋_GB2312" w:eastAsia="仿宋_GB2312"/>
          <w:b/>
          <w:bCs/>
          <w:sz w:val="30"/>
          <w:szCs w:val="30"/>
        </w:rPr>
        <w:t>事业单位法管理</w:t>
      </w:r>
    </w:p>
    <w:p>
      <w:pPr>
        <w:pStyle w:val="12"/>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640" w:lineRule="exact"/>
        <w:ind w:left="0" w:right="0" w:firstLine="600" w:firstLineChars="200"/>
        <w:jc w:val="left"/>
        <w:textAlignment w:val="auto"/>
        <w:rPr>
          <w:rFonts w:hint="eastAsia" w:ascii="仿宋_GB2312" w:eastAsia="仿宋_GB2312"/>
          <w:sz w:val="30"/>
          <w:szCs w:val="30"/>
        </w:rPr>
      </w:pPr>
      <w:r>
        <w:rPr>
          <w:rFonts w:hint="eastAsia" w:ascii="仿宋_GB2312" w:eastAsia="仿宋_GB2312"/>
          <w:sz w:val="30"/>
          <w:szCs w:val="30"/>
        </w:rPr>
        <w:t>东乡县</w:t>
      </w:r>
      <w:r>
        <w:rPr>
          <w:rFonts w:hint="eastAsia" w:ascii="仿宋_GB2312" w:eastAsia="仿宋_GB2312"/>
          <w:sz w:val="30"/>
          <w:szCs w:val="30"/>
          <w:lang w:eastAsia="zh-CN"/>
        </w:rPr>
        <w:t>城乡供排水</w:t>
      </w:r>
      <w:r>
        <w:rPr>
          <w:rFonts w:hint="eastAsia" w:ascii="仿宋_GB2312" w:eastAsia="仿宋_GB2312"/>
          <w:sz w:val="30"/>
          <w:szCs w:val="30"/>
          <w:lang w:val="en-US" w:eastAsia="zh-CN"/>
        </w:rPr>
        <w:t>服务中心</w:t>
      </w:r>
      <w:r>
        <w:rPr>
          <w:rFonts w:hint="eastAsia" w:ascii="仿宋_GB2312" w:eastAsia="仿宋_GB2312"/>
          <w:sz w:val="30"/>
          <w:szCs w:val="30"/>
        </w:rPr>
        <w:t>下属</w:t>
      </w:r>
      <w:r>
        <w:rPr>
          <w:rFonts w:hint="eastAsia" w:ascii="仿宋_GB2312" w:eastAsia="仿宋_GB2312"/>
          <w:sz w:val="30"/>
          <w:szCs w:val="30"/>
          <w:lang w:val="en-US" w:eastAsia="zh-CN"/>
        </w:rPr>
        <w:t>18</w:t>
      </w:r>
      <w:r>
        <w:rPr>
          <w:rFonts w:hint="eastAsia" w:ascii="仿宋_GB2312" w:eastAsia="仿宋_GB2312"/>
          <w:sz w:val="30"/>
          <w:szCs w:val="30"/>
        </w:rPr>
        <w:t>个事业单位法管理</w:t>
      </w:r>
      <w:r>
        <w:rPr>
          <w:rFonts w:hint="eastAsia" w:ascii="仿宋_GB2312" w:eastAsia="仿宋_GB2312"/>
          <w:sz w:val="30"/>
          <w:szCs w:val="30"/>
          <w:lang w:val="en-US" w:eastAsia="zh-CN"/>
        </w:rPr>
        <w:t>乡镇供水管理站</w:t>
      </w:r>
      <w:r>
        <w:rPr>
          <w:rFonts w:hint="eastAsia" w:ascii="仿宋_GB2312" w:eastAsia="仿宋_GB2312"/>
          <w:sz w:val="30"/>
          <w:szCs w:val="30"/>
        </w:rPr>
        <w:t>。</w:t>
      </w:r>
    </w:p>
    <w:p>
      <w:pPr>
        <w:spacing w:line="840" w:lineRule="exact"/>
        <w:ind w:firstLine="883" w:firstLineChars="200"/>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sz w:val="32"/>
          <w:szCs w:val="32"/>
        </w:rPr>
      </w:pPr>
      <w:r>
        <w:rPr>
          <w:rFonts w:hint="eastAsia" w:ascii="仿宋_GB2312" w:hAnsi="黑体" w:eastAsia="仿宋_GB2312"/>
          <w:b/>
          <w:sz w:val="52"/>
          <w:szCs w:val="52"/>
        </w:rPr>
        <w:t>第二部分  202</w:t>
      </w:r>
      <w:r>
        <w:rPr>
          <w:rFonts w:hint="eastAsia" w:ascii="仿宋_GB2312" w:hAnsi="黑体" w:eastAsia="仿宋_GB2312"/>
          <w:b/>
          <w:sz w:val="52"/>
          <w:szCs w:val="52"/>
          <w:lang w:val="en-US" w:eastAsia="zh-CN"/>
        </w:rPr>
        <w:t>2</w:t>
      </w:r>
      <w:r>
        <w:rPr>
          <w:rFonts w:hint="eastAsia" w:ascii="仿宋_GB2312" w:hAnsi="黑体" w:eastAsia="仿宋_GB2312"/>
          <w:b/>
          <w:sz w:val="52"/>
          <w:szCs w:val="52"/>
        </w:rPr>
        <w:t xml:space="preserve">年部门预算表格  </w:t>
      </w:r>
      <w:r>
        <w:rPr>
          <w:rFonts w:hint="eastAsia" w:ascii="仿宋_GB2312" w:hAnsi="黑体" w:eastAsia="仿宋_GB2312"/>
          <w:sz w:val="32"/>
          <w:szCs w:val="32"/>
        </w:rPr>
        <w:t xml:space="preserve">  </w:t>
      </w: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640" w:lineRule="exact"/>
        <w:ind w:left="640"/>
        <w:rPr>
          <w:rFonts w:ascii="黑体" w:hAnsi="黑体" w:eastAsia="黑体"/>
          <w:sz w:val="32"/>
          <w:szCs w:val="32"/>
        </w:rPr>
      </w:pPr>
    </w:p>
    <w:p>
      <w:pPr>
        <w:spacing w:line="840" w:lineRule="exact"/>
        <w:jc w:val="center"/>
        <w:rPr>
          <w:rFonts w:ascii="仿宋_GB2312" w:hAnsi="黑体" w:eastAsia="仿宋_GB2312"/>
          <w:b/>
          <w:sz w:val="52"/>
          <w:szCs w:val="52"/>
        </w:rPr>
      </w:pPr>
      <w:r>
        <w:rPr>
          <w:rFonts w:hint="eastAsia" w:ascii="仿宋_GB2312" w:eastAsia="仿宋_GB2312"/>
          <w:color w:val="000000"/>
          <w:sz w:val="32"/>
          <w:szCs w:val="32"/>
        </w:rPr>
        <w:t>(本部分共公开</w:t>
      </w:r>
      <w:r>
        <w:rPr>
          <w:rFonts w:ascii="仿宋_GB2312" w:eastAsia="仿宋_GB2312"/>
          <w:color w:val="000000"/>
          <w:sz w:val="32"/>
          <w:szCs w:val="32"/>
        </w:rPr>
        <w:t>10</w:t>
      </w:r>
      <w:r>
        <w:rPr>
          <w:rFonts w:hint="eastAsia" w:ascii="仿宋_GB2312" w:eastAsia="仿宋_GB2312"/>
          <w:color w:val="000000"/>
          <w:sz w:val="32"/>
          <w:szCs w:val="32"/>
        </w:rPr>
        <w:t>张表，具体按通知要求公开，注意表格顺序和连续性)</w:t>
      </w:r>
    </w:p>
    <w:p>
      <w:pPr>
        <w:spacing w:line="840" w:lineRule="exact"/>
        <w:jc w:val="both"/>
        <w:rPr>
          <w:rFonts w:hint="eastAsia" w:ascii="仿宋_GB2312" w:hAnsi="黑体" w:eastAsia="仿宋_GB2312"/>
          <w:b/>
          <w:sz w:val="52"/>
          <w:szCs w:val="52"/>
        </w:rPr>
      </w:pPr>
    </w:p>
    <w:p>
      <w:pPr>
        <w:spacing w:line="840" w:lineRule="exact"/>
        <w:jc w:val="both"/>
        <w:rPr>
          <w:rFonts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一、部门预算总体说明</w:t>
      </w:r>
    </w:p>
    <w:p>
      <w:pPr>
        <w:spacing w:line="640" w:lineRule="exact"/>
        <w:ind w:firstLine="640" w:firstLineChars="200"/>
        <w:rPr>
          <w:rFonts w:hint="eastAsia" w:ascii="仿宋_GB2312" w:hAnsi="宋体" w:eastAsia="仿宋_GB2312"/>
          <w:sz w:val="32"/>
          <w:szCs w:val="32"/>
          <w:highlight w:val="none"/>
          <w:lang w:val="en-US" w:eastAsia="zh-CN"/>
        </w:rPr>
      </w:pPr>
      <w:r>
        <w:rPr>
          <w:rFonts w:hint="eastAsia" w:ascii="仿宋_GB2312" w:hAnsi="黑体" w:eastAsia="仿宋_GB2312"/>
          <w:sz w:val="32"/>
          <w:szCs w:val="32"/>
        </w:rPr>
        <w:t>2022年预算收入</w:t>
      </w:r>
      <w:r>
        <w:rPr>
          <w:rFonts w:hint="eastAsia" w:ascii="仿宋_GB2312" w:hAnsi="黑体" w:eastAsia="仿宋_GB2312"/>
          <w:sz w:val="32"/>
          <w:szCs w:val="32"/>
          <w:highlight w:val="none"/>
        </w:rPr>
        <w:t>5467556.48元，比上年预算</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3306166.48</w:t>
      </w:r>
      <w:r>
        <w:rPr>
          <w:rFonts w:hint="eastAsia" w:ascii="仿宋_GB2312" w:hAnsi="黑体" w:eastAsia="仿宋_GB2312"/>
          <w:sz w:val="32"/>
          <w:szCs w:val="32"/>
          <w:highlight w:val="none"/>
        </w:rPr>
        <w:t>元，</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rPr>
        <w:t>的主要原因是：</w:t>
      </w:r>
      <w:r>
        <w:rPr>
          <w:rFonts w:hint="eastAsia" w:ascii="仿宋_GB2312" w:hAnsi="黑体" w:eastAsia="仿宋_GB2312"/>
          <w:sz w:val="32"/>
          <w:szCs w:val="32"/>
          <w:highlight w:val="none"/>
        </w:rPr>
        <w:t>农村饮水安全工程征地及苗木补偿款</w:t>
      </w:r>
      <w:r>
        <w:rPr>
          <w:rFonts w:hint="eastAsia" w:ascii="仿宋_GB2312" w:hAnsi="黑体" w:eastAsia="仿宋_GB2312"/>
          <w:sz w:val="32"/>
          <w:szCs w:val="32"/>
          <w:highlight w:val="none"/>
          <w:lang w:val="en-US" w:eastAsia="zh-CN"/>
        </w:rPr>
        <w:t>增加。</w:t>
      </w:r>
      <w:r>
        <w:rPr>
          <w:rFonts w:hint="eastAsia" w:ascii="仿宋_GB2312" w:hAnsi="黑体" w:eastAsia="仿宋_GB2312"/>
          <w:sz w:val="32"/>
          <w:szCs w:val="32"/>
          <w:highlight w:val="none"/>
        </w:rPr>
        <w:t>其中：一般公共预算财政拨款收入2839356.48元，政</w:t>
      </w:r>
      <w:r>
        <w:rPr>
          <w:rFonts w:hint="eastAsia" w:ascii="仿宋_GB2312" w:hAnsi="宋体" w:eastAsia="仿宋_GB2312"/>
          <w:sz w:val="32"/>
          <w:szCs w:val="32"/>
          <w:highlight w:val="none"/>
        </w:rPr>
        <w:t>府性基金预算财政拨款收入</w:t>
      </w:r>
      <w:r>
        <w:rPr>
          <w:rFonts w:hint="eastAsia" w:ascii="仿宋_GB2312" w:hAnsi="黑体" w:eastAsia="仿宋_GB2312"/>
          <w:sz w:val="32"/>
          <w:szCs w:val="32"/>
          <w:highlight w:val="none"/>
        </w:rPr>
        <w:t>2628200.00</w:t>
      </w:r>
      <w:r>
        <w:rPr>
          <w:rFonts w:hint="eastAsia" w:ascii="仿宋_GB2312" w:hAnsi="宋体" w:eastAsia="仿宋_GB2312"/>
          <w:sz w:val="32"/>
          <w:szCs w:val="32"/>
          <w:highlight w:val="none"/>
        </w:rPr>
        <w:t>元。预算支出</w:t>
      </w:r>
      <w:r>
        <w:rPr>
          <w:rFonts w:hint="eastAsia" w:ascii="仿宋_GB2312" w:hAnsi="黑体" w:eastAsia="仿宋_GB2312"/>
          <w:sz w:val="32"/>
          <w:szCs w:val="32"/>
          <w:highlight w:val="none"/>
        </w:rPr>
        <w:t>5467556.48</w:t>
      </w:r>
      <w:r>
        <w:rPr>
          <w:rFonts w:hint="eastAsia" w:ascii="仿宋_GB2312" w:hAnsi="宋体" w:eastAsia="仿宋_GB2312"/>
          <w:sz w:val="32"/>
          <w:szCs w:val="32"/>
          <w:highlight w:val="none"/>
        </w:rPr>
        <w:t>元，相应比上年预算数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152.96</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rPr>
        <w:t>的主要原因是：</w:t>
      </w:r>
      <w:r>
        <w:rPr>
          <w:rFonts w:hint="eastAsia" w:ascii="仿宋_GB2312" w:hAnsi="黑体" w:eastAsia="仿宋_GB2312"/>
          <w:sz w:val="32"/>
          <w:szCs w:val="32"/>
          <w:highlight w:val="none"/>
        </w:rPr>
        <w:t>农村饮水安全工程征地及苗木补偿款</w:t>
      </w:r>
      <w:r>
        <w:rPr>
          <w:rFonts w:hint="eastAsia" w:ascii="仿宋_GB2312" w:hAnsi="黑体" w:eastAsia="仿宋_GB2312"/>
          <w:sz w:val="32"/>
          <w:szCs w:val="32"/>
          <w:highlight w:val="none"/>
          <w:lang w:val="en-US" w:eastAsia="zh-CN"/>
        </w:rPr>
        <w:t>增加。</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rPr>
        <w:t>支出按功能</w:t>
      </w:r>
      <w:r>
        <w:rPr>
          <w:rFonts w:hint="eastAsia" w:ascii="仿宋_GB2312" w:hAnsi="宋体" w:eastAsia="仿宋_GB2312"/>
          <w:sz w:val="32"/>
          <w:szCs w:val="32"/>
          <w:highlight w:val="none"/>
        </w:rPr>
        <w:t>分类科目安排为：</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一般公共服务支出</w:t>
      </w:r>
      <w:r>
        <w:rPr>
          <w:rFonts w:hint="eastAsia" w:ascii="仿宋_GB2312" w:hAnsi="黑体" w:eastAsia="仿宋_GB2312"/>
          <w:sz w:val="32"/>
          <w:szCs w:val="32"/>
          <w:highlight w:val="none"/>
        </w:rPr>
        <w:t>46656</w:t>
      </w:r>
      <w:r>
        <w:rPr>
          <w:rFonts w:hint="eastAsia" w:ascii="仿宋_GB2312" w:hAnsi="宋体" w:eastAsia="仿宋_GB2312"/>
          <w:sz w:val="32"/>
          <w:szCs w:val="32"/>
          <w:highlight w:val="none"/>
        </w:rPr>
        <w:t>元，其中：财政拨款</w:t>
      </w:r>
      <w:r>
        <w:rPr>
          <w:rFonts w:hint="eastAsia" w:ascii="仿宋_GB2312" w:hAnsi="黑体" w:eastAsia="仿宋_GB2312"/>
          <w:sz w:val="32"/>
          <w:szCs w:val="32"/>
          <w:highlight w:val="none"/>
        </w:rPr>
        <w:t>46656</w:t>
      </w:r>
      <w:r>
        <w:rPr>
          <w:rFonts w:hint="eastAsia" w:ascii="仿宋_GB2312" w:hAnsi="宋体" w:eastAsia="仿宋_GB2312"/>
          <w:sz w:val="32"/>
          <w:szCs w:val="32"/>
          <w:highlight w:val="none"/>
        </w:rPr>
        <w:t>元，比上年预算数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127.88</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增加的主要原因是：工会经费增加</w:t>
      </w:r>
      <w:r>
        <w:rPr>
          <w:rFonts w:hint="eastAsia" w:ascii="仿宋_GB2312" w:hAnsi="宋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宋体" w:eastAsia="仿宋_GB2312"/>
          <w:sz w:val="32"/>
          <w:szCs w:val="32"/>
          <w:highlight w:val="none"/>
        </w:rPr>
        <w:t>社会保障和就业支出</w:t>
      </w:r>
      <w:r>
        <w:rPr>
          <w:rFonts w:hint="eastAsia" w:ascii="仿宋_GB2312" w:hAnsi="黑体" w:eastAsia="仿宋_GB2312"/>
          <w:sz w:val="32"/>
          <w:szCs w:val="32"/>
          <w:highlight w:val="none"/>
        </w:rPr>
        <w:t>259105.79元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6.26</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增加的主要原因是：人员工资增加</w:t>
      </w:r>
      <w:r>
        <w:rPr>
          <w:rFonts w:hint="eastAsia" w:ascii="仿宋_GB2312" w:hAnsi="宋体" w:eastAsia="仿宋_GB2312"/>
          <w:sz w:val="32"/>
          <w:szCs w:val="32"/>
          <w:highlight w:val="none"/>
        </w:rPr>
        <w:t>。</w:t>
      </w:r>
    </w:p>
    <w:p>
      <w:pPr>
        <w:spacing w:line="640" w:lineRule="exact"/>
        <w:ind w:firstLine="640" w:firstLineChars="200"/>
        <w:rPr>
          <w:rFonts w:hint="eastAsia" w:ascii="仿宋_GB2312" w:hAnsi="宋体" w:eastAsia="仿宋_GB2312"/>
          <w:sz w:val="32"/>
          <w:szCs w:val="32"/>
          <w:highlight w:val="none"/>
        </w:rPr>
      </w:pPr>
      <w:r>
        <w:rPr>
          <w:rFonts w:hint="eastAsia" w:ascii="仿宋_GB2312" w:hAnsi="黑体" w:eastAsia="仿宋_GB2312"/>
          <w:sz w:val="32"/>
          <w:szCs w:val="32"/>
          <w:highlight w:val="none"/>
        </w:rPr>
        <w:t>卫生健康支出106449.81元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增加的主要原因是：</w:t>
      </w:r>
      <w:r>
        <w:rPr>
          <w:rFonts w:hint="eastAsia" w:ascii="仿宋_GB2312" w:hAnsi="黑体" w:eastAsia="仿宋_GB2312"/>
          <w:sz w:val="32"/>
          <w:szCs w:val="32"/>
          <w:highlight w:val="none"/>
        </w:rPr>
        <w:t>卫生健康支出</w:t>
      </w:r>
      <w:r>
        <w:rPr>
          <w:rFonts w:hint="eastAsia" w:ascii="仿宋_GB2312" w:hAnsi="黑体" w:eastAsia="仿宋_GB2312"/>
          <w:sz w:val="32"/>
          <w:szCs w:val="32"/>
          <w:highlight w:val="none"/>
          <w:lang w:val="en-US" w:eastAsia="zh-CN"/>
        </w:rPr>
        <w:t>列入单位预算</w:t>
      </w:r>
      <w:r>
        <w:rPr>
          <w:rFonts w:hint="eastAsia" w:ascii="仿宋_GB2312" w:hAnsi="宋体" w:eastAsia="仿宋_GB2312"/>
          <w:sz w:val="32"/>
          <w:szCs w:val="32"/>
          <w:highlight w:val="none"/>
        </w:rPr>
        <w:t>。</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highlight w:val="none"/>
        </w:rPr>
        <w:t>城乡社区支出26</w:t>
      </w:r>
      <w:r>
        <w:rPr>
          <w:rFonts w:hint="eastAsia" w:ascii="仿宋_GB2312" w:hAnsi="宋体" w:eastAsia="仿宋_GB2312"/>
          <w:sz w:val="32"/>
          <w:szCs w:val="32"/>
        </w:rPr>
        <w:t>28200</w:t>
      </w:r>
      <w:r>
        <w:rPr>
          <w:rFonts w:hint="eastAsia" w:ascii="仿宋_GB2312" w:hAnsi="黑体" w:eastAsia="仿宋_GB2312"/>
          <w:sz w:val="32"/>
          <w:szCs w:val="32"/>
        </w:rPr>
        <w:t>元</w:t>
      </w:r>
      <w:r>
        <w:rPr>
          <w:rFonts w:hint="eastAsia" w:ascii="仿宋_GB2312" w:hAnsi="宋体" w:eastAsia="仿宋_GB2312"/>
          <w:sz w:val="32"/>
          <w:szCs w:val="32"/>
        </w:rPr>
        <w:t>，比上年预算数</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增加的主要原因是：</w:t>
      </w:r>
      <w:r>
        <w:rPr>
          <w:rFonts w:hint="eastAsia" w:ascii="仿宋_GB2312" w:hAnsi="宋体" w:eastAsia="仿宋_GB2312"/>
          <w:sz w:val="32"/>
          <w:szCs w:val="32"/>
          <w:highlight w:val="none"/>
        </w:rPr>
        <w:t>城乡社区支出</w:t>
      </w:r>
      <w:r>
        <w:rPr>
          <w:rFonts w:hint="eastAsia" w:ascii="仿宋_GB2312" w:hAnsi="黑体" w:eastAsia="仿宋_GB2312"/>
          <w:sz w:val="32"/>
          <w:szCs w:val="32"/>
          <w:highlight w:val="none"/>
          <w:lang w:val="en-US" w:eastAsia="zh-CN"/>
        </w:rPr>
        <w:t>列入单位预算</w:t>
      </w:r>
      <w:r>
        <w:rPr>
          <w:rFonts w:hint="eastAsia" w:ascii="仿宋_GB2312" w:hAnsi="宋体" w:eastAsia="仿宋_GB2312"/>
          <w:sz w:val="32"/>
          <w:szCs w:val="32"/>
        </w:rPr>
        <w:t>。</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农林水支出2235208</w:t>
      </w:r>
      <w:r>
        <w:rPr>
          <w:rFonts w:hint="eastAsia" w:ascii="仿宋_GB2312" w:hAnsi="黑体" w:eastAsia="仿宋_GB2312"/>
          <w:sz w:val="32"/>
          <w:szCs w:val="32"/>
        </w:rPr>
        <w:t>元</w:t>
      </w:r>
      <w:r>
        <w:rPr>
          <w:rFonts w:hint="eastAsia" w:ascii="仿宋_GB2312" w:hAnsi="宋体" w:eastAsia="仿宋_GB2312"/>
          <w:sz w:val="32"/>
          <w:szCs w:val="32"/>
        </w:rPr>
        <w:t>，比上年预算数</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17.82</w:t>
      </w:r>
      <w:r>
        <w:rPr>
          <w:rFonts w:hint="eastAsia" w:ascii="仿宋_GB2312" w:hAnsi="宋体" w:eastAsia="仿宋_GB2312"/>
          <w:sz w:val="32"/>
          <w:szCs w:val="32"/>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增加的主要原因是：人员工资增加</w:t>
      </w:r>
      <w:r>
        <w:rPr>
          <w:rFonts w:hint="eastAsia" w:ascii="仿宋_GB2312" w:hAnsi="宋体" w:eastAsia="仿宋_GB2312"/>
          <w:sz w:val="32"/>
          <w:szCs w:val="32"/>
        </w:rPr>
        <w:t>。</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住房保障支出191936.88</w:t>
      </w:r>
      <w:r>
        <w:rPr>
          <w:rFonts w:hint="eastAsia" w:ascii="仿宋_GB2312" w:hAnsi="黑体" w:eastAsia="仿宋_GB2312"/>
          <w:sz w:val="32"/>
          <w:szCs w:val="32"/>
        </w:rPr>
        <w:t>元</w:t>
      </w:r>
      <w:r>
        <w:rPr>
          <w:rFonts w:hint="eastAsia" w:ascii="仿宋_GB2312" w:hAnsi="宋体" w:eastAsia="仿宋_GB2312"/>
          <w:sz w:val="32"/>
          <w:szCs w:val="32"/>
        </w:rPr>
        <w:t>，比上年预算数</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增加的主要原因是：</w:t>
      </w:r>
      <w:r>
        <w:rPr>
          <w:rFonts w:hint="eastAsia" w:ascii="仿宋_GB2312" w:hAnsi="宋体" w:eastAsia="仿宋_GB2312"/>
          <w:sz w:val="32"/>
          <w:szCs w:val="32"/>
          <w:highlight w:val="none"/>
        </w:rPr>
        <w:t>城乡社区支出</w:t>
      </w:r>
      <w:r>
        <w:rPr>
          <w:rFonts w:hint="eastAsia" w:ascii="仿宋_GB2312" w:hAnsi="黑体" w:eastAsia="仿宋_GB2312"/>
          <w:sz w:val="32"/>
          <w:szCs w:val="32"/>
          <w:highlight w:val="none"/>
          <w:lang w:val="en-US" w:eastAsia="zh-CN"/>
        </w:rPr>
        <w:t>列入单位预算</w:t>
      </w:r>
      <w:r>
        <w:rPr>
          <w:rFonts w:hint="eastAsia" w:ascii="仿宋_GB2312" w:hAnsi="宋体" w:eastAsia="仿宋_GB2312"/>
          <w:sz w:val="32"/>
          <w:szCs w:val="32"/>
        </w:rPr>
        <w:t>。</w:t>
      </w:r>
    </w:p>
    <w:p>
      <w:pPr>
        <w:spacing w:line="64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支出按经济分类科目安排为：</w:t>
      </w:r>
    </w:p>
    <w:p>
      <w:pPr>
        <w:spacing w:line="640" w:lineRule="exact"/>
        <w:ind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rPr>
        <w:t>工资福利支出</w:t>
      </w:r>
      <w:r>
        <w:rPr>
          <w:rFonts w:hint="eastAsia" w:ascii="仿宋_GB2312" w:hAnsi="黑体" w:eastAsia="仿宋_GB2312"/>
          <w:sz w:val="32"/>
          <w:szCs w:val="32"/>
          <w:highlight w:val="none"/>
        </w:rPr>
        <w:t>2729956.48</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val="en-US" w:eastAsia="zh-CN"/>
        </w:rPr>
        <w:t>比上年预算数增加34.38%，增加的主要原因是：人员工资增加。</w:t>
      </w:r>
    </w:p>
    <w:p>
      <w:pPr>
        <w:spacing w:line="64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highlight w:val="none"/>
        </w:rPr>
        <w:t>商品和服务</w:t>
      </w:r>
      <w:r>
        <w:rPr>
          <w:rFonts w:hint="eastAsia" w:ascii="仿宋_GB2312" w:hAnsi="宋体" w:eastAsia="仿宋_GB2312"/>
          <w:sz w:val="32"/>
          <w:szCs w:val="32"/>
          <w:highlight w:val="none"/>
          <w:lang w:val="en-US" w:eastAsia="zh-CN"/>
        </w:rPr>
        <w:t>支出</w:t>
      </w:r>
      <w:r>
        <w:rPr>
          <w:rFonts w:hint="eastAsia" w:ascii="仿宋_GB2312" w:hAnsi="黑体" w:eastAsia="仿宋_GB2312"/>
          <w:sz w:val="32"/>
          <w:szCs w:val="32"/>
          <w:highlight w:val="none"/>
          <w:lang w:val="en-US" w:eastAsia="zh-CN"/>
        </w:rPr>
        <w:t>109400</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val="en-US" w:eastAsia="zh-CN"/>
        </w:rPr>
        <w:t>比上年预算数减少15.76%，减少的主要原因是：工会经费科目变动。</w:t>
      </w:r>
    </w:p>
    <w:p>
      <w:pPr>
        <w:spacing w:line="640" w:lineRule="exact"/>
        <w:ind w:firstLine="640" w:firstLineChars="200"/>
        <w:rPr>
          <w:rFonts w:ascii="仿宋_GB2312" w:hAnsi="黑体" w:eastAsia="仿宋_GB2312"/>
          <w:color w:val="FF0000"/>
          <w:sz w:val="32"/>
          <w:szCs w:val="32"/>
        </w:rPr>
      </w:pPr>
      <w:r>
        <w:rPr>
          <w:rFonts w:hint="eastAsia" w:ascii="黑体" w:hAnsi="黑体" w:eastAsia="黑体"/>
          <w:sz w:val="32"/>
          <w:szCs w:val="32"/>
        </w:rPr>
        <w:t>二、部门一般公共预算支出情况说明</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rPr>
        <w:t>（一）一般公共服务支出（类）</w:t>
      </w:r>
      <w:r>
        <w:rPr>
          <w:rFonts w:hint="eastAsia" w:ascii="仿宋_GB2312" w:hAnsi="黑体" w:eastAsia="仿宋_GB2312"/>
          <w:sz w:val="32"/>
          <w:szCs w:val="32"/>
          <w:highlight w:val="none"/>
        </w:rPr>
        <w:t>群众团体事务</w:t>
      </w:r>
      <w:r>
        <w:rPr>
          <w:rFonts w:hint="eastAsia" w:ascii="楷体_GB2312" w:hAnsi="黑体" w:eastAsia="楷体_GB2312"/>
          <w:b/>
          <w:sz w:val="32"/>
          <w:szCs w:val="32"/>
          <w:highlight w:val="none"/>
        </w:rPr>
        <w:t>（款）</w:t>
      </w:r>
      <w:r>
        <w:rPr>
          <w:rFonts w:hint="eastAsia" w:ascii="仿宋_GB2312" w:hAnsi="黑体" w:eastAsia="仿宋_GB2312"/>
          <w:sz w:val="32"/>
          <w:szCs w:val="32"/>
          <w:highlight w:val="none"/>
        </w:rPr>
        <w:t>2022年预算支出46656.00元，比上年预算数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127.88</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增加的主要原因是：工会经费增加</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其中：工会事务（项）2022年预算支出46656.00元，比上年预算数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127.88</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增加的主要原因是：工会经费增加</w:t>
      </w:r>
      <w:r>
        <w:rPr>
          <w:rFonts w:hint="eastAsia" w:ascii="仿宋_GB2312" w:hAnsi="宋体" w:eastAsia="仿宋_GB2312"/>
          <w:sz w:val="32"/>
          <w:szCs w:val="32"/>
          <w:highlight w:val="none"/>
        </w:rPr>
        <w:t>。</w:t>
      </w:r>
    </w:p>
    <w:p>
      <w:pPr>
        <w:spacing w:line="640" w:lineRule="exact"/>
        <w:ind w:firstLine="643" w:firstLineChars="200"/>
        <w:rPr>
          <w:rFonts w:ascii="仿宋_GB2312" w:hAnsi="黑体" w:eastAsia="仿宋_GB2312"/>
          <w:sz w:val="32"/>
          <w:szCs w:val="32"/>
          <w:highlight w:val="none"/>
        </w:rPr>
      </w:pPr>
      <w:r>
        <w:rPr>
          <w:rFonts w:hint="eastAsia" w:ascii="仿宋_GB2312" w:hAnsi="黑体" w:eastAsia="仿宋_GB2312"/>
          <w:b/>
          <w:sz w:val="32"/>
          <w:szCs w:val="32"/>
          <w:highlight w:val="none"/>
        </w:rPr>
        <w:t>（二）社会保障和就业支出（类</w:t>
      </w:r>
      <w:r>
        <w:rPr>
          <w:rFonts w:hint="eastAsia" w:ascii="仿宋_GB2312" w:hAnsi="黑体" w:eastAsia="仿宋_GB2312"/>
          <w:sz w:val="32"/>
          <w:szCs w:val="32"/>
          <w:highlight w:val="none"/>
        </w:rPr>
        <w:t>）行政事业单位养老支出（款）2022年预算支出255915.84元，比上年预算数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4.95</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增加的主要原因是：人员工资增加</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其中：机关事业单位基本养老保险缴费支出（项）2022年预算支出255915.84元，比上年预算数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4.95</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增加的主要原因是：人员工资增加</w:t>
      </w:r>
      <w:r>
        <w:rPr>
          <w:rFonts w:hint="eastAsia" w:ascii="仿宋_GB2312" w:hAnsi="宋体" w:eastAsia="仿宋_GB2312"/>
          <w:sz w:val="32"/>
          <w:szCs w:val="32"/>
          <w:highlight w:val="none"/>
        </w:rPr>
        <w:t>。</w:t>
      </w:r>
    </w:p>
    <w:p>
      <w:pPr>
        <w:spacing w:line="640" w:lineRule="exact"/>
        <w:ind w:firstLine="643" w:firstLineChars="200"/>
        <w:rPr>
          <w:rFonts w:hint="eastAsia" w:ascii="仿宋_GB2312" w:hAnsi="宋体" w:eastAsia="仿宋_GB2312"/>
          <w:sz w:val="32"/>
          <w:szCs w:val="32"/>
          <w:highlight w:val="none"/>
        </w:rPr>
      </w:pPr>
      <w:r>
        <w:rPr>
          <w:rFonts w:hint="eastAsia" w:ascii="仿宋_GB2312" w:hAnsi="黑体" w:eastAsia="仿宋_GB2312"/>
          <w:b/>
          <w:sz w:val="32"/>
          <w:szCs w:val="32"/>
          <w:highlight w:val="none"/>
        </w:rPr>
        <w:t>社会保障和就业支出（类</w:t>
      </w:r>
      <w:r>
        <w:rPr>
          <w:rFonts w:hint="eastAsia" w:ascii="仿宋_GB2312" w:hAnsi="黑体" w:eastAsia="仿宋_GB2312"/>
          <w:sz w:val="32"/>
          <w:szCs w:val="32"/>
          <w:highlight w:val="none"/>
        </w:rPr>
        <w:t>）财政对其他社会保险基金的补助（款）2022年预算支出3189.95元，比上年预算数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增加的主要原因是：工伤保险</w:t>
      </w:r>
      <w:r>
        <w:rPr>
          <w:rFonts w:hint="eastAsia" w:ascii="仿宋_GB2312" w:hAnsi="黑体" w:eastAsia="仿宋_GB2312"/>
          <w:sz w:val="32"/>
          <w:szCs w:val="32"/>
          <w:highlight w:val="none"/>
          <w:lang w:val="en-US" w:eastAsia="zh-CN"/>
        </w:rPr>
        <w:t>列入单位预算</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其中：财政对工伤保险基金的补助（项）2022年预算支出3189.95元，比上年预算数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增加的主要原因是：工伤保险</w:t>
      </w:r>
      <w:r>
        <w:rPr>
          <w:rFonts w:hint="eastAsia" w:ascii="仿宋_GB2312" w:hAnsi="黑体" w:eastAsia="仿宋_GB2312"/>
          <w:sz w:val="32"/>
          <w:szCs w:val="32"/>
          <w:highlight w:val="none"/>
          <w:lang w:val="en-US" w:eastAsia="zh-CN"/>
        </w:rPr>
        <w:t>列入单位预算</w:t>
      </w:r>
      <w:r>
        <w:rPr>
          <w:rFonts w:hint="eastAsia" w:ascii="仿宋_GB2312" w:hAnsi="宋体" w:eastAsia="仿宋_GB2312"/>
          <w:sz w:val="32"/>
          <w:szCs w:val="32"/>
          <w:highlight w:val="none"/>
        </w:rPr>
        <w:t>。</w:t>
      </w:r>
    </w:p>
    <w:p>
      <w:pPr>
        <w:numPr>
          <w:ilvl w:val="0"/>
          <w:numId w:val="0"/>
        </w:numPr>
        <w:spacing w:line="640" w:lineRule="exact"/>
        <w:ind w:firstLine="643" w:firstLineChars="200"/>
        <w:rPr>
          <w:rFonts w:hint="eastAsia" w:ascii="仿宋_GB2312" w:hAnsi="宋体" w:eastAsia="仿宋_GB2312"/>
          <w:sz w:val="32"/>
          <w:szCs w:val="32"/>
          <w:highlight w:val="none"/>
        </w:rPr>
      </w:pPr>
      <w:r>
        <w:rPr>
          <w:rFonts w:hint="eastAsia" w:ascii="仿宋_GB2312" w:hAnsi="黑体" w:eastAsia="仿宋_GB2312"/>
          <w:b/>
          <w:sz w:val="32"/>
          <w:szCs w:val="32"/>
          <w:highlight w:val="none"/>
        </w:rPr>
        <w:t>（</w:t>
      </w:r>
      <w:r>
        <w:rPr>
          <w:rFonts w:hint="eastAsia" w:ascii="仿宋_GB2312" w:hAnsi="黑体" w:eastAsia="仿宋_GB2312"/>
          <w:b/>
          <w:sz w:val="32"/>
          <w:szCs w:val="32"/>
          <w:highlight w:val="none"/>
          <w:lang w:eastAsia="zh-CN"/>
        </w:rPr>
        <w:t>三</w:t>
      </w:r>
      <w:r>
        <w:rPr>
          <w:rFonts w:hint="eastAsia" w:ascii="仿宋_GB2312" w:hAnsi="黑体" w:eastAsia="仿宋_GB2312"/>
          <w:b/>
          <w:sz w:val="32"/>
          <w:szCs w:val="32"/>
          <w:highlight w:val="none"/>
        </w:rPr>
        <w:t>）卫生健康支出（类</w:t>
      </w:r>
      <w:r>
        <w:rPr>
          <w:rFonts w:hint="eastAsia" w:ascii="仿宋_GB2312" w:hAnsi="黑体" w:eastAsia="仿宋_GB2312"/>
          <w:sz w:val="32"/>
          <w:szCs w:val="32"/>
          <w:highlight w:val="none"/>
        </w:rPr>
        <w:t>）财政对基本医疗保险基金的补助（款）2022年预算支出106449.81</w:t>
      </w:r>
      <w:r>
        <w:rPr>
          <w:rFonts w:hint="eastAsia" w:ascii="仿宋_GB2312" w:hAnsi="黑体" w:eastAsia="仿宋_GB2312"/>
          <w:sz w:val="32"/>
          <w:szCs w:val="32"/>
        </w:rPr>
        <w:t>元，比上年预算数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增加的主要原因是：卫生健康支出</w:t>
      </w:r>
      <w:r>
        <w:rPr>
          <w:rFonts w:hint="eastAsia" w:ascii="仿宋_GB2312" w:hAnsi="黑体" w:eastAsia="仿宋_GB2312"/>
          <w:sz w:val="32"/>
          <w:szCs w:val="32"/>
          <w:highlight w:val="none"/>
          <w:lang w:val="en-US" w:eastAsia="zh-CN"/>
        </w:rPr>
        <w:t>列入单位预算</w:t>
      </w:r>
      <w:r>
        <w:rPr>
          <w:rFonts w:hint="eastAsia" w:ascii="仿宋_GB2312" w:hAnsi="宋体" w:eastAsia="仿宋_GB2312"/>
          <w:sz w:val="32"/>
          <w:szCs w:val="32"/>
          <w:highlight w:val="none"/>
        </w:rPr>
        <w:t>。</w:t>
      </w:r>
      <w:r>
        <w:rPr>
          <w:rFonts w:hint="eastAsia" w:ascii="仿宋_GB2312" w:hAnsi="黑体" w:eastAsia="仿宋_GB2312"/>
          <w:sz w:val="32"/>
          <w:szCs w:val="32"/>
        </w:rPr>
        <w:t>其中：财政对职工基本医疗保险基金的补助（项）2022年预算支出</w:t>
      </w:r>
      <w:r>
        <w:rPr>
          <w:rFonts w:hint="eastAsia" w:ascii="仿宋_GB2312" w:hAnsi="黑体" w:eastAsia="仿宋_GB2312"/>
          <w:sz w:val="32"/>
          <w:szCs w:val="32"/>
          <w:highlight w:val="none"/>
        </w:rPr>
        <w:t>106449.81</w:t>
      </w:r>
      <w:r>
        <w:rPr>
          <w:rFonts w:hint="eastAsia" w:ascii="仿宋_GB2312" w:hAnsi="黑体" w:eastAsia="仿宋_GB2312"/>
          <w:sz w:val="32"/>
          <w:szCs w:val="32"/>
        </w:rPr>
        <w:t>元，比上年预算数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增加的主要原因是：卫生健康支出</w:t>
      </w:r>
      <w:r>
        <w:rPr>
          <w:rFonts w:hint="eastAsia" w:ascii="仿宋_GB2312" w:hAnsi="黑体" w:eastAsia="仿宋_GB2312"/>
          <w:sz w:val="32"/>
          <w:szCs w:val="32"/>
          <w:highlight w:val="none"/>
          <w:lang w:val="en-US" w:eastAsia="zh-CN"/>
        </w:rPr>
        <w:t>列入单位预算</w:t>
      </w:r>
      <w:r>
        <w:rPr>
          <w:rFonts w:hint="eastAsia" w:ascii="仿宋_GB2312" w:hAnsi="宋体" w:eastAsia="仿宋_GB2312"/>
          <w:sz w:val="32"/>
          <w:szCs w:val="32"/>
          <w:highlight w:val="none"/>
        </w:rPr>
        <w:t>。</w:t>
      </w:r>
    </w:p>
    <w:p>
      <w:pPr>
        <w:spacing w:line="640" w:lineRule="exact"/>
        <w:ind w:firstLine="643" w:firstLineChars="200"/>
        <w:rPr>
          <w:rFonts w:ascii="仿宋_GB2312" w:hAnsi="黑体" w:eastAsia="仿宋_GB2312"/>
          <w:sz w:val="32"/>
          <w:szCs w:val="32"/>
          <w:highlight w:val="none"/>
        </w:rPr>
      </w:pPr>
      <w:r>
        <w:rPr>
          <w:rFonts w:hint="eastAsia" w:ascii="仿宋_GB2312" w:hAnsi="黑体" w:eastAsia="仿宋_GB2312"/>
          <w:b/>
          <w:sz w:val="32"/>
          <w:szCs w:val="32"/>
          <w:highlight w:val="none"/>
        </w:rPr>
        <w:t>（</w:t>
      </w:r>
      <w:r>
        <w:rPr>
          <w:rFonts w:hint="eastAsia" w:ascii="仿宋_GB2312" w:hAnsi="黑体" w:eastAsia="仿宋_GB2312"/>
          <w:b/>
          <w:sz w:val="32"/>
          <w:szCs w:val="32"/>
          <w:highlight w:val="none"/>
          <w:lang w:eastAsia="zh-CN"/>
        </w:rPr>
        <w:t>四</w:t>
      </w:r>
      <w:r>
        <w:rPr>
          <w:rFonts w:hint="eastAsia" w:ascii="仿宋_GB2312" w:hAnsi="黑体" w:eastAsia="仿宋_GB2312"/>
          <w:b/>
          <w:sz w:val="32"/>
          <w:szCs w:val="32"/>
          <w:highlight w:val="none"/>
        </w:rPr>
        <w:t>）农林水支出（类</w:t>
      </w:r>
      <w:r>
        <w:rPr>
          <w:rFonts w:hint="eastAsia" w:ascii="仿宋_GB2312" w:hAnsi="黑体" w:eastAsia="仿宋_GB2312"/>
          <w:sz w:val="32"/>
          <w:szCs w:val="32"/>
          <w:highlight w:val="none"/>
        </w:rPr>
        <w:t>）水利（款）2022年预算支出2235208.00元，比上年预算数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17.82</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增加的主要原因是：人员工资增加</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其中：行政运行（项）2022年预算支出2235208.00元，比上年预算数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17.82</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增加的主要原因是：人员工资增加</w:t>
      </w:r>
      <w:r>
        <w:rPr>
          <w:rFonts w:hint="eastAsia" w:ascii="仿宋_GB2312" w:hAnsi="宋体" w:eastAsia="仿宋_GB2312"/>
          <w:sz w:val="32"/>
          <w:szCs w:val="32"/>
          <w:highlight w:val="none"/>
        </w:rPr>
        <w:t>。</w:t>
      </w:r>
    </w:p>
    <w:p>
      <w:pPr>
        <w:numPr>
          <w:ilvl w:val="0"/>
          <w:numId w:val="0"/>
        </w:numPr>
        <w:spacing w:line="640" w:lineRule="exact"/>
        <w:ind w:firstLine="643" w:firstLineChars="200"/>
        <w:rPr>
          <w:rFonts w:hint="eastAsia" w:ascii="仿宋_GB2312" w:hAnsi="宋体" w:eastAsia="仿宋_GB2312"/>
          <w:sz w:val="32"/>
          <w:szCs w:val="32"/>
          <w:highlight w:val="none"/>
        </w:rPr>
      </w:pPr>
      <w:r>
        <w:rPr>
          <w:rFonts w:hint="eastAsia" w:ascii="仿宋_GB2312" w:hAnsi="黑体" w:eastAsia="仿宋_GB2312"/>
          <w:b/>
          <w:sz w:val="32"/>
          <w:szCs w:val="32"/>
          <w:highlight w:val="none"/>
        </w:rPr>
        <w:t>（</w:t>
      </w:r>
      <w:r>
        <w:rPr>
          <w:rFonts w:hint="eastAsia" w:ascii="仿宋_GB2312" w:hAnsi="黑体" w:eastAsia="仿宋_GB2312"/>
          <w:b/>
          <w:sz w:val="32"/>
          <w:szCs w:val="32"/>
          <w:highlight w:val="none"/>
          <w:lang w:eastAsia="zh-CN"/>
        </w:rPr>
        <w:t>五</w:t>
      </w:r>
      <w:r>
        <w:rPr>
          <w:rFonts w:hint="eastAsia" w:ascii="仿宋_GB2312" w:hAnsi="黑体" w:eastAsia="仿宋_GB2312"/>
          <w:b/>
          <w:sz w:val="32"/>
          <w:szCs w:val="32"/>
          <w:highlight w:val="none"/>
        </w:rPr>
        <w:t>）住房保障支出（类</w:t>
      </w:r>
      <w:r>
        <w:rPr>
          <w:rFonts w:hint="eastAsia" w:ascii="仿宋_GB2312" w:hAnsi="黑体" w:eastAsia="仿宋_GB2312"/>
          <w:sz w:val="32"/>
          <w:szCs w:val="32"/>
          <w:highlight w:val="none"/>
        </w:rPr>
        <w:t>）住房改革支出（款）2022年预算支出191936.88</w:t>
      </w:r>
      <w:r>
        <w:rPr>
          <w:rFonts w:hint="eastAsia" w:ascii="仿宋_GB2312" w:hAnsi="黑体" w:eastAsia="仿宋_GB2312"/>
          <w:sz w:val="32"/>
          <w:szCs w:val="32"/>
        </w:rPr>
        <w:t>元，比上年预算数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增加的主要原因是：</w:t>
      </w:r>
      <w:r>
        <w:rPr>
          <w:rFonts w:hint="eastAsia" w:ascii="仿宋_GB2312" w:hAnsi="黑体" w:eastAsia="仿宋_GB2312"/>
          <w:sz w:val="32"/>
          <w:szCs w:val="32"/>
        </w:rPr>
        <w:t>住房公积金</w:t>
      </w:r>
      <w:r>
        <w:rPr>
          <w:rFonts w:hint="eastAsia" w:ascii="仿宋_GB2312" w:hAnsi="黑体" w:eastAsia="仿宋_GB2312"/>
          <w:sz w:val="32"/>
          <w:szCs w:val="32"/>
          <w:highlight w:val="none"/>
          <w:lang w:val="en-US" w:eastAsia="zh-CN"/>
        </w:rPr>
        <w:t>列入单位预算</w:t>
      </w:r>
      <w:r>
        <w:rPr>
          <w:rFonts w:hint="eastAsia" w:ascii="仿宋_GB2312" w:hAnsi="宋体" w:eastAsia="仿宋_GB2312"/>
          <w:sz w:val="32"/>
          <w:szCs w:val="32"/>
          <w:highlight w:val="none"/>
        </w:rPr>
        <w:t>。</w:t>
      </w:r>
      <w:r>
        <w:rPr>
          <w:rFonts w:hint="eastAsia" w:ascii="仿宋_GB2312" w:hAnsi="黑体" w:eastAsia="仿宋_GB2312"/>
          <w:sz w:val="32"/>
          <w:szCs w:val="32"/>
        </w:rPr>
        <w:t>其中：住房公积金（项）2022年预算支出</w:t>
      </w:r>
      <w:r>
        <w:rPr>
          <w:rFonts w:hint="eastAsia" w:ascii="仿宋_GB2312" w:hAnsi="黑体" w:eastAsia="仿宋_GB2312"/>
          <w:sz w:val="32"/>
          <w:szCs w:val="32"/>
          <w:highlight w:val="none"/>
        </w:rPr>
        <w:t>191936.88</w:t>
      </w:r>
      <w:r>
        <w:rPr>
          <w:rFonts w:hint="eastAsia" w:ascii="仿宋_GB2312" w:hAnsi="黑体" w:eastAsia="仿宋_GB2312"/>
          <w:sz w:val="32"/>
          <w:szCs w:val="32"/>
        </w:rPr>
        <w:t>元，比上年预算数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增加的主要原因是：</w:t>
      </w:r>
      <w:r>
        <w:rPr>
          <w:rFonts w:hint="eastAsia" w:ascii="仿宋_GB2312" w:hAnsi="黑体" w:eastAsia="仿宋_GB2312"/>
          <w:sz w:val="32"/>
          <w:szCs w:val="32"/>
        </w:rPr>
        <w:t>住房公积金</w:t>
      </w:r>
      <w:r>
        <w:rPr>
          <w:rFonts w:hint="eastAsia" w:ascii="仿宋_GB2312" w:hAnsi="黑体" w:eastAsia="仿宋_GB2312"/>
          <w:sz w:val="32"/>
          <w:szCs w:val="32"/>
          <w:highlight w:val="none"/>
          <w:lang w:val="en-US" w:eastAsia="zh-CN"/>
        </w:rPr>
        <w:t>列入单位预算</w:t>
      </w:r>
      <w:r>
        <w:rPr>
          <w:rFonts w:hint="eastAsia" w:ascii="仿宋_GB2312" w:hAnsi="宋体" w:eastAsia="仿宋_GB2312"/>
          <w:sz w:val="32"/>
          <w:szCs w:val="32"/>
          <w:highlight w:val="none"/>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三、部门一般公共预算基本支出情况说明</w:t>
      </w:r>
    </w:p>
    <w:p>
      <w:pPr>
        <w:ind w:firstLine="640" w:firstLineChars="200"/>
        <w:rPr>
          <w:highlight w:val="none"/>
        </w:rPr>
      </w:pPr>
      <w:r>
        <w:rPr>
          <w:rFonts w:hint="eastAsia" w:ascii="仿宋_GB2312" w:hAnsi="黑体" w:eastAsia="仿宋_GB2312"/>
          <w:sz w:val="32"/>
          <w:szCs w:val="32"/>
        </w:rPr>
        <w:t>2022年一般公共预算基本支出</w:t>
      </w:r>
      <w:r>
        <w:rPr>
          <w:rFonts w:hint="eastAsia" w:ascii="仿宋_GB2312" w:hAnsi="宋体" w:eastAsia="仿宋_GB2312"/>
          <w:sz w:val="32"/>
          <w:szCs w:val="32"/>
        </w:rPr>
        <w:t>2809956.48</w:t>
      </w:r>
      <w:r>
        <w:rPr>
          <w:rFonts w:hint="eastAsia" w:ascii="仿宋_GB2312" w:hAnsi="黑体" w:eastAsia="仿宋_GB2312"/>
          <w:sz w:val="32"/>
          <w:szCs w:val="32"/>
        </w:rPr>
        <w:t>元，其中：人员经</w:t>
      </w:r>
      <w:r>
        <w:rPr>
          <w:rFonts w:hint="eastAsia" w:ascii="仿宋_GB2312" w:hAnsi="黑体" w:eastAsia="仿宋_GB2312"/>
          <w:sz w:val="32"/>
          <w:szCs w:val="32"/>
          <w:highlight w:val="none"/>
        </w:rPr>
        <w:t>费2729956.48元，单位运转经费</w:t>
      </w:r>
      <w:r>
        <w:rPr>
          <w:rFonts w:hint="eastAsia" w:ascii="仿宋_GB2312" w:hAnsi="黑体" w:eastAsia="仿宋_GB2312"/>
          <w:sz w:val="32"/>
          <w:szCs w:val="32"/>
          <w:highlight w:val="none"/>
          <w:lang w:val="en-US" w:eastAsia="zh-CN"/>
        </w:rPr>
        <w:t>80000</w:t>
      </w:r>
      <w:r>
        <w:rPr>
          <w:rFonts w:hint="eastAsia" w:ascii="仿宋_GB2312" w:hAnsi="黑体" w:eastAsia="仿宋_GB2312"/>
          <w:sz w:val="32"/>
          <w:szCs w:val="32"/>
          <w:highlight w:val="none"/>
        </w:rPr>
        <w:t>元，比上年预算数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30.01</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增加的主要原因是：人员工资增加</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四、部门“三公”经费情况说明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rPr>
        <w:t>2022年“三公”经费预</w:t>
      </w:r>
      <w:r>
        <w:rPr>
          <w:rFonts w:hint="eastAsia" w:ascii="仿宋_GB2312" w:hAnsi="黑体" w:eastAsia="仿宋_GB2312"/>
          <w:sz w:val="32"/>
          <w:szCs w:val="32"/>
          <w:highlight w:val="none"/>
          <w:lang w:eastAsia="zh-CN"/>
        </w:rPr>
        <w:t>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（一）因公出国（境）费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（二）公务接待费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rPr>
        <w:t>（三）公务用车购置</w:t>
      </w:r>
      <w:r>
        <w:rPr>
          <w:rFonts w:hint="eastAsia" w:ascii="楷体_GB2312" w:hAnsi="黑体" w:eastAsia="楷体_GB2312"/>
          <w:b/>
          <w:sz w:val="32"/>
          <w:szCs w:val="32"/>
          <w:highlight w:val="none"/>
        </w:rPr>
        <w:t>和运行</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(四）会议费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(五) 培训费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rPr>
      </w:pPr>
      <w:r>
        <w:rPr>
          <w:rFonts w:hint="eastAsia" w:ascii="黑体" w:hAnsi="黑体" w:eastAsia="黑体"/>
          <w:sz w:val="32"/>
          <w:szCs w:val="32"/>
        </w:rPr>
        <w:t>五、部门机关运行经费及政府采购预算情况说明</w:t>
      </w:r>
    </w:p>
    <w:p>
      <w:pPr>
        <w:spacing w:line="640"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2022年机关运行经费预算</w:t>
      </w:r>
      <w:r>
        <w:rPr>
          <w:rFonts w:hint="eastAsia" w:ascii="仿宋_GB2312" w:hAnsi="黑体" w:eastAsia="仿宋_GB2312"/>
          <w:sz w:val="32"/>
          <w:szCs w:val="32"/>
          <w:highlight w:val="none"/>
          <w:lang w:val="en-US" w:eastAsia="zh-CN"/>
        </w:rPr>
        <w:t>109400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无变化</w:t>
      </w:r>
      <w:r>
        <w:rPr>
          <w:rFonts w:hint="eastAsia" w:ascii="仿宋_GB2312" w:hAnsi="黑体" w:eastAsia="仿宋_GB2312"/>
          <w:sz w:val="32"/>
          <w:szCs w:val="32"/>
          <w:highlight w:val="none"/>
        </w:rPr>
        <w:t>。政府采购预算</w:t>
      </w:r>
      <w:r>
        <w:rPr>
          <w:rFonts w:hint="eastAsia" w:ascii="仿宋_GB2312" w:hAnsi="黑体" w:eastAsia="仿宋_GB2312"/>
          <w:sz w:val="32"/>
          <w:szCs w:val="32"/>
          <w:highlight w:val="none"/>
          <w:lang w:val="en-US" w:eastAsia="zh-CN"/>
        </w:rPr>
        <w:t>18000</w:t>
      </w:r>
      <w:r>
        <w:rPr>
          <w:rFonts w:hint="eastAsia" w:ascii="仿宋_GB2312" w:hAnsi="黑体" w:eastAsia="仿宋_GB2312"/>
          <w:sz w:val="32"/>
          <w:szCs w:val="32"/>
          <w:highlight w:val="none"/>
        </w:rPr>
        <w:t>元，比上年预算数增加</w:t>
      </w:r>
      <w:r>
        <w:rPr>
          <w:rFonts w:hint="eastAsia" w:ascii="仿宋_GB2312" w:hAnsi="黑体" w:eastAsia="仿宋_GB2312"/>
          <w:sz w:val="32"/>
          <w:szCs w:val="32"/>
          <w:highlight w:val="none"/>
          <w:lang w:val="en-US" w:eastAsia="zh-CN"/>
        </w:rPr>
        <w:t>18000</w:t>
      </w:r>
      <w:r>
        <w:rPr>
          <w:rFonts w:hint="eastAsia" w:ascii="仿宋_GB2312" w:hAnsi="黑体" w:eastAsia="仿宋_GB2312"/>
          <w:sz w:val="32"/>
          <w:szCs w:val="32"/>
          <w:highlight w:val="none"/>
        </w:rPr>
        <w:t>元，增长</w:t>
      </w:r>
      <w:r>
        <w:rPr>
          <w:rFonts w:hint="eastAsia" w:ascii="仿宋_GB2312" w:hAnsi="黑体" w:eastAsia="仿宋_GB2312"/>
          <w:sz w:val="32"/>
          <w:szCs w:val="32"/>
          <w:highlight w:val="none"/>
          <w:lang w:val="en-US" w:eastAsia="zh-CN"/>
        </w:rPr>
        <w:t>100</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eastAsia="zh-CN"/>
        </w:rPr>
        <w:t>政府</w:t>
      </w:r>
      <w:r>
        <w:rPr>
          <w:rFonts w:hint="eastAsia" w:ascii="仿宋_GB2312" w:hAnsi="黑体" w:eastAsia="仿宋_GB2312"/>
          <w:sz w:val="32"/>
          <w:szCs w:val="32"/>
          <w:highlight w:val="none"/>
          <w:lang w:val="en-US" w:eastAsia="zh-CN"/>
        </w:rPr>
        <w:t>货物</w:t>
      </w:r>
      <w:bookmarkStart w:id="0" w:name="_GoBack"/>
      <w:bookmarkEnd w:id="0"/>
      <w:r>
        <w:rPr>
          <w:rFonts w:hint="eastAsia" w:ascii="仿宋_GB2312" w:hAnsi="黑体" w:eastAsia="仿宋_GB2312"/>
          <w:sz w:val="32"/>
          <w:szCs w:val="32"/>
          <w:highlight w:val="none"/>
          <w:lang w:eastAsia="zh-CN"/>
        </w:rPr>
        <w:t>采购数增加</w:t>
      </w:r>
      <w:r>
        <w:rPr>
          <w:rFonts w:hint="eastAsia" w:ascii="仿宋_GB2312" w:hAnsi="黑体" w:eastAsia="仿宋_GB2312"/>
          <w:sz w:val="32"/>
          <w:szCs w:val="32"/>
          <w:highlight w:val="none"/>
        </w:rPr>
        <w:t>，其中：政府采购货物预算</w:t>
      </w:r>
      <w:r>
        <w:rPr>
          <w:rFonts w:hint="eastAsia" w:ascii="仿宋_GB2312" w:hAnsi="黑体" w:eastAsia="仿宋_GB2312"/>
          <w:sz w:val="32"/>
          <w:szCs w:val="32"/>
          <w:highlight w:val="none"/>
          <w:lang w:val="en-US" w:eastAsia="zh-CN"/>
        </w:rPr>
        <w:t>18000</w:t>
      </w:r>
      <w:r>
        <w:rPr>
          <w:rFonts w:hint="eastAsia" w:ascii="仿宋_GB2312" w:hAnsi="黑体" w:eastAsia="仿宋_GB2312"/>
          <w:sz w:val="32"/>
          <w:szCs w:val="32"/>
          <w:highlight w:val="none"/>
        </w:rPr>
        <w:t>元，政府采购工程预算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元，政府采购服务预算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center"/>
        <w:rPr>
          <w:rFonts w:hint="eastAsia" w:ascii="仿宋_GB2312" w:hAnsi="黑体" w:eastAsia="仿宋_GB2312"/>
          <w:b/>
          <w:sz w:val="52"/>
          <w:szCs w:val="52"/>
        </w:rPr>
      </w:pPr>
    </w:p>
    <w:p>
      <w:pPr>
        <w:spacing w:line="840" w:lineRule="exact"/>
        <w:jc w:val="both"/>
        <w:rPr>
          <w:rFonts w:hint="eastAsia"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OGI5NmM3MDQwN2QzZTZjNWIyN2M4NGI5ODM3MDk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C2CDB"/>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25A34EF"/>
    <w:rsid w:val="047D2F82"/>
    <w:rsid w:val="060021DC"/>
    <w:rsid w:val="064D410C"/>
    <w:rsid w:val="06746E88"/>
    <w:rsid w:val="06821B95"/>
    <w:rsid w:val="0689383B"/>
    <w:rsid w:val="07EA6CFD"/>
    <w:rsid w:val="0A116753"/>
    <w:rsid w:val="0A57581E"/>
    <w:rsid w:val="0B896034"/>
    <w:rsid w:val="0D824E94"/>
    <w:rsid w:val="0E6F37D9"/>
    <w:rsid w:val="112936A0"/>
    <w:rsid w:val="1250416D"/>
    <w:rsid w:val="127B3B2F"/>
    <w:rsid w:val="13B82E0D"/>
    <w:rsid w:val="141D039C"/>
    <w:rsid w:val="17432B85"/>
    <w:rsid w:val="17AC7EF2"/>
    <w:rsid w:val="1909264A"/>
    <w:rsid w:val="198119BE"/>
    <w:rsid w:val="19A075E2"/>
    <w:rsid w:val="1B143B5A"/>
    <w:rsid w:val="1B78482C"/>
    <w:rsid w:val="1C6D1D31"/>
    <w:rsid w:val="1D654F62"/>
    <w:rsid w:val="1DBC0D4D"/>
    <w:rsid w:val="204B1966"/>
    <w:rsid w:val="205A7194"/>
    <w:rsid w:val="210F4887"/>
    <w:rsid w:val="21BE3F87"/>
    <w:rsid w:val="22273516"/>
    <w:rsid w:val="2233056C"/>
    <w:rsid w:val="225C13BC"/>
    <w:rsid w:val="23513756"/>
    <w:rsid w:val="250F1490"/>
    <w:rsid w:val="25662E27"/>
    <w:rsid w:val="26093A3C"/>
    <w:rsid w:val="29183639"/>
    <w:rsid w:val="292A0545"/>
    <w:rsid w:val="29EC23D0"/>
    <w:rsid w:val="2B26350E"/>
    <w:rsid w:val="2B5C1C56"/>
    <w:rsid w:val="2BCF3D4E"/>
    <w:rsid w:val="2D550DF7"/>
    <w:rsid w:val="2DBA0562"/>
    <w:rsid w:val="30BB3444"/>
    <w:rsid w:val="31352995"/>
    <w:rsid w:val="322E1FC9"/>
    <w:rsid w:val="32A96D1A"/>
    <w:rsid w:val="339E2D01"/>
    <w:rsid w:val="34032DB0"/>
    <w:rsid w:val="34B82D6F"/>
    <w:rsid w:val="373703E1"/>
    <w:rsid w:val="37580FE7"/>
    <w:rsid w:val="39276F80"/>
    <w:rsid w:val="396616D2"/>
    <w:rsid w:val="39A71DAE"/>
    <w:rsid w:val="3D8C4411"/>
    <w:rsid w:val="3F5F62E4"/>
    <w:rsid w:val="3FB86B84"/>
    <w:rsid w:val="40465DD0"/>
    <w:rsid w:val="40CC1D5D"/>
    <w:rsid w:val="40D972F3"/>
    <w:rsid w:val="416268DB"/>
    <w:rsid w:val="42713368"/>
    <w:rsid w:val="42B07FE6"/>
    <w:rsid w:val="43365961"/>
    <w:rsid w:val="4407632C"/>
    <w:rsid w:val="452F6292"/>
    <w:rsid w:val="46375778"/>
    <w:rsid w:val="46AC58DB"/>
    <w:rsid w:val="47AF499B"/>
    <w:rsid w:val="484D612A"/>
    <w:rsid w:val="48A9072C"/>
    <w:rsid w:val="4903227F"/>
    <w:rsid w:val="4C7C718B"/>
    <w:rsid w:val="4D903B41"/>
    <w:rsid w:val="4DA8126D"/>
    <w:rsid w:val="4DD72226"/>
    <w:rsid w:val="4E4A12EF"/>
    <w:rsid w:val="4EA300AE"/>
    <w:rsid w:val="50185588"/>
    <w:rsid w:val="50622DD8"/>
    <w:rsid w:val="51C77E42"/>
    <w:rsid w:val="53F114F8"/>
    <w:rsid w:val="54B1376D"/>
    <w:rsid w:val="56311F34"/>
    <w:rsid w:val="564548F7"/>
    <w:rsid w:val="565305B1"/>
    <w:rsid w:val="56C73340"/>
    <w:rsid w:val="59441D15"/>
    <w:rsid w:val="5A3206F2"/>
    <w:rsid w:val="5A625C12"/>
    <w:rsid w:val="5EF024F4"/>
    <w:rsid w:val="605B32A8"/>
    <w:rsid w:val="61EF1B1B"/>
    <w:rsid w:val="62035A8C"/>
    <w:rsid w:val="621A3658"/>
    <w:rsid w:val="62B62979"/>
    <w:rsid w:val="633E7AAA"/>
    <w:rsid w:val="63584057"/>
    <w:rsid w:val="639C0FD0"/>
    <w:rsid w:val="64252B6E"/>
    <w:rsid w:val="651520BC"/>
    <w:rsid w:val="65923509"/>
    <w:rsid w:val="661A6258"/>
    <w:rsid w:val="683270AF"/>
    <w:rsid w:val="6A136FDE"/>
    <w:rsid w:val="6A752B54"/>
    <w:rsid w:val="6EA6456E"/>
    <w:rsid w:val="708E3E80"/>
    <w:rsid w:val="74517818"/>
    <w:rsid w:val="75840CDB"/>
    <w:rsid w:val="759F5F29"/>
    <w:rsid w:val="75FA50B5"/>
    <w:rsid w:val="766B11E6"/>
    <w:rsid w:val="77781E83"/>
    <w:rsid w:val="78062181"/>
    <w:rsid w:val="78C94A61"/>
    <w:rsid w:val="78C976F4"/>
    <w:rsid w:val="794965D5"/>
    <w:rsid w:val="79D61FC6"/>
    <w:rsid w:val="7CF82ADB"/>
    <w:rsid w:val="7E582D05"/>
    <w:rsid w:val="7F2E2508"/>
    <w:rsid w:val="7FFD4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 w:type="paragraph" w:customStyle="1" w:styleId="12">
    <w:name w:val="Body text|1"/>
    <w:basedOn w:val="1"/>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13</Pages>
  <Words>2606</Words>
  <Characters>3025</Characters>
  <Lines>16</Lines>
  <Paragraphs>4</Paragraphs>
  <TotalTime>0</TotalTime>
  <ScaleCrop>false</ScaleCrop>
  <LinksUpToDate>false</LinksUpToDate>
  <CharactersWithSpaces>3079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2023-06-07T10:16:12Z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BF5E72DBD9294602B150AE7E9730E1B3_13</vt:lpwstr>
  </property>
</Properties>
</file>