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东乡县柳树乡卫生院</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为人民身体健康提供医疗与护理保健服务。医疗、护理、预防保健、合作医疗组织与管理。</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ind w:firstLine="640" w:firstLineChars="200"/>
        <w:rPr>
          <w:rFonts w:hint="eastAsia" w:ascii="仿宋" w:hAnsi="仿宋" w:eastAsia="仿宋" w:cs="仿宋"/>
          <w:color w:val="000000" w:themeColor="text1"/>
          <w:kern w:val="0"/>
          <w:sz w:val="32"/>
          <w:szCs w:val="32"/>
          <w:highlight w:val="none"/>
          <w:lang w:val="en-US" w:eastAsia="zh-CN" w:bidi="ar"/>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
          <w14:textFill>
            <w14:solidFill>
              <w14:schemeClr w14:val="tx1"/>
            </w14:solidFill>
          </w14:textFill>
        </w:rPr>
        <w:t>我</w:t>
      </w:r>
      <w:r>
        <w:rPr>
          <w:rFonts w:hint="eastAsia" w:ascii="仿宋_GB2312" w:eastAsia="仿宋_GB2312"/>
          <w:color w:val="000000" w:themeColor="text1"/>
          <w:sz w:val="30"/>
          <w:szCs w:val="30"/>
          <w:highlight w:val="none"/>
          <w:lang w:val="en-US" w:eastAsia="zh-CN"/>
          <w14:textFill>
            <w14:solidFill>
              <w14:schemeClr w14:val="tx1"/>
            </w14:solidFill>
          </w14:textFill>
        </w:rPr>
        <w:t>院现有职工22名，专业技术人员5名，管理人员1名，其中正</w:t>
      </w:r>
      <w:r>
        <w:rPr>
          <w:rFonts w:hint="eastAsia" w:ascii="仿宋" w:hAnsi="仿宋" w:eastAsia="仿宋" w:cs="仿宋"/>
          <w:color w:val="000000" w:themeColor="text1"/>
          <w:kern w:val="0"/>
          <w:sz w:val="32"/>
          <w:szCs w:val="32"/>
          <w:highlight w:val="none"/>
          <w:lang w:val="en-US" w:eastAsia="zh-CN" w:bidi="ar"/>
          <w14:textFill>
            <w14:solidFill>
              <w14:schemeClr w14:val="tx1"/>
            </w14:solidFill>
          </w14:textFill>
        </w:rPr>
        <w:t>式工有8名，临时工有8名，有执业助理医师资格证1名，注册护士有4名。开设有全科门诊、中医理疗科、治疗室、检验室、B超室及心电图室等7个临床科室，设有公卫科、财务室、医保办、计划免疫室、妇幼保健室、健康扶贫办公室、计划生育科、收费室等8个辅助科室。</w:t>
      </w:r>
    </w:p>
    <w:p>
      <w:pPr>
        <w:ind w:firstLine="600" w:firstLineChars="200"/>
        <w:rPr>
          <w:rFonts w:hint="eastAsia" w:ascii="仿宋_GB2312" w:eastAsia="仿宋_GB2312"/>
          <w:color w:val="auto"/>
          <w:sz w:val="30"/>
          <w:szCs w:val="30"/>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val="en-US" w:eastAsia="zh-CN"/>
        </w:rPr>
        <w:t>2022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度收入总计</w:t>
      </w:r>
      <w:r>
        <w:rPr>
          <w:rFonts w:hint="eastAsia" w:ascii="仿宋_GB2312" w:eastAsia="仿宋_GB2312"/>
          <w:color w:val="auto"/>
          <w:sz w:val="30"/>
          <w:szCs w:val="30"/>
          <w:lang w:val="en-US" w:eastAsia="zh-CN"/>
        </w:rPr>
        <w:t>2057232.54</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2057232.54</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w:t>
      </w:r>
      <w:r>
        <w:rPr>
          <w:rFonts w:hint="eastAsia" w:ascii="仿宋_GB2312" w:eastAsia="仿宋_GB2312"/>
          <w:color w:val="auto"/>
          <w:sz w:val="30"/>
          <w:szCs w:val="30"/>
          <w:lang w:val="en-US" w:eastAsia="zh-CN"/>
        </w:rPr>
        <w:t>21</w:t>
      </w:r>
      <w:r>
        <w:rPr>
          <w:rFonts w:hint="eastAsia" w:ascii="仿宋_GB2312" w:eastAsia="仿宋_GB2312"/>
          <w:color w:val="auto"/>
          <w:sz w:val="30"/>
          <w:szCs w:val="30"/>
        </w:rPr>
        <w:t>年决算数相比，收入</w:t>
      </w:r>
      <w:r>
        <w:rPr>
          <w:rFonts w:hint="eastAsia" w:ascii="仿宋_GB2312" w:eastAsia="仿宋_GB2312"/>
          <w:color w:val="auto"/>
          <w:sz w:val="30"/>
          <w:szCs w:val="30"/>
          <w:lang w:val="en-US" w:eastAsia="zh-CN"/>
        </w:rPr>
        <w:t>增加240195.21</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增加13.22</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增加68130.67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增加3.43</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本年度事业收入</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致使总收入</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度收入合计</w:t>
      </w:r>
      <w:r>
        <w:rPr>
          <w:rFonts w:hint="eastAsia" w:ascii="仿宋_GB2312" w:eastAsia="仿宋_GB2312"/>
          <w:color w:val="auto"/>
          <w:sz w:val="30"/>
          <w:szCs w:val="30"/>
          <w:lang w:val="en-US" w:eastAsia="zh-CN"/>
        </w:rPr>
        <w:t>2057232.54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1868260.21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总收入的</w:t>
      </w:r>
      <w:r>
        <w:rPr>
          <w:rFonts w:hint="eastAsia" w:ascii="仿宋_GB2312" w:eastAsia="仿宋_GB2312"/>
          <w:color w:val="auto"/>
          <w:sz w:val="30"/>
          <w:szCs w:val="30"/>
          <w:lang w:val="en-US" w:eastAsia="zh-CN"/>
        </w:rPr>
        <w:t>90.81</w:t>
      </w:r>
      <w:r>
        <w:rPr>
          <w:rFonts w:hint="eastAsia" w:ascii="仿宋_GB2312" w:eastAsia="仿宋_GB2312"/>
          <w:color w:val="auto"/>
          <w:sz w:val="30"/>
          <w:szCs w:val="30"/>
        </w:rPr>
        <w:t>%；事业收入</w:t>
      </w:r>
      <w:r>
        <w:rPr>
          <w:rFonts w:hint="eastAsia" w:ascii="仿宋_GB2312" w:eastAsia="仿宋_GB2312"/>
          <w:color w:val="auto"/>
          <w:sz w:val="30"/>
          <w:szCs w:val="30"/>
          <w:lang w:val="en-US" w:eastAsia="zh-CN"/>
        </w:rPr>
        <w:t>188972.33</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总收入的</w:t>
      </w:r>
      <w:r>
        <w:rPr>
          <w:rFonts w:hint="eastAsia" w:ascii="仿宋_GB2312" w:eastAsia="仿宋_GB2312"/>
          <w:color w:val="auto"/>
          <w:sz w:val="30"/>
          <w:szCs w:val="30"/>
          <w:lang w:val="en-US" w:eastAsia="zh-CN"/>
        </w:rPr>
        <w:t>9.19</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度支出合计</w:t>
      </w:r>
      <w:r>
        <w:rPr>
          <w:rFonts w:hint="eastAsia" w:ascii="仿宋_GB2312" w:eastAsia="仿宋_GB2312"/>
          <w:color w:val="auto"/>
          <w:sz w:val="30"/>
          <w:szCs w:val="30"/>
          <w:lang w:val="en-US" w:eastAsia="zh-CN"/>
        </w:rPr>
        <w:t>2057232.54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1378578.01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总支出的</w:t>
      </w:r>
      <w:r>
        <w:rPr>
          <w:rFonts w:hint="eastAsia" w:ascii="仿宋_GB2312" w:eastAsia="仿宋_GB2312"/>
          <w:color w:val="auto"/>
          <w:sz w:val="30"/>
          <w:szCs w:val="30"/>
          <w:lang w:val="en-US" w:eastAsia="zh-CN"/>
        </w:rPr>
        <w:t>67.01</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项目支出678654.53元，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总支出的</w:t>
      </w:r>
      <w:r>
        <w:rPr>
          <w:rFonts w:hint="eastAsia" w:ascii="仿宋_GB2312" w:eastAsia="仿宋_GB2312"/>
          <w:color w:val="auto"/>
          <w:sz w:val="30"/>
          <w:szCs w:val="30"/>
          <w:lang w:val="en-US" w:eastAsia="zh-CN"/>
        </w:rPr>
        <w:t>32.99</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val="en-US" w:eastAsia="zh-CN"/>
        </w:rPr>
        <w:t>2022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无增减。</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lang w:eastAsia="zh-CN"/>
        </w:rPr>
        <w:t>本部门2022年度财政拨款收入</w:t>
      </w:r>
      <w:r>
        <w:rPr>
          <w:rFonts w:hint="eastAsia" w:ascii="仿宋_GB2312" w:eastAsia="仿宋_GB2312"/>
          <w:color w:val="auto"/>
          <w:sz w:val="30"/>
          <w:szCs w:val="30"/>
          <w:lang w:val="en-US" w:eastAsia="zh-CN"/>
        </w:rPr>
        <w:t>1868260.21</w:t>
      </w:r>
      <w:r>
        <w:rPr>
          <w:rFonts w:hint="eastAsia" w:ascii="仿宋_GB2312" w:eastAsia="仿宋_GB2312"/>
          <w:color w:val="auto"/>
          <w:sz w:val="30"/>
          <w:szCs w:val="30"/>
          <w:lang w:eastAsia="zh-CN"/>
        </w:rPr>
        <w:t>元，较上年决算数</w:t>
      </w:r>
      <w:r>
        <w:rPr>
          <w:rFonts w:hint="eastAsia" w:ascii="仿宋_GB2312" w:eastAsia="仿宋_GB2312"/>
          <w:color w:val="auto"/>
          <w:sz w:val="30"/>
          <w:szCs w:val="30"/>
          <w:lang w:val="en-US" w:eastAsia="zh-CN"/>
        </w:rPr>
        <w:t>增加253179.05</w:t>
      </w:r>
      <w:r>
        <w:rPr>
          <w:rFonts w:hint="eastAsia" w:ascii="仿宋_GB2312" w:eastAsia="仿宋_GB2312"/>
          <w:color w:val="auto"/>
          <w:sz w:val="30"/>
          <w:szCs w:val="30"/>
          <w:lang w:eastAsia="zh-CN"/>
        </w:rPr>
        <w:t>元，</w:t>
      </w:r>
      <w:r>
        <w:rPr>
          <w:rFonts w:hint="eastAsia" w:ascii="仿宋_GB2312" w:eastAsia="仿宋_GB2312"/>
          <w:color w:val="auto"/>
          <w:sz w:val="30"/>
          <w:szCs w:val="30"/>
          <w:lang w:val="en-US" w:eastAsia="zh-CN"/>
        </w:rPr>
        <w:t>增加15.68</w:t>
      </w:r>
      <w:r>
        <w:rPr>
          <w:rFonts w:hint="eastAsia" w:ascii="仿宋_GB2312" w:eastAsia="仿宋_GB2312"/>
          <w:color w:val="auto"/>
          <w:sz w:val="30"/>
          <w:szCs w:val="30"/>
          <w:lang w:eastAsia="zh-CN"/>
        </w:rPr>
        <w:t>%。主要原因是基本公共卫生服务经费</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。较年初预算数</w:t>
      </w:r>
      <w:r>
        <w:rPr>
          <w:rFonts w:hint="eastAsia" w:ascii="仿宋_GB2312" w:eastAsia="仿宋_GB2312"/>
          <w:color w:val="auto"/>
          <w:sz w:val="30"/>
          <w:szCs w:val="30"/>
          <w:lang w:val="en-US" w:eastAsia="zh-CN"/>
        </w:rPr>
        <w:t>无增减。</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lang w:eastAsia="zh-CN"/>
        </w:rPr>
        <w:t>本部门2022年度财政拨款支出</w:t>
      </w:r>
      <w:r>
        <w:rPr>
          <w:rFonts w:hint="eastAsia" w:ascii="仿宋_GB2312" w:eastAsia="仿宋_GB2312"/>
          <w:color w:val="auto"/>
          <w:sz w:val="30"/>
          <w:szCs w:val="30"/>
          <w:lang w:val="en-US" w:eastAsia="zh-CN"/>
        </w:rPr>
        <w:t>1868260.21</w:t>
      </w:r>
      <w:r>
        <w:rPr>
          <w:rFonts w:hint="eastAsia" w:ascii="仿宋_GB2312" w:eastAsia="仿宋_GB2312"/>
          <w:color w:val="auto"/>
          <w:sz w:val="30"/>
          <w:szCs w:val="30"/>
          <w:lang w:eastAsia="zh-CN"/>
        </w:rPr>
        <w:t>元，较上年决算数</w:t>
      </w:r>
      <w:r>
        <w:rPr>
          <w:rFonts w:hint="eastAsia" w:ascii="仿宋_GB2312" w:eastAsia="仿宋_GB2312"/>
          <w:color w:val="auto"/>
          <w:sz w:val="30"/>
          <w:szCs w:val="30"/>
          <w:lang w:val="en-US" w:eastAsia="zh-CN"/>
        </w:rPr>
        <w:t>增加253179.05</w:t>
      </w:r>
      <w:r>
        <w:rPr>
          <w:rFonts w:hint="eastAsia" w:ascii="仿宋_GB2312" w:eastAsia="仿宋_GB2312"/>
          <w:color w:val="auto"/>
          <w:sz w:val="30"/>
          <w:szCs w:val="30"/>
          <w:lang w:eastAsia="zh-CN"/>
        </w:rPr>
        <w:t>元，</w:t>
      </w:r>
      <w:r>
        <w:rPr>
          <w:rFonts w:hint="eastAsia" w:ascii="仿宋_GB2312" w:eastAsia="仿宋_GB2312"/>
          <w:color w:val="auto"/>
          <w:sz w:val="30"/>
          <w:szCs w:val="30"/>
          <w:lang w:val="en-US" w:eastAsia="zh-CN"/>
        </w:rPr>
        <w:t>增加15.68</w:t>
      </w:r>
      <w:r>
        <w:rPr>
          <w:rFonts w:hint="eastAsia" w:ascii="仿宋_GB2312" w:eastAsia="仿宋_GB2312"/>
          <w:color w:val="auto"/>
          <w:sz w:val="30"/>
          <w:szCs w:val="30"/>
          <w:lang w:eastAsia="zh-CN"/>
        </w:rPr>
        <w:t>%。主要原因是上年结转财政拨款均形成支出，本年度人员经费增加，基本公共卫生工作任务加重，所形成支出增长。较年初预算数</w:t>
      </w:r>
      <w:r>
        <w:rPr>
          <w:rFonts w:hint="eastAsia" w:ascii="仿宋_GB2312" w:eastAsia="仿宋_GB2312"/>
          <w:color w:val="auto"/>
          <w:sz w:val="30"/>
          <w:szCs w:val="30"/>
          <w:lang w:val="en-US" w:eastAsia="zh-CN"/>
        </w:rPr>
        <w:t>无增减。</w:t>
      </w:r>
    </w:p>
    <w:p>
      <w:pPr>
        <w:pageBreakBefore w:val="0"/>
        <w:kinsoku/>
        <w:wordWrap/>
        <w:overflowPunct/>
        <w:topLinePunct w:val="0"/>
        <w:autoSpaceDE/>
        <w:autoSpaceDN/>
        <w:bidi w:val="0"/>
        <w:adjustRightInd/>
        <w:snapToGrid/>
        <w:spacing w:before="100" w:beforeLines="0" w:after="100" w:afterLines="0" w:line="240" w:lineRule="auto"/>
        <w:ind w:firstLine="600" w:firstLineChars="200"/>
        <w:jc w:val="left"/>
        <w:textAlignment w:val="auto"/>
        <w:rPr>
          <w:rFonts w:hint="eastAsia" w:ascii="仿宋_GB2312" w:eastAsia="仿宋_GB2312"/>
          <w:color w:val="auto"/>
          <w:sz w:val="30"/>
          <w:szCs w:val="30"/>
          <w:lang w:val="en-US" w:eastAsia="zh-CN"/>
        </w:rPr>
      </w:pPr>
      <w:r>
        <w:rPr>
          <w:rFonts w:hint="eastAsia" w:ascii="仿宋_GB2312" w:eastAsia="仿宋_GB2312"/>
          <w:color w:val="auto"/>
          <w:sz w:val="30"/>
          <w:szCs w:val="30"/>
          <w:lang w:eastAsia="zh-CN"/>
        </w:rPr>
        <w:t>本部门2022年度财政拨款支出主要用于医疗卫生与计划生育支出</w:t>
      </w:r>
      <w:r>
        <w:rPr>
          <w:rFonts w:hint="eastAsia" w:ascii="仿宋_GB2312" w:eastAsia="仿宋_GB2312"/>
          <w:color w:val="auto"/>
          <w:sz w:val="30"/>
          <w:szCs w:val="30"/>
          <w:lang w:val="en-US" w:eastAsia="zh-CN"/>
        </w:rPr>
        <w:t>1749502.61</w:t>
      </w:r>
      <w:r>
        <w:rPr>
          <w:rFonts w:hint="eastAsia" w:ascii="仿宋_GB2312" w:eastAsia="仿宋_GB2312"/>
          <w:color w:val="auto"/>
          <w:sz w:val="30"/>
          <w:szCs w:val="30"/>
          <w:lang w:eastAsia="zh-CN"/>
        </w:rPr>
        <w:t>元，占总支出</w:t>
      </w:r>
      <w:r>
        <w:rPr>
          <w:rFonts w:hint="eastAsia" w:ascii="仿宋_GB2312" w:eastAsia="仿宋_GB2312"/>
          <w:color w:val="auto"/>
          <w:sz w:val="30"/>
          <w:szCs w:val="30"/>
          <w:lang w:val="en-US" w:eastAsia="zh-CN"/>
        </w:rPr>
        <w:t>93.64</w:t>
      </w:r>
      <w:r>
        <w:rPr>
          <w:rFonts w:hint="eastAsia" w:ascii="仿宋_GB2312" w:eastAsia="仿宋_GB2312"/>
          <w:color w:val="auto"/>
          <w:sz w:val="30"/>
          <w:szCs w:val="30"/>
          <w:lang w:eastAsia="zh-CN"/>
        </w:rPr>
        <w:t>%，用于</w:t>
      </w:r>
      <w:r>
        <w:rPr>
          <w:rFonts w:hint="eastAsia" w:ascii="仿宋_GB2312" w:eastAsia="仿宋_GB2312"/>
          <w:color w:val="auto"/>
          <w:sz w:val="30"/>
          <w:szCs w:val="30"/>
          <w:lang w:val="en-US" w:eastAsia="zh-CN"/>
        </w:rPr>
        <w:t>社会保障</w:t>
      </w:r>
      <w:r>
        <w:rPr>
          <w:rFonts w:hint="eastAsia" w:ascii="仿宋_GB2312" w:eastAsia="仿宋_GB2312"/>
          <w:color w:val="auto"/>
          <w:sz w:val="30"/>
          <w:szCs w:val="30"/>
          <w:lang w:eastAsia="zh-CN"/>
        </w:rPr>
        <w:t>支出</w:t>
      </w:r>
      <w:r>
        <w:rPr>
          <w:rFonts w:hint="eastAsia" w:ascii="仿宋_GB2312" w:eastAsia="仿宋_GB2312"/>
          <w:color w:val="auto"/>
          <w:sz w:val="30"/>
          <w:szCs w:val="30"/>
          <w:lang w:val="en-US" w:eastAsia="zh-CN"/>
        </w:rPr>
        <w:t>118757.6</w:t>
      </w:r>
      <w:r>
        <w:rPr>
          <w:rFonts w:hint="eastAsia" w:ascii="仿宋_GB2312" w:eastAsia="仿宋_GB2312"/>
          <w:color w:val="auto"/>
          <w:sz w:val="30"/>
          <w:szCs w:val="30"/>
          <w:lang w:eastAsia="zh-CN"/>
        </w:rPr>
        <w:t>元，占总支出</w:t>
      </w:r>
      <w:r>
        <w:rPr>
          <w:rFonts w:hint="eastAsia" w:ascii="仿宋_GB2312" w:eastAsia="仿宋_GB2312"/>
          <w:color w:val="auto"/>
          <w:sz w:val="30"/>
          <w:szCs w:val="30"/>
          <w:lang w:val="en-US" w:eastAsia="zh-CN"/>
        </w:rPr>
        <w:t>6.36</w:t>
      </w:r>
      <w:r>
        <w:rPr>
          <w:rFonts w:hint="eastAsia" w:ascii="仿宋_GB2312" w:eastAsia="仿宋_GB2312"/>
          <w:color w:val="auto"/>
          <w:sz w:val="30"/>
          <w:szCs w:val="30"/>
          <w:lang w:eastAsia="zh-CN"/>
        </w:rPr>
        <w:t>%，较年初预算数</w:t>
      </w:r>
      <w:r>
        <w:rPr>
          <w:rFonts w:hint="eastAsia" w:ascii="仿宋_GB2312" w:eastAsia="仿宋_GB2312"/>
          <w:color w:val="auto"/>
          <w:sz w:val="30"/>
          <w:szCs w:val="30"/>
          <w:lang w:val="en-US" w:eastAsia="zh-CN"/>
        </w:rPr>
        <w:t>无增减。</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1868260.21</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1189605.68</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val="en-US" w:eastAsia="zh-CN"/>
        </w:rPr>
        <w:t>增加101694.52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本年度工资津贴</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w:t>
      </w:r>
      <w:r>
        <w:rPr>
          <w:rFonts w:hint="eastAsia" w:ascii="仿宋_GB2312" w:eastAsia="仿宋_GB2312"/>
          <w:color w:val="auto"/>
          <w:sz w:val="30"/>
          <w:szCs w:val="30"/>
        </w:rPr>
        <w:t>人员经费用途主要包括基本工资、津贴补贴、奖金、</w:t>
      </w:r>
      <w:r>
        <w:rPr>
          <w:rFonts w:hint="eastAsia" w:ascii="仿宋_GB2312" w:eastAsia="仿宋_GB2312"/>
          <w:color w:val="auto"/>
          <w:sz w:val="30"/>
          <w:szCs w:val="30"/>
          <w:lang w:eastAsia="zh-CN"/>
        </w:rPr>
        <w:t>奖励金、生活补助</w:t>
      </w:r>
      <w:r>
        <w:rPr>
          <w:rFonts w:hint="eastAsia" w:ascii="仿宋_GB2312" w:eastAsia="仿宋_GB2312"/>
          <w:color w:val="auto"/>
          <w:sz w:val="30"/>
          <w:szCs w:val="30"/>
        </w:rPr>
        <w:t>等。公用经费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减少73380.72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公共卫生经费用于人员绩效工资支出</w:t>
      </w:r>
      <w:r>
        <w:rPr>
          <w:rFonts w:hint="eastAsia" w:ascii="仿宋_GB2312" w:eastAsia="仿宋_GB2312"/>
          <w:color w:val="auto"/>
          <w:sz w:val="30"/>
          <w:szCs w:val="30"/>
          <w:lang w:eastAsia="zh-CN"/>
        </w:rPr>
        <w:t>，</w:t>
      </w:r>
      <w:r>
        <w:rPr>
          <w:rFonts w:hint="eastAsia" w:ascii="仿宋_GB2312" w:eastAsia="仿宋_GB2312"/>
          <w:color w:val="auto"/>
          <w:sz w:val="30"/>
          <w:szCs w:val="30"/>
        </w:rPr>
        <w:t>公用经费用途主要包括</w:t>
      </w:r>
      <w:r>
        <w:rPr>
          <w:rFonts w:hint="eastAsia" w:ascii="仿宋_GB2312" w:eastAsia="仿宋_GB2312"/>
          <w:color w:val="auto"/>
          <w:sz w:val="30"/>
          <w:szCs w:val="30"/>
          <w:lang w:eastAsia="zh-CN"/>
        </w:rPr>
        <w:t>专用材料费、劳务费、公务用车运行费、办公费、差旅费等</w:t>
      </w:r>
      <w:r>
        <w:rPr>
          <w:rFonts w:hint="eastAsia" w:ascii="仿宋_GB2312" w:eastAsia="仿宋_GB2312"/>
          <w:color w:val="auto"/>
          <w:sz w:val="30"/>
          <w:szCs w:val="30"/>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lang w:val="zh-CN"/>
        </w:rPr>
        <w:t>、财政拨款“三公”经费支出决算情况说明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2022</w:t>
      </w:r>
      <w:r>
        <w:rPr>
          <w:rFonts w:hint="eastAsia" w:ascii="仿宋_GB2312" w:eastAsia="仿宋_GB2312"/>
          <w:color w:val="auto"/>
          <w:sz w:val="30"/>
          <w:szCs w:val="30"/>
        </w:rPr>
        <w:t xml:space="preserve"> 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w:t>
      </w:r>
      <w:r>
        <w:rPr>
          <w:rFonts w:hint="eastAsia" w:ascii="仿宋_GB2312" w:eastAsia="仿宋_GB2312"/>
          <w:color w:val="auto"/>
          <w:sz w:val="30"/>
          <w:szCs w:val="30"/>
          <w:lang w:eastAsia="zh-CN"/>
        </w:rPr>
        <w:t>无增长</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24250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我部门报废了</w:t>
      </w:r>
      <w:r>
        <w:rPr>
          <w:rFonts w:hint="eastAsia" w:ascii="仿宋_GB2312" w:eastAsia="仿宋_GB2312"/>
          <w:color w:val="auto"/>
          <w:sz w:val="30"/>
          <w:szCs w:val="30"/>
        </w:rPr>
        <w:t>特种专业技术用车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w:t>
      </w:r>
      <w:r>
        <w:rPr>
          <w:rFonts w:hint="eastAsia" w:ascii="仿宋_GB2312" w:eastAsia="仿宋_GB2312"/>
          <w:color w:val="auto"/>
          <w:sz w:val="30"/>
          <w:szCs w:val="30"/>
          <w:lang w:eastAsia="zh-CN"/>
        </w:rPr>
        <w:t>（救护车）</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eastAsia="zh-CN"/>
        </w:rPr>
        <w:t>2022年</w:t>
      </w:r>
      <w:r>
        <w:rPr>
          <w:rFonts w:hint="eastAsia" w:ascii="仿宋_GB2312" w:eastAsia="仿宋_GB2312"/>
          <w:color w:val="auto"/>
          <w:sz w:val="30"/>
          <w:szCs w:val="30"/>
        </w:rPr>
        <w:t>度本部门公务车</w:t>
      </w:r>
      <w:bookmarkStart w:id="0" w:name="_GoBack"/>
      <w:bookmarkEnd w:id="0"/>
      <w:r>
        <w:rPr>
          <w:rFonts w:hint="eastAsia" w:ascii="仿宋_GB2312" w:eastAsia="仿宋_GB2312"/>
          <w:color w:val="auto"/>
          <w:sz w:val="30"/>
          <w:szCs w:val="30"/>
        </w:rPr>
        <w:t>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，主要用于</w:t>
      </w:r>
      <w:r>
        <w:rPr>
          <w:rFonts w:hint="eastAsia" w:ascii="仿宋_GB2312" w:eastAsia="仿宋_GB2312"/>
          <w:color w:val="auto"/>
          <w:sz w:val="30"/>
          <w:szCs w:val="30"/>
          <w:lang w:eastAsia="zh-CN"/>
        </w:rPr>
        <w:t>日常病人急救工作、公共卫生服务工作，精准扶贫建档立卡户随访次数工作所产生</w:t>
      </w:r>
      <w:r>
        <w:rPr>
          <w:rFonts w:hint="eastAsia" w:ascii="仿宋_GB2312" w:eastAsia="仿宋_GB2312"/>
          <w:color w:val="auto"/>
          <w:sz w:val="30"/>
          <w:szCs w:val="30"/>
        </w:rPr>
        <w:t>燃料费、维修费、保险费等</w:t>
      </w:r>
      <w:r>
        <w:rPr>
          <w:rFonts w:hint="eastAsia" w:ascii="仿宋_GB2312" w:eastAsia="仿宋_GB2312"/>
          <w:color w:val="auto"/>
          <w:sz w:val="30"/>
          <w:szCs w:val="30"/>
          <w:lang w:eastAsia="zh-CN"/>
        </w:rPr>
        <w:t>，</w:t>
      </w:r>
      <w:r>
        <w:rPr>
          <w:rFonts w:hint="eastAsia" w:ascii="仿宋_GB2312" w:eastAsia="仿宋_GB2312"/>
          <w:color w:val="auto"/>
          <w:sz w:val="30"/>
          <w:szCs w:val="30"/>
        </w:rPr>
        <w:t>费用支出较年初预算数</w:t>
      </w:r>
      <w:r>
        <w:rPr>
          <w:rFonts w:hint="eastAsia" w:ascii="仿宋_GB2312" w:eastAsia="仿宋_GB2312"/>
          <w:color w:val="auto"/>
          <w:sz w:val="30"/>
          <w:szCs w:val="30"/>
          <w:lang w:eastAsia="zh-CN"/>
        </w:rPr>
        <w:t>无</w:t>
      </w:r>
      <w:r>
        <w:rPr>
          <w:rFonts w:hint="eastAsia" w:ascii="仿宋_GB2312" w:eastAsia="仿宋_GB2312"/>
          <w:color w:val="auto"/>
          <w:sz w:val="30"/>
          <w:szCs w:val="30"/>
        </w:rPr>
        <w:t>增</w:t>
      </w:r>
      <w:r>
        <w:rPr>
          <w:rFonts w:hint="eastAsia" w:ascii="仿宋_GB2312" w:eastAsia="仿宋_GB2312"/>
          <w:color w:val="auto"/>
          <w:sz w:val="30"/>
          <w:szCs w:val="30"/>
          <w:lang w:eastAsia="zh-CN"/>
        </w:rPr>
        <w:t>长</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24250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eastAsia="zh-CN"/>
        </w:rPr>
        <w:t>2022</w:t>
      </w:r>
      <w:r>
        <w:rPr>
          <w:rFonts w:hint="eastAsia" w:ascii="仿宋_GB2312" w:eastAsia="仿宋_GB2312"/>
          <w:color w:val="auto"/>
          <w:sz w:val="30"/>
          <w:szCs w:val="30"/>
        </w:rPr>
        <w:t>年度</w:t>
      </w:r>
      <w:r>
        <w:rPr>
          <w:rFonts w:hint="eastAsia" w:ascii="仿宋_GB2312" w:eastAsia="仿宋_GB2312"/>
          <w:color w:val="auto"/>
          <w:sz w:val="30"/>
          <w:szCs w:val="30"/>
          <w:lang w:val="en-US" w:eastAsia="zh-CN"/>
        </w:rPr>
        <w:t>本单位</w:t>
      </w:r>
      <w:r>
        <w:rPr>
          <w:rFonts w:hint="eastAsia" w:ascii="仿宋_GB2312" w:eastAsia="仿宋_GB2312"/>
          <w:color w:val="auto"/>
          <w:sz w:val="30"/>
          <w:szCs w:val="30"/>
        </w:rPr>
        <w:t>公务车保有量为</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预算绩效管理工作开展情况</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color w:val="auto"/>
          <w:sz w:val="32"/>
          <w:szCs w:val="32"/>
          <w:lang w:val="zh-CN" w:eastAsia="zh-CN"/>
        </w:rPr>
      </w:pPr>
      <w:r>
        <w:rPr>
          <w:rFonts w:hint="eastAsia" w:ascii="仿宋_GB2312" w:hAnsi="仿宋_GB2312" w:eastAsia="仿宋_GB2312" w:cs="仿宋_GB2312"/>
          <w:color w:val="000000"/>
          <w:kern w:val="0"/>
          <w:sz w:val="32"/>
          <w:szCs w:val="32"/>
          <w:lang w:val="en-US"/>
        </w:rPr>
        <w:t>本部门</w:t>
      </w:r>
      <w:r>
        <w:rPr>
          <w:rFonts w:hint="eastAsia" w:ascii="仿宋_GB2312" w:hAnsi="仿宋_GB2312" w:eastAsia="仿宋_GB2312" w:cs="仿宋_GB2312"/>
          <w:color w:val="000000"/>
          <w:kern w:val="0"/>
          <w:sz w:val="32"/>
          <w:szCs w:val="32"/>
          <w:lang w:val="en-US" w:eastAsia="zh-CN"/>
        </w:rPr>
        <w:t>未做</w:t>
      </w:r>
      <w:r>
        <w:rPr>
          <w:rFonts w:hint="eastAsia" w:ascii="仿宋_GB2312" w:hAnsi="仿宋_GB2312" w:eastAsia="仿宋_GB2312" w:cs="仿宋_GB2312"/>
          <w:color w:val="000000"/>
          <w:kern w:val="0"/>
          <w:sz w:val="32"/>
          <w:szCs w:val="32"/>
          <w:lang w:val="en-US"/>
        </w:rPr>
        <w:t>2022年度一般公共预算项目支出全面开展绩效自评</w:t>
      </w:r>
      <w:r>
        <w:rPr>
          <w:rFonts w:hint="eastAsia" w:ascii="仿宋_GB2312" w:hAnsi="仿宋_GB2312" w:eastAsia="仿宋_GB2312" w:cs="仿宋_GB2312"/>
          <w:color w:val="000000"/>
          <w:kern w:val="0"/>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B799B"/>
    <w:multiLevelType w:val="singleLevel"/>
    <w:tmpl w:val="5FAB799B"/>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NTllZmM5NTBkMTNhYTZkNTI5NTAxMjU0N2Y1NTkifQ=="/>
  </w:docVars>
  <w:rsids>
    <w:rsidRoot w:val="00000000"/>
    <w:rsid w:val="02AA4B1F"/>
    <w:rsid w:val="0B9609CF"/>
    <w:rsid w:val="0D386A9E"/>
    <w:rsid w:val="11B25539"/>
    <w:rsid w:val="12662735"/>
    <w:rsid w:val="12A34BDD"/>
    <w:rsid w:val="1AD863F9"/>
    <w:rsid w:val="302D2CFD"/>
    <w:rsid w:val="31D63D5B"/>
    <w:rsid w:val="470E7B71"/>
    <w:rsid w:val="49762AEA"/>
    <w:rsid w:val="5D387615"/>
    <w:rsid w:val="69AA14E4"/>
    <w:rsid w:val="69D23373"/>
    <w:rsid w:val="6F9277B6"/>
    <w:rsid w:val="776C2BD5"/>
    <w:rsid w:val="77925050"/>
    <w:rsid w:val="7C9B4C81"/>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0</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Serendipity</cp:lastModifiedBy>
  <cp:lastPrinted>2023-08-18T07:47:00Z</cp:lastPrinted>
  <dcterms:modified xsi:type="dcterms:W3CDTF">2023-09-20T01:47:12Z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8896012B69BE49E582538C819952A3A4_13</vt:lpwstr>
  </property>
</Properties>
</file>