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住建局</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eastAsia="仿宋_GB2312"/>
          <w:sz w:val="32"/>
        </w:rPr>
        <w:t>主要职责是：</w:t>
      </w:r>
      <w:r>
        <w:rPr>
          <w:rFonts w:hint="eastAsia" w:ascii="仿宋_GB2312" w:hAnsi="仿宋_GB2312" w:eastAsia="仿宋_GB2312" w:cs="仿宋_GB2312"/>
          <w:sz w:val="32"/>
        </w:rPr>
        <w:t>（一）贯彻执行国家、省、州、县有关住房和城乡建设行政管理的法律、法规和方针、政策，负责拟定全县基本建设、工程建设、城市建设、村镇建设、保障性住房建设、建筑业、住宅房地产业、市政公用事业的政策以及建设科技、技术经济等相关的发展战略、中长期规划、改革方案、产业政策并指导实施，研究提出全县住房和城乡建设重大问题的建议，负责住房和城乡建设行业管理。（二）承担保障城镇低收入家庭住房的责任。（三）承担建立工程建设标准体系的责任。（四）负责拟定全县城市建设的政策和制度并监督实施。（五）承担规范村镇建设，指导全县村镇建设的责任。（六）监督管理建筑市场、规范市场各方主体行为。（七）承担建筑工程质量安全监管的责任。（八）承担规范房地产市场秩序、监督管理房地产市场的责任。（九）承担推进住房制度改革的责任。（十）承担推进建筑节能的责任。（十一）监督国家和省上有关抗震设施法律、法规的执行。（十二）编制和组织实施行业重点科技发展项目计划。（十三）负责拟定全县城市建设的政策和制度并监督实施。（十四）负责行政执法监督以及建设工程项目执法稽查工作。（十五）承担县政府投资项目代建管理工作。（十六）总投资200万元以下建设项目的施工许可及工程质量监督书的核发。（十七）对城市燃气企业核发燃气经营许可证、燃气设施的改动审批。（十八）承办县委、县政府、州住房和城乡建设局交办的其他事项。</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spacing w:line="600" w:lineRule="exact"/>
        <w:ind w:firstLine="640" w:firstLineChars="200"/>
        <w:rPr>
          <w:rFonts w:hint="default" w:ascii="仿宋_GB2312" w:hAnsi="黑体" w:eastAsia="仿宋_GB2312"/>
          <w:b/>
          <w:bCs/>
          <w:sz w:val="32"/>
          <w:szCs w:val="32"/>
          <w:lang w:val="en-US" w:eastAsia="zh-CN"/>
        </w:rPr>
      </w:pPr>
      <w:r>
        <w:rPr>
          <w:rFonts w:hint="eastAsia" w:ascii="仿宋_GB2312" w:hAnsi="仿宋" w:eastAsia="仿宋_GB2312"/>
          <w:sz w:val="32"/>
          <w:szCs w:val="32"/>
        </w:rPr>
        <w:t>机构情况，</w:t>
      </w:r>
      <w:r>
        <w:rPr>
          <w:rFonts w:hint="eastAsia" w:ascii="仿宋_GB2312" w:eastAsia="仿宋_GB2312"/>
          <w:sz w:val="32"/>
        </w:rPr>
        <w:t>东乡县建设局</w:t>
      </w:r>
      <w:r>
        <w:rPr>
          <w:rFonts w:ascii="仿宋_GB2312" w:eastAsia="仿宋_GB2312"/>
          <w:sz w:val="32"/>
        </w:rPr>
        <w:t>内设及归口管理机构有</w:t>
      </w:r>
      <w:r>
        <w:rPr>
          <w:rFonts w:hint="eastAsia" w:ascii="仿宋_GB2312" w:eastAsia="仿宋_GB2312"/>
          <w:sz w:val="32"/>
        </w:rPr>
        <w:t>括办公室、住房保障股、城乡建设管理股、房地产市场管理股、房产股、物业管理股等6个职能股室。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收入总计1123590094.5元，支出总计1123590094.5元，与2021年决算数相比，收入减少591861241.17元，减少34.5%，支出减少591861241.17元，减少34.5%。主要原因是专项债券减少。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1120551920.53</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944232929.1</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84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收入元,占%；</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收入元,占%；</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176,318,991.43</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1101833214.61</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28147659.6</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1073685555.01</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97.4</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auto"/>
          <w:sz w:val="32"/>
          <w:szCs w:val="32"/>
          <w:lang w:val="en-US" w:eastAsia="zh-CN"/>
        </w:rPr>
        <w:t>944232929.1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减少636152656.6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减少40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受疫情影响项目支出减少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年度财政拨款支出944320929.1元，较上年决算数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val="en-US" w:eastAsia="zh-CN" w:bidi="en-US"/>
        </w:rPr>
        <w:t>758124900.41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400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住房保障支出和农林水支出增加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rPr>
        <w:t>944320929.1</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资金</w:t>
      </w:r>
      <w:r>
        <w:rPr>
          <w:rFonts w:hint="eastAsia" w:ascii="仿宋_GB2312" w:hAnsi="仿宋_GB2312" w:eastAsia="仿宋_GB2312" w:cs="仿宋_GB2312"/>
          <w:color w:val="000000"/>
          <w:spacing w:val="0"/>
          <w:w w:val="100"/>
          <w:position w:val="0"/>
          <w:sz w:val="32"/>
          <w:szCs w:val="32"/>
          <w:lang w:val="en-US" w:eastAsia="zh-CN" w:bidi="en-US"/>
        </w:rPr>
        <w:t>758124900.41</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000000"/>
          <w:spacing w:val="0"/>
          <w:w w:val="100"/>
          <w:position w:val="0"/>
          <w:sz w:val="32"/>
          <w:szCs w:val="32"/>
          <w:lang w:val="en-US" w:eastAsia="zh-CN"/>
        </w:rPr>
        <w:t>400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住房保障支出和农林水支出增加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124643.28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55524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小于</w:t>
      </w:r>
      <w:r>
        <w:rPr>
          <w:rFonts w:hint="eastAsia" w:ascii="仿宋_GB2312" w:hAnsi="仿宋_GB2312" w:eastAsia="仿宋_GB2312" w:cs="仿宋_GB2312"/>
          <w:color w:val="auto"/>
          <w:sz w:val="32"/>
          <w:szCs w:val="32"/>
          <w:lang w:val="zh-CN"/>
        </w:rPr>
        <w:t>预算数的主要原因是一般公共服务支出年初预算数</w:t>
      </w:r>
      <w:r>
        <w:rPr>
          <w:rFonts w:hint="eastAsia" w:ascii="仿宋_GB2312" w:hAnsi="仿宋_GB2312" w:eastAsia="仿宋_GB2312" w:cs="仿宋_GB2312"/>
          <w:color w:val="auto"/>
          <w:sz w:val="32"/>
          <w:szCs w:val="32"/>
          <w:lang w:val="en-US" w:eastAsia="zh-CN"/>
        </w:rPr>
        <w:t>较大</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1009610.57</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975947.24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lang w:val="zh-CN"/>
        </w:rPr>
        <w:t>%,决算数小于预算数的主要原因是社会保障和就业支出年初预算数</w:t>
      </w:r>
      <w:r>
        <w:rPr>
          <w:rFonts w:hint="eastAsia" w:ascii="仿宋_GB2312" w:hAnsi="仿宋_GB2312" w:eastAsia="仿宋_GB2312" w:cs="仿宋_GB2312"/>
          <w:color w:val="auto"/>
          <w:sz w:val="32"/>
          <w:szCs w:val="32"/>
          <w:lang w:val="en-US" w:eastAsia="zh-CN"/>
        </w:rPr>
        <w:t>较大。</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414594.66</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409572.66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6500000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10830699.3</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160</w:t>
      </w:r>
      <w:r>
        <w:rPr>
          <w:rFonts w:hint="eastAsia" w:ascii="仿宋_GB2312" w:hAnsi="仿宋_GB2312" w:eastAsia="仿宋_GB2312" w:cs="仿宋_GB2312"/>
          <w:color w:val="auto"/>
          <w:sz w:val="32"/>
          <w:szCs w:val="32"/>
          <w:lang w:val="zh-CN"/>
        </w:rPr>
        <w:t>%,决算数大于预算数的主要原因是2020-2021年大气污染防治土炕清洁能源改造项目</w:t>
      </w:r>
      <w:r>
        <w:rPr>
          <w:rFonts w:hint="eastAsia" w:ascii="仿宋_GB2312" w:hAnsi="仿宋_GB2312" w:eastAsia="仿宋_GB2312" w:cs="仿宋_GB2312"/>
          <w:color w:val="auto"/>
          <w:sz w:val="32"/>
          <w:szCs w:val="32"/>
          <w:lang w:val="en-US" w:eastAsia="zh-CN"/>
        </w:rPr>
        <w:t>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19011701</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619612036.4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320</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疫情防控经费及生态宜居搬迁项目资金增加。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10000000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164963210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160</w:t>
      </w:r>
      <w:r>
        <w:rPr>
          <w:rFonts w:hint="eastAsia" w:ascii="仿宋_GB2312" w:hAnsi="仿宋_GB2312" w:eastAsia="仿宋_GB2312" w:cs="仿宋_GB2312"/>
          <w:color w:val="auto"/>
          <w:sz w:val="32"/>
          <w:szCs w:val="32"/>
          <w:lang w:val="zh-CN"/>
        </w:rPr>
        <w:t>%,决算数大于预算数的主要原因是县城污水处理厂提标改建工程项目。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47567859.68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147473939.5</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300</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保障性住房专项债券增加。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28147659.6</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11126457.4</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254981.31</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奖励性补贴和绩效奖增加。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17021202.2</w:t>
      </w:r>
      <w:r>
        <w:rPr>
          <w:rFonts w:hint="eastAsia" w:ascii="仿宋_GB2312" w:hAnsi="仿宋_GB2312" w:eastAsia="仿宋_GB2312" w:cs="仿宋_GB2312"/>
          <w:color w:val="auto"/>
          <w:sz w:val="32"/>
          <w:szCs w:val="32"/>
          <w:lang w:val="zh-CN"/>
        </w:rPr>
        <w:t>元,较上年决算数</w:t>
      </w:r>
      <w:r>
        <w:rPr>
          <w:rFonts w:hint="eastAsia" w:ascii="仿宋_GB2312" w:hAnsi="仿宋_GB2312" w:eastAsia="仿宋_GB2312" w:cs="仿宋_GB2312"/>
          <w:color w:val="auto"/>
          <w:sz w:val="32"/>
          <w:szCs w:val="32"/>
          <w:lang w:val="en-US" w:eastAsia="zh-CN"/>
        </w:rPr>
        <w:t>增加3973439</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增长30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疫情防控工作经费增加。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17021202.2</w:t>
      </w:r>
      <w:r>
        <w:rPr>
          <w:rFonts w:hint="eastAsia" w:ascii="仿宋_GB2312" w:hAnsi="仿宋_GB2312" w:eastAsia="仿宋_GB2312" w:cs="仿宋_GB2312"/>
          <w:color w:val="auto"/>
          <w:sz w:val="32"/>
          <w:szCs w:val="32"/>
          <w:lang w:val="zh-CN"/>
        </w:rPr>
        <w:t>元,机关运行经费主要用于开支</w:t>
      </w:r>
      <w:r>
        <w:rPr>
          <w:rFonts w:hint="eastAsia" w:ascii="仿宋_GB2312" w:hAnsi="仿宋_GB2312" w:eastAsia="仿宋_GB2312" w:cs="仿宋_GB2312"/>
          <w:color w:val="auto"/>
          <w:sz w:val="32"/>
          <w:szCs w:val="32"/>
          <w:lang w:val="en-US" w:eastAsia="zh-CN"/>
        </w:rPr>
        <w:t>单位正常运转。</w:t>
      </w:r>
      <w:r>
        <w:rPr>
          <w:rFonts w:hint="eastAsia" w:ascii="仿宋_GB2312" w:hAnsi="仿宋_GB2312" w:eastAsia="仿宋_GB2312" w:cs="仿宋_GB2312"/>
          <w:color w:val="auto"/>
          <w:sz w:val="32"/>
          <w:szCs w:val="32"/>
          <w:lang w:val="zh-CN"/>
        </w:rPr>
        <w:t>机关运行经费较上年决算数</w:t>
      </w:r>
      <w:r>
        <w:rPr>
          <w:rFonts w:hint="eastAsia" w:ascii="仿宋_GB2312" w:hAnsi="仿宋_GB2312" w:eastAsia="仿宋_GB2312" w:cs="仿宋_GB2312"/>
          <w:color w:val="auto"/>
          <w:sz w:val="32"/>
          <w:szCs w:val="32"/>
          <w:lang w:val="en-US" w:eastAsia="zh-CN"/>
        </w:rPr>
        <w:t>增加3973439</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增长30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疫情防控工作经费增加。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2022年度政府性基金预算财政拨款年初结转结余**万元，本年收入**万元，本年支出**万元，年末结转和结余**</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2022年度国有资本经营预算财政拨款本年支出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val="0"/>
        <w:keepLines w:val="0"/>
        <w:pageBreakBefore w:val="0"/>
        <w:widowControl w:val="0"/>
        <w:numPr>
          <w:ilvl w:val="0"/>
          <w:numId w:val="1"/>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绩效目标分解下达情况</w:t>
      </w:r>
    </w:p>
    <w:p>
      <w:pPr>
        <w:pStyle w:val="2"/>
        <w:rPr>
          <w:rFonts w:hint="eastAsia"/>
          <w:lang w:eastAsia="zh-CN"/>
        </w:rPr>
      </w:pPr>
      <w:bookmarkStart w:id="0" w:name="_GoBack"/>
      <w:bookmarkEnd w:id="0"/>
    </w:p>
    <w:p>
      <w:pPr>
        <w:pStyle w:val="2"/>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河滩镇东干村乡村振兴示范村旅游发展建设项目资金绩效自评</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eastAsia="zh-CN" w:bidi="ar-SA"/>
        </w:rPr>
        <w:t>衔接资金下达预算及项目情况。</w:t>
      </w:r>
    </w:p>
    <w:p>
      <w:pPr>
        <w:keepNext w:val="0"/>
        <w:keepLines w:val="0"/>
        <w:pageBreakBefore w:val="0"/>
        <w:widowControl/>
        <w:tabs>
          <w:tab w:val="left" w:pos="0"/>
        </w:tabs>
        <w:kinsoku/>
        <w:wordWrap/>
        <w:overflowPunct w:val="0"/>
        <w:topLinePunct w:val="0"/>
        <w:autoSpaceDE w:val="0"/>
        <w:autoSpaceDN w:val="0"/>
        <w:bidi w:val="0"/>
        <w:adjustRightInd w:val="0"/>
        <w:snapToGrid/>
        <w:spacing w:after="0" w:line="576"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zh-CN"/>
        </w:rPr>
        <w:t>本项目</w:t>
      </w:r>
      <w:r>
        <w:rPr>
          <w:rFonts w:hint="eastAsia" w:ascii="仿宋" w:hAnsi="仿宋" w:eastAsia="仿宋" w:cs="仿宋"/>
          <w:sz w:val="32"/>
          <w:szCs w:val="32"/>
          <w:highlight w:val="none"/>
          <w:lang w:val="en-US" w:eastAsia="zh-CN"/>
        </w:rPr>
        <w:t>总</w:t>
      </w:r>
      <w:r>
        <w:rPr>
          <w:rFonts w:hint="eastAsia" w:ascii="仿宋" w:hAnsi="仿宋" w:eastAsia="仿宋" w:cs="仿宋"/>
          <w:sz w:val="32"/>
          <w:szCs w:val="32"/>
          <w:highlight w:val="none"/>
          <w:lang w:val="zh-CN"/>
        </w:rPr>
        <w:t>投资为</w:t>
      </w:r>
      <w:r>
        <w:rPr>
          <w:rFonts w:hint="eastAsia" w:ascii="仿宋" w:hAnsi="仿宋" w:eastAsia="仿宋" w:cs="仿宋"/>
          <w:sz w:val="32"/>
          <w:szCs w:val="32"/>
          <w:highlight w:val="none"/>
          <w:lang w:val="en-US" w:eastAsia="zh-CN"/>
        </w:rPr>
        <w:t>4702.75万元，到位资金2300万元，建设资金东乡村振兴补助资金。</w:t>
      </w:r>
    </w:p>
    <w:p>
      <w:pPr>
        <w:keepNext w:val="0"/>
        <w:keepLines w:val="0"/>
        <w:pageBreakBefore w:val="0"/>
        <w:widowControl/>
        <w:tabs>
          <w:tab w:val="left" w:pos="0"/>
        </w:tabs>
        <w:kinsoku/>
        <w:wordWrap/>
        <w:overflowPunct w:val="0"/>
        <w:topLinePunct w:val="0"/>
        <w:autoSpaceDE w:val="0"/>
        <w:autoSpaceDN w:val="0"/>
        <w:bidi w:val="0"/>
        <w:adjustRightInd w:val="0"/>
        <w:snapToGrid/>
        <w:spacing w:after="0" w:line="576" w:lineRule="exact"/>
        <w:ind w:left="0" w:leftChars="0" w:right="0" w:rightChars="0" w:firstLine="640" w:firstLineChars="200"/>
        <w:jc w:val="both"/>
        <w:textAlignment w:val="auto"/>
        <w:outlineLvl w:val="9"/>
        <w:rPr>
          <w:rFonts w:hint="eastAsia" w:ascii="仿宋" w:hAnsi="仿宋" w:eastAsia="仿宋" w:cs="仿宋"/>
          <w:kern w:val="2"/>
          <w:sz w:val="32"/>
          <w:szCs w:val="32"/>
          <w:highlight w:val="none"/>
          <w:lang w:val="en-US" w:eastAsia="zh-CN" w:bidi="ar-SA"/>
        </w:rPr>
      </w:pPr>
      <w:r>
        <w:rPr>
          <w:rFonts w:hint="eastAsia" w:ascii="仿宋" w:hAnsi="仿宋" w:eastAsia="仿宋" w:cs="仿宋"/>
          <w:sz w:val="32"/>
          <w:szCs w:val="32"/>
          <w:highlight w:val="none"/>
          <w:lang w:val="en-US" w:eastAsia="zh-CN"/>
        </w:rPr>
        <w:t>项目建设内容：2022年将东干村打造成乡村振兴旅游发展示范村，通过对村内及周边农村人居环境提升改造，修建游步道、改造提升农家院、栽种行道树、污水收集等工程。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仿宋" w:hAnsi="仿宋" w:eastAsia="仿宋" w:cs="仿宋"/>
          <w:kern w:val="2"/>
          <w:sz w:val="32"/>
          <w:szCs w:val="32"/>
          <w:highlight w:val="none"/>
          <w:lang w:eastAsia="zh-CN" w:bidi="ar-SA"/>
        </w:rPr>
      </w:pPr>
      <w:r>
        <w:rPr>
          <w:rFonts w:hint="eastAsia" w:ascii="仿宋" w:hAnsi="仿宋" w:eastAsia="仿宋" w:cs="仿宋"/>
          <w:kern w:val="2"/>
          <w:sz w:val="32"/>
          <w:szCs w:val="32"/>
          <w:highlight w:val="none"/>
          <w:lang w:val="en-US" w:eastAsia="zh-CN" w:bidi="ar-SA"/>
        </w:rPr>
        <w:t>2.</w:t>
      </w:r>
      <w:r>
        <w:rPr>
          <w:rFonts w:hint="eastAsia" w:ascii="仿宋" w:hAnsi="仿宋" w:eastAsia="仿宋" w:cs="仿宋"/>
          <w:kern w:val="2"/>
          <w:sz w:val="32"/>
          <w:szCs w:val="32"/>
          <w:highlight w:val="none"/>
          <w:lang w:eastAsia="zh-CN" w:bidi="ar-SA"/>
        </w:rPr>
        <w:t>衔接资金项目绩效目标设定情况。</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76" w:lineRule="exact"/>
        <w:ind w:firstLine="640" w:firstLineChars="200"/>
        <w:textAlignment w:val="auto"/>
        <w:rPr>
          <w:rFonts w:hint="eastAsia" w:ascii="仿宋" w:hAnsi="仿宋" w:eastAsia="仿宋" w:cs="仿宋"/>
          <w:sz w:val="32"/>
          <w:szCs w:val="32"/>
          <w:highlight w:val="none"/>
          <w:lang w:val="en-US" w:eastAsia="zh-CN" w:bidi="en-US"/>
        </w:rPr>
      </w:pPr>
      <w:r>
        <w:rPr>
          <w:rFonts w:hint="eastAsia" w:ascii="仿宋" w:hAnsi="仿宋" w:eastAsia="仿宋" w:cs="仿宋"/>
          <w:sz w:val="32"/>
          <w:szCs w:val="32"/>
          <w:highlight w:val="none"/>
          <w:lang w:val="en-US" w:eastAsia="zh-CN" w:bidi="en-US"/>
        </w:rPr>
        <w:t>年度目标：主要解决东干村的生活污水收集，并接入祁杨村至污水处理厂的截污干管。共敷设dn315的污水管8000m，敷设dn225的污水管10200m，管材采用PE100聚乙烯管；敷设dn160的预留接户管6400m，管材采用UPVC管；配套管线设置1000×1000的钢筋混凝土污水检查井990座，以及村内环境卫生整治、村容村貌提升、小广场建设、改厨、改炕、改厕、路面恢复等。</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76" w:lineRule="exact"/>
        <w:ind w:firstLine="640" w:firstLineChars="200"/>
        <w:textAlignment w:val="auto"/>
        <w:rPr>
          <w:rFonts w:hint="eastAsia" w:ascii="仿宋" w:hAnsi="仿宋" w:eastAsia="仿宋" w:cs="仿宋"/>
          <w:sz w:val="32"/>
          <w:szCs w:val="32"/>
          <w:lang w:val="en-US" w:eastAsia="zh-CN" w:bidi="en-US"/>
        </w:rPr>
      </w:pPr>
      <w:r>
        <w:rPr>
          <w:rFonts w:hint="eastAsia" w:ascii="仿宋" w:hAnsi="仿宋" w:eastAsia="仿宋" w:cs="仿宋"/>
          <w:sz w:val="32"/>
          <w:szCs w:val="32"/>
          <w:lang w:val="en-US" w:eastAsia="zh-CN" w:bidi="en-US"/>
        </w:rPr>
        <w:t>河滩镇东干村乡村振兴示范村旅游发展建设项目绩效目标具体设定如下：</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66"/>
        <w:gridCol w:w="1561"/>
        <w:gridCol w:w="3219"/>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一级指标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二级指标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三级指标</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指标目标值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产出目标</w:t>
            </w:r>
          </w:p>
        </w:tc>
        <w:tc>
          <w:tcPr>
            <w:tcW w:w="91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敷设污水管</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新建污水检查井</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990座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验收合格率</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时效指标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项目完工及时率</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成本指标</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成本控制</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≤4702.75万元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效益指标</w:t>
            </w:r>
          </w:p>
        </w:tc>
        <w:tc>
          <w:tcPr>
            <w:tcW w:w="91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社会效益指标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受益人口数量（万人）</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71"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居民生活质量</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71"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生态效益指标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生态环境</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91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可持续影响指标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基础设施服务水平</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影响力目标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服务群众满意度</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r>
    </w:tbl>
    <w:p>
      <w:pPr>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绩效自评工作开展情况
</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为进一步提升资金效益发挥，我单位在11月15日至11月20日，对</w:t>
      </w:r>
      <w:r>
        <w:rPr>
          <w:rFonts w:hint="eastAsia" w:ascii="仿宋" w:hAnsi="仿宋" w:eastAsia="仿宋" w:cs="仿宋"/>
          <w:sz w:val="32"/>
          <w:szCs w:val="32"/>
          <w:lang w:val="en-US" w:eastAsia="zh-CN" w:bidi="en-US"/>
        </w:rPr>
        <w:t>达三路二期工程陡坡面治理项目</w:t>
      </w:r>
      <w:r>
        <w:rPr>
          <w:rFonts w:hint="eastAsia" w:ascii="仿宋" w:hAnsi="仿宋" w:eastAsia="仿宋" w:cs="仿宋"/>
          <w:sz w:val="32"/>
          <w:szCs w:val="32"/>
          <w:lang w:val="en-US" w:eastAsia="zh-CN"/>
        </w:rPr>
        <w:t>开展了绩效自评，主要从资金支付、项目管理、效益发挥、群众满意度、后续资产管理情况入手，总体来看，该项资金支出均衡有序，项目管理规范无违规操作，满意度较高、资产运营良好，基本完成了年初设定的绩效目标，综合测评下来</w:t>
      </w:r>
      <w:r>
        <w:rPr>
          <w:rFonts w:hint="eastAsia" w:ascii="仿宋" w:hAnsi="仿宋" w:eastAsia="仿宋" w:cs="仿宋"/>
          <w:sz w:val="32"/>
          <w:szCs w:val="32"/>
          <w:highlight w:val="none"/>
          <w:lang w:val="en-US" w:eastAsia="zh-CN"/>
        </w:rPr>
        <w:t>，自评得分98分，自评等次为优。</w:t>
      </w:r>
    </w:p>
    <w:p>
      <w:pPr>
        <w:keepNext w:val="0"/>
        <w:keepLines w:val="0"/>
        <w:pageBreakBefore w:val="0"/>
        <w:widowControl w:val="0"/>
        <w:numPr>
          <w:ilvl w:val="0"/>
          <w:numId w:val="1"/>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绩效目标自评完成情况分析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（一）资金投入情况分析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1.项目资金到位情况分析。</w:t>
      </w:r>
    </w:p>
    <w:p>
      <w:pPr>
        <w:keepNext w:val="0"/>
        <w:keepLines w:val="0"/>
        <w:pageBreakBefore w:val="0"/>
        <w:widowControl/>
        <w:numPr>
          <w:ilvl w:val="0"/>
          <w:numId w:val="0"/>
        </w:numPr>
        <w:tabs>
          <w:tab w:val="left" w:pos="0"/>
        </w:tabs>
        <w:kinsoku/>
        <w:wordWrap/>
        <w:overflowPunct w:val="0"/>
        <w:topLinePunct w:val="0"/>
        <w:autoSpaceDE w:val="0"/>
        <w:autoSpaceDN w:val="0"/>
        <w:bidi w:val="0"/>
        <w:adjustRightInd w:val="0"/>
        <w:snapToGrid/>
        <w:spacing w:after="0" w:line="576" w:lineRule="exact"/>
        <w:ind w:right="0" w:rightChars="0" w:firstLine="640" w:firstLineChars="200"/>
        <w:jc w:val="both"/>
        <w:textAlignment w:val="auto"/>
        <w:outlineLvl w:val="9"/>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本项目总投资为</w:t>
      </w:r>
      <w:r>
        <w:rPr>
          <w:rFonts w:hint="eastAsia" w:ascii="仿宋" w:hAnsi="仿宋" w:eastAsia="仿宋" w:cs="仿宋"/>
          <w:sz w:val="32"/>
          <w:szCs w:val="32"/>
          <w:highlight w:val="none"/>
          <w:lang w:val="en-US" w:eastAsia="zh-CN"/>
        </w:rPr>
        <w:t>4702.75万元，</w:t>
      </w:r>
      <w:r>
        <w:rPr>
          <w:rFonts w:hint="eastAsia" w:ascii="仿宋" w:hAnsi="仿宋" w:eastAsia="仿宋" w:cs="仿宋"/>
          <w:sz w:val="32"/>
          <w:szCs w:val="32"/>
          <w:highlight w:val="none"/>
          <w:lang w:val="zh-CN"/>
        </w:rPr>
        <w:t>2022年到位资金</w:t>
      </w:r>
      <w:r>
        <w:rPr>
          <w:rFonts w:hint="eastAsia" w:ascii="仿宋" w:hAnsi="仿宋" w:eastAsia="仿宋" w:cs="仿宋"/>
          <w:sz w:val="32"/>
          <w:szCs w:val="32"/>
          <w:highlight w:val="none"/>
          <w:lang w:val="en-US" w:eastAsia="zh-CN"/>
        </w:rPr>
        <w:t>2300</w:t>
      </w:r>
      <w:r>
        <w:rPr>
          <w:rFonts w:hint="eastAsia" w:ascii="仿宋" w:hAnsi="仿宋" w:eastAsia="仿宋" w:cs="仿宋"/>
          <w:sz w:val="32"/>
          <w:szCs w:val="32"/>
          <w:highlight w:val="none"/>
          <w:lang w:val="zh-CN"/>
        </w:rPr>
        <w:t>万元，建设资金为财政衔接推进乡村振兴补助资金。</w:t>
      </w:r>
    </w:p>
    <w:p>
      <w:pPr>
        <w:keepNext w:val="0"/>
        <w:keepLines w:val="0"/>
        <w:pageBreakBefore w:val="0"/>
        <w:widowControl/>
        <w:numPr>
          <w:ilvl w:val="0"/>
          <w:numId w:val="0"/>
        </w:numPr>
        <w:tabs>
          <w:tab w:val="left" w:pos="0"/>
        </w:tabs>
        <w:kinsoku/>
        <w:wordWrap/>
        <w:overflowPunct w:val="0"/>
        <w:topLinePunct w:val="0"/>
        <w:autoSpaceDE w:val="0"/>
        <w:autoSpaceDN w:val="0"/>
        <w:bidi w:val="0"/>
        <w:adjustRightInd w:val="0"/>
        <w:snapToGrid/>
        <w:spacing w:after="0" w:line="576" w:lineRule="exact"/>
        <w:ind w:right="0" w:rightChars="0" w:firstLine="640" w:firstLineChars="200"/>
        <w:jc w:val="both"/>
        <w:textAlignment w:val="auto"/>
        <w:outlineLvl w:val="9"/>
        <w:rPr>
          <w:rFonts w:hint="eastAsia" w:ascii="仿宋" w:hAnsi="仿宋" w:eastAsia="仿宋" w:cs="仿宋"/>
          <w:kern w:val="2"/>
          <w:sz w:val="32"/>
          <w:szCs w:val="32"/>
          <w:highlight w:val="none"/>
          <w:lang w:eastAsia="zh-CN" w:bidi="ar-SA"/>
        </w:rPr>
      </w:pPr>
      <w:r>
        <w:rPr>
          <w:rFonts w:hint="eastAsia" w:ascii="仿宋" w:hAnsi="仿宋" w:eastAsia="仿宋" w:cs="仿宋"/>
          <w:kern w:val="2"/>
          <w:sz w:val="32"/>
          <w:szCs w:val="32"/>
          <w:highlight w:val="none"/>
          <w:lang w:val="en-US" w:eastAsia="zh-CN" w:bidi="ar-SA"/>
        </w:rPr>
        <w:t>2.</w:t>
      </w:r>
      <w:r>
        <w:rPr>
          <w:rFonts w:hint="eastAsia" w:ascii="仿宋" w:hAnsi="仿宋" w:eastAsia="仿宋" w:cs="仿宋"/>
          <w:kern w:val="2"/>
          <w:sz w:val="32"/>
          <w:szCs w:val="32"/>
          <w:highlight w:val="none"/>
          <w:lang w:eastAsia="zh-CN" w:bidi="ar-SA"/>
        </w:rPr>
        <w:t>项目资金执行情况分析。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按照项目实施进度及合同约定，分批次报账申请拨付，2022年到位资金</w:t>
      </w:r>
      <w:r>
        <w:rPr>
          <w:rFonts w:hint="eastAsia" w:ascii="仿宋" w:hAnsi="仿宋" w:eastAsia="仿宋" w:cs="仿宋"/>
          <w:sz w:val="32"/>
          <w:szCs w:val="32"/>
          <w:highlight w:val="none"/>
          <w:lang w:val="en-US" w:eastAsia="zh-CN"/>
        </w:rPr>
        <w:t>2300</w:t>
      </w:r>
      <w:r>
        <w:rPr>
          <w:rFonts w:hint="eastAsia" w:ascii="仿宋" w:hAnsi="仿宋" w:eastAsia="仿宋" w:cs="仿宋"/>
          <w:sz w:val="32"/>
          <w:szCs w:val="32"/>
          <w:highlight w:val="none"/>
          <w:lang w:eastAsia="zh-CN"/>
        </w:rPr>
        <w:t>万元，已全部拨付到位</w:t>
      </w:r>
      <w:r>
        <w:rPr>
          <w:rFonts w:hint="eastAsia" w:ascii="仿宋" w:hAnsi="仿宋" w:eastAsia="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highlight w:val="none"/>
          <w:lang w:eastAsia="zh-CN" w:bidi="ar-SA"/>
        </w:rPr>
      </w:pPr>
      <w:r>
        <w:rPr>
          <w:rFonts w:hint="eastAsia" w:ascii="仿宋" w:hAnsi="仿宋" w:eastAsia="仿宋" w:cs="仿宋"/>
          <w:kern w:val="2"/>
          <w:sz w:val="32"/>
          <w:szCs w:val="32"/>
          <w:highlight w:val="none"/>
          <w:lang w:eastAsia="zh-CN" w:bidi="ar-SA"/>
        </w:rPr>
        <w:t>3.项目资金管理情况分析。</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zh-CN"/>
        </w:rPr>
        <w:t>该项目通过报账制进行申请拨付。由施工单位出具费用票据，经实施单位经办人、分管负责人、主要负责人审查签字后报</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val="zh-CN"/>
        </w:rPr>
        <w:t>和财政局审核签字，通过审核后项目款直接由</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val="zh-CN"/>
        </w:rPr>
        <w:t>支付给施工单位。</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b/>
          <w:bCs/>
          <w:kern w:val="2"/>
          <w:sz w:val="32"/>
          <w:szCs w:val="32"/>
          <w:lang w:eastAsia="zh-CN" w:bidi="ar-SA"/>
        </w:rPr>
        <w:t>（二）绩效目标完成情况分析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1.产出指标完成情况分析。</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after="0"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通过项目实施，</w:t>
      </w:r>
      <w:r>
        <w:rPr>
          <w:rFonts w:hint="eastAsia" w:ascii="仿宋" w:hAnsi="仿宋" w:eastAsia="仿宋" w:cs="仿宋"/>
          <w:sz w:val="32"/>
          <w:szCs w:val="32"/>
          <w:lang w:val="en-US" w:eastAsia="zh-CN"/>
        </w:rPr>
        <w:t>项目区生态环境明显改善，各项指标都已及时完成，该项目公共招标形式进行，成本控制在</w:t>
      </w:r>
      <w:r>
        <w:rPr>
          <w:rFonts w:hint="eastAsia" w:ascii="仿宋" w:hAnsi="仿宋" w:eastAsia="仿宋" w:cs="仿宋"/>
          <w:sz w:val="32"/>
          <w:szCs w:val="32"/>
          <w:highlight w:val="none"/>
          <w:lang w:val="en-US" w:eastAsia="zh-CN"/>
        </w:rPr>
        <w:t>4702.75</w:t>
      </w:r>
      <w:r>
        <w:rPr>
          <w:rFonts w:hint="eastAsia" w:ascii="仿宋" w:hAnsi="仿宋" w:eastAsia="仿宋" w:cs="仿宋"/>
          <w:sz w:val="32"/>
          <w:szCs w:val="32"/>
          <w:lang w:val="en-US" w:eastAsia="zh-CN"/>
        </w:rPr>
        <w:t>万以下。</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效益指标完成情况分析。</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生态效益：通过项目实施一方面可以改善村内水体流域的水质，另一方面，也能改善水体沿线的生态环境，对于当地环境的可持续发展有积极的推进作用。此外，水质和河流生态环境的改善，对于大幅提升镇区形象也有积极的促进意义。</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（2）经济效益：</w:t>
      </w:r>
      <w:r>
        <w:rPr>
          <w:rFonts w:hint="eastAsia" w:ascii="仿宋" w:hAnsi="仿宋" w:eastAsia="仿宋" w:cs="仿宋"/>
          <w:kern w:val="2"/>
          <w:sz w:val="32"/>
          <w:szCs w:val="32"/>
          <w:lang w:val="zh-CN" w:eastAsia="zh-CN" w:bidi="ar-SA"/>
        </w:rPr>
        <w:t>本项目的实施加快了东乡县基础设施提升改造进度，做到应保尽保，实现居者有其屋，让困难家庭能够安居乐业，对推进城镇建设与当地经济发展有着至关重要的意义。</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w:t>
      </w: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zh-CN" w:eastAsia="zh-CN" w:bidi="ar-SA"/>
        </w:rPr>
        <w:t>）社会效益：首先解决了群众的现实困难，改变了居民的居住条件，生活环境和生活状态都有了很大的改善，改变了城镇面貌，良好的城镇面貌有助于营造良好的社会氛围，充分体现了人与社会环境的和谐发展，再次化解了社会矛盾，促进了社会稳定。</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eastAsia="zh-CN" w:bidi="ar-SA"/>
        </w:rPr>
        <w:t>满意度指标完成情况分析。</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经走访调查沿线群众，沿线群众对该项目的建设</w:t>
      </w:r>
      <w:r>
        <w:rPr>
          <w:rFonts w:hint="eastAsia" w:ascii="仿宋" w:hAnsi="仿宋" w:eastAsia="仿宋" w:cs="仿宋"/>
          <w:kern w:val="2"/>
          <w:sz w:val="32"/>
          <w:szCs w:val="32"/>
          <w:lang w:val="en-US" w:eastAsia="zh-CN" w:bidi="ar-SA"/>
        </w:rPr>
        <w:t>较为</w:t>
      </w:r>
      <w:r>
        <w:rPr>
          <w:rFonts w:hint="eastAsia" w:ascii="仿宋" w:hAnsi="仿宋" w:eastAsia="仿宋" w:cs="仿宋"/>
          <w:kern w:val="2"/>
          <w:sz w:val="32"/>
          <w:szCs w:val="32"/>
          <w:lang w:eastAsia="zh-CN" w:bidi="ar-SA"/>
        </w:rPr>
        <w:t>满意。</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val="en-US" w:eastAsia="zh-CN" w:bidi="ar-SA"/>
        </w:rPr>
        <w:t>四、</w:t>
      </w:r>
      <w:r>
        <w:rPr>
          <w:rFonts w:hint="eastAsia" w:ascii="黑体" w:hAnsi="黑体" w:eastAsia="黑体" w:cs="黑体"/>
          <w:kern w:val="2"/>
          <w:sz w:val="32"/>
          <w:szCs w:val="32"/>
          <w:lang w:eastAsia="zh-CN" w:bidi="ar-SA"/>
        </w:rPr>
        <w:t>绩效自评结果拟应用和公开情况</w:t>
      </w:r>
    </w:p>
    <w:p>
      <w:pPr>
        <w:pStyle w:val="9"/>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本项目总体实施情况良好，项目资金使用合理，无挪用占用现象发生。</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五、存在问题及下一步整改措施</w:t>
      </w:r>
    </w:p>
    <w:p>
      <w:pPr>
        <w:pStyle w:val="9"/>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因近期受疫情影响，未及时完工，我局已要求施工单位及监理单位，倒排工期，加班加点推进项目建设进度，并要求监理单位全程跟踪，对发现的问题及时下发整改通知，保质保量完成项目建设任务。</w:t>
      </w:r>
    </w:p>
    <w:p>
      <w:pPr>
        <w:pStyle w:val="2"/>
        <w:rPr>
          <w:rFonts w:hint="eastAsia" w:ascii="仿宋" w:hAnsi="仿宋" w:eastAsia="仿宋" w:cs="仿宋"/>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76" w:lineRule="exact"/>
        <w:ind w:right="0" w:rightChars="0" w:firstLine="4480" w:firstLineChars="1400"/>
        <w:jc w:val="both"/>
        <w:textAlignment w:val="auto"/>
        <w:outlineLvl w:val="9"/>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东乡县住房和城乡建设局</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42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 xml:space="preserve">                            2022年11月22日</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0" w:firstLineChars="0"/>
        <w:jc w:val="left"/>
        <w:textAlignment w:val="auto"/>
        <w:outlineLvl w:val="9"/>
        <w:rPr>
          <w:rFonts w:hint="eastAsia"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92E3F"/>
    <w:multiLevelType w:val="singleLevel"/>
    <w:tmpl w:val="07B92E3F"/>
    <w:lvl w:ilvl="0" w:tentative="0">
      <w:start w:val="1"/>
      <w:numFmt w:val="chineseCounting"/>
      <w:suff w:val="nothing"/>
      <w:lvlText w:val="%1、"/>
      <w:lvlJc w:val="left"/>
      <w:pPr>
        <w:ind w:left="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ZTNiOTdiYTdmNWNjZGMxNzE3MWVjNTQ0YTU5NDIifQ=="/>
  </w:docVars>
  <w:rsids>
    <w:rsidRoot w:val="00000000"/>
    <w:rsid w:val="02AA4B1F"/>
    <w:rsid w:val="0D386A9E"/>
    <w:rsid w:val="0F8D2093"/>
    <w:rsid w:val="11B25539"/>
    <w:rsid w:val="12A34BDD"/>
    <w:rsid w:val="1AD863F9"/>
    <w:rsid w:val="302D2CFD"/>
    <w:rsid w:val="391870DD"/>
    <w:rsid w:val="3D9A2C2F"/>
    <w:rsid w:val="470E7B71"/>
    <w:rsid w:val="5D387615"/>
    <w:rsid w:val="69AA14E4"/>
    <w:rsid w:val="6B970333"/>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9">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2023-09-20T07:30:58Z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