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p>
    <w:p>
      <w:pPr>
        <w:keepNext w:val="0"/>
        <w:keepLines w:val="0"/>
        <w:widowControl/>
        <w:suppressLineNumbers w:val="0"/>
        <w:jc w:val="center"/>
        <w:rPr>
          <w:rFonts w:ascii="楷体" w:hAnsi="楷体" w:eastAsia="楷体"/>
          <w:sz w:val="30"/>
          <w:szCs w:val="30"/>
        </w:rPr>
      </w:pPr>
      <w:r>
        <w:rPr>
          <w:rFonts w:hint="eastAsia" w:ascii="宋体" w:hAnsi="宋体" w:eastAsia="宋体" w:cs="宋体"/>
          <w:b/>
          <w:bCs/>
          <w:color w:val="000000"/>
          <w:kern w:val="0"/>
          <w:sz w:val="72"/>
          <w:szCs w:val="72"/>
          <w:lang w:val="en-US" w:eastAsia="zh-CN" w:bidi="ar"/>
        </w:rPr>
        <w:t>东乡县统战部</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1、组织贯彻执行中央、省委和县委关于党的统一战线方针、政策、指示、决议；负责对县</w:t>
      </w:r>
      <w:r>
        <w:rPr>
          <w:rFonts w:hint="eastAsia" w:ascii="仿宋" w:hAnsi="仿宋" w:eastAsia="仿宋" w:cs="仿宋"/>
          <w:color w:val="000000"/>
          <w:kern w:val="0"/>
          <w:sz w:val="34"/>
          <w:szCs w:val="34"/>
          <w:lang w:val="en-US" w:eastAsia="zh-CN" w:bidi="ar"/>
        </w:rPr>
        <w:t>级统战系统的重要活动协调，并对贯彻落实各项统战方针、政策进行督促检查，向县委反映党外人士的意见和建议。 2、负责联系各民主党派和无党派代表人士，协助县委贯彻党领导的多党合作和政治协商制度以及对民主党派的方针、政策，发挥县级各民主党派参政议政和民主监督作用；支持、帮助县级各民主党派开展工作，加强自身建设。 3、负责党外人士的政治安排，会同县委统战部做好培养、选拔、推荐党外人士担任政府和司法机关领导职务的工作，做好党外后备干部和新的代表人物队伍的建设工作，做好“四大员”推荐、联系、协调工作。 4、协调检查有关民族、宗教工作方针、政策的落实情况，联系宗教界、少数民族的代表人士。 5、做好县台湾事务办公室、县工商联、县各民主党派机关科级干部任免前审核工作，受各民主党派省委会委托，管理各民主党派县委会机关干部。 6、开展以经济建设为中心，祖国统一为重点的海外统战工作，联系海外有关社团及代表人士；归口管理台湾在野党派、政治团体的信访工作。 7、负责开展经济领域的统战工作，联系非公有制经济代表人士，指导县工商联工作，调查、研究并反映我县非公有制经济代表人士的情况、协调关系、提出意见和建议。 8、管理绍兴海外联谊会、县统战理论学会。9、负责开展海内外统一战线的宣传工作。 10、调查研究党外知识分子的情况，反映党外知识分子的意见，协调关系、提出政策建议；联系并培养党外知识分子代表人物，会同有关部门做好政治、生活待遇的安排。 11、负责贯彻执行党对原工商业者、原国民党起义投诚人员等各项政策。 12、指导县（县、区）党委统战部门的工作；协调县级有关部门的统战工作；指导县侨联工作，管理统战系统有关团体。 13、完成县委和上级业务部门交办的其他任务。</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rPr>
          <w:rFonts w:ascii="仿宋" w:hAnsi="仿宋" w:eastAsia="仿宋" w:cs="仿宋"/>
          <w:color w:val="000000"/>
          <w:kern w:val="0"/>
          <w:sz w:val="34"/>
          <w:szCs w:val="34"/>
          <w:lang w:val="en-US" w:eastAsia="zh-CN" w:bidi="ar"/>
        </w:rPr>
      </w:pPr>
      <w:r>
        <w:rPr>
          <w:rFonts w:ascii="仿宋" w:hAnsi="仿宋" w:eastAsia="仿宋" w:cs="仿宋"/>
          <w:color w:val="000000"/>
          <w:kern w:val="0"/>
          <w:sz w:val="34"/>
          <w:szCs w:val="34"/>
          <w:lang w:val="en-US" w:eastAsia="zh-CN" w:bidi="ar"/>
        </w:rPr>
        <w:t>统战部下设四个机构，分别为综合办公室、台办、创建办、“两个共同”办。</w:t>
      </w:r>
    </w:p>
    <w:p>
      <w:pPr>
        <w:keepNext w:val="0"/>
        <w:keepLines w:val="0"/>
        <w:widowControl/>
        <w:suppressLineNumbers w:val="0"/>
        <w:jc w:val="left"/>
        <w:rPr>
          <w:rFonts w:ascii="仿宋" w:hAnsi="仿宋" w:eastAsia="仿宋" w:cs="仿宋"/>
          <w:color w:val="000000"/>
          <w:kern w:val="0"/>
          <w:sz w:val="34"/>
          <w:szCs w:val="34"/>
          <w:lang w:val="en-US" w:eastAsia="zh-CN" w:bidi="ar"/>
        </w:rPr>
      </w:pPr>
    </w:p>
    <w:p>
      <w:pPr>
        <w:spacing w:line="640" w:lineRule="exact"/>
        <w:jc w:val="center"/>
        <w:rPr>
          <w:rFonts w:ascii="仿宋_GB2312" w:hAnsi="黑体" w:eastAsia="仿宋_GB2312"/>
          <w:b/>
          <w:sz w:val="44"/>
          <w:szCs w:val="44"/>
        </w:rPr>
      </w:pPr>
    </w:p>
    <w:p>
      <w:pPr>
        <w:numPr>
          <w:ilvl w:val="0"/>
          <w:numId w:val="2"/>
        </w:numPr>
        <w:spacing w:line="640" w:lineRule="exact"/>
        <w:jc w:val="center"/>
        <w:rPr>
          <w:rFonts w:hint="eastAsia" w:ascii="仿宋_GB2312" w:hAnsi="黑体" w:eastAsia="仿宋_GB2312"/>
          <w:b/>
          <w:sz w:val="52"/>
          <w:szCs w:val="52"/>
        </w:rPr>
      </w:pPr>
      <w:r>
        <w:rPr>
          <w:rFonts w:hint="eastAsia" w:ascii="仿宋_GB2312" w:hAnsi="黑体" w:eastAsia="仿宋_GB2312"/>
          <w:b/>
          <w:sz w:val="52"/>
          <w:szCs w:val="52"/>
        </w:rPr>
        <w:t xml:space="preserve"> 2022年部门预算表格</w:t>
      </w: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left"/>
        <w:rPr>
          <w:rFonts w:hint="eastAsia" w:ascii="仿宋_GB2312" w:eastAsia="仿宋_GB2312"/>
          <w:color w:val="000000"/>
          <w:sz w:val="32"/>
          <w:szCs w:val="3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lang w:val="en-US" w:eastAsia="zh-CN"/>
        </w:rPr>
        <w:t>第</w:t>
      </w:r>
      <w:r>
        <w:rPr>
          <w:rFonts w:hint="eastAsia" w:ascii="仿宋_GB2312" w:hAnsi="黑体" w:eastAsia="仿宋_GB2312"/>
          <w:b/>
          <w:sz w:val="52"/>
          <w:szCs w:val="52"/>
        </w:rPr>
        <w:t>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keepNext w:val="0"/>
        <w:keepLines w:val="0"/>
        <w:widowControl/>
        <w:suppressLineNumbers w:val="0"/>
        <w:ind w:firstLine="640" w:firstLineChars="200"/>
        <w:jc w:val="left"/>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2022年预算收入20574815.09元，比上年预算</w:t>
      </w:r>
      <w:r>
        <w:rPr>
          <w:rFonts w:hint="eastAsia" w:ascii="仿宋_GB2312" w:hAnsi="黑体" w:eastAsia="仿宋_GB2312" w:cs="Times New Roman"/>
          <w:sz w:val="32"/>
          <w:szCs w:val="32"/>
          <w:highlight w:val="none"/>
          <w:lang w:val="en-US" w:eastAsia="zh-CN"/>
        </w:rPr>
        <w:t>上升</w:t>
      </w:r>
      <w:r>
        <w:rPr>
          <w:rFonts w:hint="eastAsia" w:ascii="仿宋_GB2312" w:hAnsi="黑体" w:eastAsia="仿宋_GB2312"/>
          <w:sz w:val="32"/>
          <w:szCs w:val="32"/>
          <w:highlight w:val="none"/>
          <w:lang w:val="en-US" w:eastAsia="zh-CN"/>
        </w:rPr>
        <w:t>11918256.09</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相应比上年预算数</w:t>
      </w:r>
      <w:r>
        <w:rPr>
          <w:rFonts w:hint="eastAsia" w:ascii="仿宋_GB2312" w:hAnsi="宋体" w:eastAsia="仿宋_GB2312"/>
          <w:sz w:val="32"/>
          <w:szCs w:val="32"/>
          <w:highlight w:val="none"/>
          <w:lang w:eastAsia="zh-CN"/>
        </w:rPr>
        <w:t>上升</w:t>
      </w:r>
      <w:r>
        <w:rPr>
          <w:rFonts w:hint="eastAsia" w:ascii="仿宋_GB2312" w:hAnsi="黑体" w:eastAsia="仿宋_GB2312"/>
          <w:sz w:val="32"/>
          <w:szCs w:val="32"/>
          <w:highlight w:val="none"/>
          <w:lang w:val="en-US" w:eastAsia="zh-CN"/>
        </w:rPr>
        <w:t>137.68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，上升</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项目</w:t>
      </w:r>
      <w:r>
        <w:rPr>
          <w:rFonts w:hint="eastAsia" w:ascii="仿宋_GB2312" w:hAnsi="宋体" w:eastAsia="仿宋_GB2312"/>
          <w:sz w:val="32"/>
          <w:szCs w:val="32"/>
          <w:highlight w:val="none"/>
          <w:lang w:eastAsia="zh-CN"/>
        </w:rPr>
        <w:t>经费支出经费增加。</w:t>
      </w:r>
      <w:r>
        <w:rPr>
          <w:rFonts w:hint="eastAsia" w:ascii="仿宋_GB2312" w:hAnsi="黑体" w:eastAsia="仿宋_GB2312"/>
          <w:sz w:val="32"/>
          <w:szCs w:val="32"/>
          <w:highlight w:val="none"/>
        </w:rPr>
        <w:t>其中：一般公共预算财政拨款收入20574815.09元，政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20574815.09</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上升</w:t>
      </w:r>
      <w:r>
        <w:rPr>
          <w:rFonts w:hint="eastAsia" w:ascii="仿宋_GB2312" w:hAnsi="黑体" w:eastAsia="仿宋_GB2312"/>
          <w:sz w:val="32"/>
          <w:szCs w:val="32"/>
          <w:highlight w:val="none"/>
          <w:lang w:val="en-US" w:eastAsia="zh-CN"/>
        </w:rPr>
        <w:t>137.68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上升</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项目</w:t>
      </w:r>
      <w:r>
        <w:rPr>
          <w:rFonts w:hint="eastAsia" w:ascii="仿宋_GB2312" w:hAnsi="宋体" w:eastAsia="仿宋_GB2312"/>
          <w:sz w:val="32"/>
          <w:szCs w:val="32"/>
          <w:highlight w:val="none"/>
          <w:lang w:eastAsia="zh-CN"/>
        </w:rPr>
        <w:t>经费支出经费增加。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一般公共服务支出18986295.16元，其中：财政拨款18986295.16元，比上年预算数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138.57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人员开支及项目开支增加</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737984.20元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5.7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人员开支</w:t>
      </w:r>
      <w:r>
        <w:rPr>
          <w:rFonts w:hint="eastAsia" w:ascii="仿宋_GB2312" w:hAnsi="宋体" w:eastAsia="仿宋_GB2312"/>
          <w:sz w:val="32"/>
          <w:szCs w:val="32"/>
          <w:highlight w:val="none"/>
          <w:lang w:val="en-US" w:eastAsia="zh-CN"/>
        </w:rPr>
        <w:t>基数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lang w:eastAsia="zh-CN"/>
        </w:rPr>
      </w:pPr>
      <w:r>
        <w:rPr>
          <w:rFonts w:hint="default" w:ascii="仿宋_GB2312" w:hAnsi="宋体" w:eastAsia="仿宋_GB2312" w:cs="Times New Roman"/>
          <w:sz w:val="32"/>
          <w:szCs w:val="32"/>
          <w:highlight w:val="none"/>
          <w:lang w:val="en-US" w:eastAsia="zh-CN"/>
        </w:rPr>
        <w:t>卫生健康支出303880.77</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 w:hAnsi="仿宋" w:eastAsia="仿宋" w:cs="仿宋"/>
          <w:b w:val="0"/>
          <w:bCs/>
          <w:color w:val="000000"/>
          <w:sz w:val="32"/>
          <w:szCs w:val="32"/>
          <w:lang w:val="en-US" w:eastAsia="zh-CN"/>
        </w:rPr>
        <w:t>，</w:t>
      </w:r>
      <w:r>
        <w:rPr>
          <w:rFonts w:hint="eastAsia" w:ascii="仿宋_GB2312" w:hAnsi="黑体" w:eastAsia="仿宋_GB2312"/>
          <w:sz w:val="32"/>
          <w:szCs w:val="32"/>
          <w:highlight w:val="none"/>
          <w:lang w:eastAsia="zh-CN"/>
        </w:rPr>
        <w:t>主要原因是卫生健康支出列入单位预算</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cs="Times New Roman"/>
          <w:sz w:val="32"/>
          <w:szCs w:val="32"/>
          <w:highlight w:val="none"/>
          <w:lang w:val="en-US" w:eastAsia="zh-CN"/>
        </w:rPr>
        <w:t>住房保障支出546654.96</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eastAsia="zh-CN"/>
        </w:rPr>
        <w:t>，主要原因是住房公积金列入单位预算</w:t>
      </w:r>
      <w:r>
        <w:rPr>
          <w:rFonts w:hint="eastAsia" w:ascii="仿宋_GB2312" w:hAnsi="宋体" w:eastAsia="仿宋_GB2312"/>
          <w:sz w:val="32"/>
          <w:szCs w:val="32"/>
          <w:highlight w:val="none"/>
        </w:rPr>
        <w:t>。</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numPr>
          <w:ilvl w:val="0"/>
          <w:numId w:val="3"/>
        </w:numPr>
        <w:spacing w:line="640" w:lineRule="exact"/>
        <w:ind w:left="653" w:leftChars="0" w:firstLine="397" w:firstLineChars="0"/>
        <w:rPr>
          <w:rFonts w:ascii="仿宋_GB2312" w:hAnsi="黑体" w:eastAsia="仿宋_GB2312"/>
          <w:sz w:val="32"/>
          <w:szCs w:val="32"/>
          <w:highlight w:val="none"/>
        </w:rPr>
      </w:pPr>
      <w:r>
        <w:rPr>
          <w:rFonts w:hint="eastAsia" w:ascii="楷体_GB2312" w:hAnsi="黑体" w:eastAsia="楷体_GB2312"/>
          <w:b/>
          <w:sz w:val="32"/>
          <w:szCs w:val="32"/>
          <w:highlight w:val="none"/>
        </w:rPr>
        <w:t>一般公共服务支出</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类</w:t>
      </w:r>
      <w:r>
        <w:rPr>
          <w:rFonts w:hint="eastAsia" w:ascii="楷体_GB2312" w:hAnsi="黑体" w:eastAsia="楷体_GB2312"/>
          <w:b/>
          <w:sz w:val="32"/>
          <w:szCs w:val="32"/>
          <w:highlight w:val="none"/>
          <w:lang w:eastAsia="zh-CN"/>
        </w:rPr>
        <w:t>）群众团体事务（</w:t>
      </w:r>
      <w:r>
        <w:rPr>
          <w:rFonts w:hint="eastAsia" w:ascii="楷体_GB2312" w:hAnsi="黑体" w:eastAsia="楷体_GB2312"/>
          <w:b/>
          <w:sz w:val="32"/>
          <w:szCs w:val="32"/>
          <w:highlight w:val="none"/>
          <w:lang w:val="en-US" w:eastAsia="zh-CN"/>
        </w:rPr>
        <w:t>款</w:t>
      </w:r>
      <w:r>
        <w:rPr>
          <w:rFonts w:hint="eastAsia" w:ascii="楷体_GB2312" w:hAnsi="黑体" w:eastAsia="楷体_GB2312"/>
          <w:b/>
          <w:sz w:val="32"/>
          <w:szCs w:val="32"/>
          <w:highlight w:val="none"/>
          <w:lang w:eastAsia="zh-CN"/>
        </w:rPr>
        <w:t>）</w:t>
      </w:r>
      <w:r>
        <w:rPr>
          <w:rFonts w:hint="eastAsia" w:ascii="仿宋_GB2312" w:hAnsi="黑体" w:eastAsia="仿宋_GB2312"/>
          <w:sz w:val="32"/>
          <w:szCs w:val="32"/>
          <w:highlight w:val="none"/>
        </w:rPr>
        <w:t>2022年预算支出91109.16元，</w:t>
      </w:r>
      <w:r>
        <w:rPr>
          <w:rFonts w:hint="eastAsia" w:ascii="仿宋_GB2312" w:hAnsi="黑体" w:eastAsia="仿宋_GB2312"/>
          <w:sz w:val="32"/>
          <w:szCs w:val="32"/>
          <w:highlight w:val="none"/>
          <w:lang w:val="en-US" w:eastAsia="zh-CN"/>
        </w:rPr>
        <w:t>较上年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54.9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w:t>
      </w:r>
      <w:r>
        <w:rPr>
          <w:rFonts w:hint="eastAsia" w:ascii="仿宋_GB2312" w:hAnsi="宋体" w:eastAsia="仿宋_GB2312"/>
          <w:sz w:val="32"/>
          <w:szCs w:val="32"/>
          <w:highlight w:val="none"/>
          <w:lang w:eastAsia="zh-CN"/>
        </w:rPr>
        <w:t>人员开支及项目开支增加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工会事务</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2022年预算支出91109.16元，</w:t>
      </w:r>
      <w:r>
        <w:rPr>
          <w:rFonts w:hint="eastAsia" w:ascii="仿宋_GB2312" w:hAnsi="黑体" w:eastAsia="仿宋_GB2312"/>
          <w:sz w:val="32"/>
          <w:szCs w:val="32"/>
          <w:highlight w:val="none"/>
          <w:lang w:val="en-US" w:eastAsia="zh-CN"/>
        </w:rPr>
        <w:t>较上年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54.9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w:t>
      </w:r>
      <w:r>
        <w:rPr>
          <w:rFonts w:hint="eastAsia" w:ascii="仿宋_GB2312" w:hAnsi="宋体" w:eastAsia="仿宋_GB2312"/>
          <w:sz w:val="32"/>
          <w:szCs w:val="32"/>
          <w:highlight w:val="none"/>
          <w:lang w:eastAsia="zh-CN"/>
        </w:rPr>
        <w:t>人员开支及项目开支增加</w:t>
      </w:r>
      <w:r>
        <w:rPr>
          <w:rFonts w:hint="eastAsia" w:ascii="仿宋_GB2312" w:hAnsi="黑体" w:eastAsia="仿宋_GB2312"/>
          <w:sz w:val="32"/>
          <w:szCs w:val="32"/>
          <w:highlight w:val="none"/>
        </w:rPr>
        <w:t>。</w:t>
      </w:r>
      <w:r>
        <w:rPr>
          <w:rFonts w:hint="eastAsia" w:ascii="楷体_GB2312" w:hAnsi="黑体" w:eastAsia="楷体_GB2312"/>
          <w:b/>
          <w:sz w:val="32"/>
          <w:szCs w:val="32"/>
          <w:highlight w:val="none"/>
          <w:lang w:eastAsia="zh-CN"/>
        </w:rPr>
        <w:t>统战事务</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款</w:t>
      </w:r>
      <w:r>
        <w:rPr>
          <w:rFonts w:hint="eastAsia" w:ascii="楷体_GB2312" w:hAnsi="黑体" w:eastAsia="楷体_GB2312"/>
          <w:b/>
          <w:sz w:val="32"/>
          <w:szCs w:val="32"/>
          <w:highlight w:val="none"/>
          <w:lang w:eastAsia="zh-CN"/>
        </w:rPr>
        <w:t>）</w:t>
      </w:r>
      <w:r>
        <w:rPr>
          <w:rFonts w:hint="eastAsia" w:ascii="仿宋_GB2312" w:hAnsi="黑体" w:eastAsia="仿宋_GB2312"/>
          <w:sz w:val="32"/>
          <w:szCs w:val="32"/>
          <w:highlight w:val="none"/>
        </w:rPr>
        <w:t>2022年预算支出18895186.00</w:t>
      </w:r>
      <w:r>
        <w:rPr>
          <w:rFonts w:hint="eastAsia" w:ascii="仿宋_GB2312" w:hAnsi="黑体" w:eastAsia="仿宋_GB2312"/>
          <w:sz w:val="32"/>
          <w:szCs w:val="32"/>
          <w:highlight w:val="none"/>
          <w:lang w:val="en-US" w:eastAsia="zh-CN"/>
        </w:rPr>
        <w:t>元，较上年</w:t>
      </w:r>
      <w:r>
        <w:rPr>
          <w:rFonts w:hint="eastAsia" w:ascii="仿宋_GB2312" w:hAnsi="宋体" w:eastAsia="仿宋_GB2312"/>
          <w:sz w:val="32"/>
          <w:szCs w:val="32"/>
          <w:highlight w:val="none"/>
          <w:lang w:eastAsia="zh-CN"/>
        </w:rPr>
        <w:t>增</w:t>
      </w:r>
      <w:r>
        <w:rPr>
          <w:rFonts w:hint="eastAsia" w:ascii="仿宋_GB2312" w:hAnsi="宋体" w:eastAsia="仿宋_GB2312"/>
          <w:sz w:val="32"/>
          <w:szCs w:val="32"/>
          <w:highlight w:val="none"/>
          <w:lang w:val="en-US" w:eastAsia="zh-CN"/>
        </w:rPr>
        <w:t>长143.5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行政运行</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2022年预算支出6945186.00</w:t>
      </w:r>
      <w:r>
        <w:rPr>
          <w:rFonts w:hint="eastAsia" w:ascii="仿宋_GB2312" w:hAnsi="黑体" w:eastAsia="仿宋_GB2312"/>
          <w:sz w:val="32"/>
          <w:szCs w:val="32"/>
          <w:highlight w:val="none"/>
          <w:lang w:val="en-US" w:eastAsia="zh-CN"/>
        </w:rPr>
        <w:t>元，较上年减少</w:t>
      </w:r>
      <w:r>
        <w:rPr>
          <w:rFonts w:hint="eastAsia" w:ascii="仿宋_GB2312" w:hAnsi="宋体" w:eastAsia="仿宋_GB2312"/>
          <w:sz w:val="32"/>
          <w:szCs w:val="32"/>
          <w:highlight w:val="none"/>
          <w:lang w:val="en-US" w:eastAsia="zh-CN"/>
        </w:rPr>
        <w:t>10.5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减少原因：该科目资金支出缩减</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val="en-US" w:eastAsia="zh-CN"/>
        </w:rPr>
        <w:t>其他统战事务支出</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2022年预算支出11950000.00</w:t>
      </w:r>
      <w:r>
        <w:rPr>
          <w:rFonts w:hint="eastAsia" w:ascii="仿宋_GB2312" w:hAnsi="黑体" w:eastAsia="仿宋_GB2312"/>
          <w:sz w:val="32"/>
          <w:szCs w:val="32"/>
          <w:highlight w:val="none"/>
          <w:lang w:val="en-US" w:eastAsia="zh-CN"/>
        </w:rPr>
        <w:t>元，较上年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100%，增加原因：上年无此项。</w:t>
      </w:r>
    </w:p>
    <w:p>
      <w:pPr>
        <w:numPr>
          <w:ilvl w:val="0"/>
          <w:numId w:val="3"/>
        </w:numPr>
        <w:spacing w:line="640" w:lineRule="exact"/>
        <w:ind w:left="653" w:leftChars="0" w:firstLine="397" w:firstLineChars="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社会保障和就业支出</w:t>
      </w:r>
      <w:r>
        <w:rPr>
          <w:rFonts w:hint="eastAsia" w:ascii="仿宋_GB2312" w:hAnsi="黑体" w:eastAsia="仿宋_GB2312"/>
          <w:b/>
          <w:bCs/>
          <w:sz w:val="32"/>
          <w:szCs w:val="32"/>
          <w:highlight w:val="none"/>
          <w:lang w:val="en-US" w:eastAsia="zh-CN"/>
        </w:rPr>
        <w:t>（类）</w:t>
      </w:r>
      <w:r>
        <w:rPr>
          <w:rFonts w:hint="eastAsia" w:ascii="仿宋_GB2312" w:hAnsi="黑体" w:eastAsia="仿宋_GB2312"/>
          <w:sz w:val="32"/>
          <w:szCs w:val="32"/>
          <w:highlight w:val="none"/>
        </w:rPr>
        <w:t>2022年预算支出737984.20元，</w:t>
      </w:r>
      <w:r>
        <w:rPr>
          <w:rFonts w:hint="eastAsia" w:ascii="仿宋_GB2312" w:hAnsi="黑体" w:eastAsia="仿宋_GB2312"/>
          <w:sz w:val="32"/>
          <w:szCs w:val="32"/>
          <w:highlight w:val="none"/>
          <w:lang w:val="en-US" w:eastAsia="zh-CN"/>
        </w:rPr>
        <w:t>较上年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5.7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w:t>
      </w:r>
      <w:r>
        <w:rPr>
          <w:rFonts w:hint="eastAsia" w:ascii="仿宋_GB2312" w:hAnsi="宋体" w:eastAsia="仿宋_GB2312"/>
          <w:sz w:val="32"/>
          <w:szCs w:val="32"/>
          <w:highlight w:val="none"/>
          <w:lang w:eastAsia="zh-CN"/>
        </w:rPr>
        <w:t>人员开支增加</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val="en-US" w:eastAsia="zh-CN"/>
        </w:rPr>
        <w:t>行政事业单位养老支出</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rPr>
        <w:t>737984.20</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lang w:val="en-US" w:eastAsia="zh-CN"/>
        </w:rPr>
        <w:t>机关事业单位基本养老保险缴费支出</w:t>
      </w:r>
      <w:r>
        <w:rPr>
          <w:rFonts w:hint="eastAsia" w:ascii="仿宋_GB2312" w:hAnsi="黑体" w:eastAsia="仿宋_GB2312"/>
          <w:b/>
          <w:bCs/>
          <w:sz w:val="32"/>
          <w:szCs w:val="32"/>
          <w:highlight w:val="none"/>
          <w:lang w:eastAsia="zh-CN"/>
        </w:rPr>
        <w:t>（项）</w:t>
      </w:r>
      <w:r>
        <w:rPr>
          <w:rFonts w:hint="eastAsia" w:ascii="仿宋_GB2312" w:hAnsi="黑体" w:eastAsia="仿宋_GB2312"/>
          <w:sz w:val="32"/>
          <w:szCs w:val="32"/>
          <w:highlight w:val="none"/>
        </w:rPr>
        <w:t>737984.20元，</w:t>
      </w:r>
      <w:r>
        <w:rPr>
          <w:rFonts w:hint="eastAsia" w:ascii="仿宋_GB2312" w:hAnsi="黑体" w:eastAsia="仿宋_GB2312"/>
          <w:sz w:val="32"/>
          <w:szCs w:val="32"/>
          <w:highlight w:val="none"/>
          <w:lang w:val="en-US" w:eastAsia="zh-CN"/>
        </w:rPr>
        <w:t>较上年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5.7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w:t>
      </w:r>
      <w:r>
        <w:rPr>
          <w:rFonts w:hint="eastAsia" w:ascii="仿宋_GB2312" w:hAnsi="宋体" w:eastAsia="仿宋_GB2312"/>
          <w:sz w:val="32"/>
          <w:szCs w:val="32"/>
          <w:highlight w:val="none"/>
          <w:lang w:eastAsia="zh-CN"/>
        </w:rPr>
        <w:t>人员开支增加</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val="en-US" w:eastAsia="zh-CN"/>
        </w:rPr>
        <w:t>财政对其他社会保险基金的补助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val="en-US" w:eastAsia="zh-CN"/>
        </w:rPr>
        <w:t>9110.92元，其中：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sz w:val="32"/>
          <w:szCs w:val="32"/>
          <w:highlight w:val="none"/>
          <w:lang w:val="en-US" w:eastAsia="zh-CN"/>
        </w:rPr>
        <w:tab/>
      </w:r>
      <w:r>
        <w:rPr>
          <w:rFonts w:hint="eastAsia" w:ascii="仿宋_GB2312" w:hAnsi="黑体" w:eastAsia="仿宋_GB2312"/>
          <w:b/>
          <w:bCs/>
          <w:sz w:val="32"/>
          <w:szCs w:val="32"/>
          <w:highlight w:val="none"/>
          <w:lang w:eastAsia="zh-CN"/>
        </w:rPr>
        <w:t>（项）</w:t>
      </w:r>
      <w:r>
        <w:rPr>
          <w:rFonts w:hint="eastAsia" w:ascii="仿宋_GB2312" w:hAnsi="黑体" w:eastAsia="仿宋_GB2312"/>
          <w:sz w:val="32"/>
          <w:szCs w:val="32"/>
          <w:highlight w:val="none"/>
          <w:lang w:val="en-US" w:eastAsia="zh-CN"/>
        </w:rPr>
        <w:t>9110.92元，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numPr>
          <w:ilvl w:val="0"/>
          <w:numId w:val="0"/>
        </w:numPr>
        <w:spacing w:line="640" w:lineRule="exact"/>
        <w:ind w:firstLine="643" w:firstLineChars="200"/>
        <w:rPr>
          <w:rFonts w:hint="eastAsia" w:ascii="仿宋_GB2312" w:hAnsi="黑体" w:eastAsia="仿宋_GB2312"/>
          <w:b/>
          <w:sz w:val="32"/>
          <w:szCs w:val="32"/>
          <w:highlight w:val="none"/>
          <w:lang w:val="en-US" w:eastAsia="zh-CN"/>
        </w:rPr>
      </w:pPr>
      <w:r>
        <w:rPr>
          <w:rFonts w:hint="eastAsia" w:ascii="仿宋_GB2312" w:hAnsi="宋体" w:eastAsia="仿宋_GB2312" w:cs="Times New Roman"/>
          <w:b/>
          <w:bCs/>
          <w:sz w:val="32"/>
          <w:szCs w:val="32"/>
          <w:highlight w:val="none"/>
          <w:lang w:val="en-US" w:eastAsia="zh-CN"/>
        </w:rPr>
        <w:t>（三）</w:t>
      </w:r>
      <w:r>
        <w:rPr>
          <w:rFonts w:hint="default" w:ascii="仿宋_GB2312" w:hAnsi="宋体" w:eastAsia="仿宋_GB2312" w:cs="Times New Roman"/>
          <w:b/>
          <w:bCs/>
          <w:sz w:val="32"/>
          <w:szCs w:val="32"/>
          <w:highlight w:val="none"/>
          <w:lang w:val="en-US" w:eastAsia="zh-CN"/>
        </w:rPr>
        <w:t>卫生健康支出</w:t>
      </w:r>
      <w:r>
        <w:rPr>
          <w:rFonts w:hint="eastAsia" w:ascii="仿宋_GB2312" w:hAnsi="黑体" w:eastAsia="仿宋_GB2312"/>
          <w:b/>
          <w:bCs/>
          <w:sz w:val="32"/>
          <w:szCs w:val="32"/>
          <w:highlight w:val="none"/>
          <w:lang w:val="en-US" w:eastAsia="zh-CN"/>
        </w:rPr>
        <w:t>（类）</w:t>
      </w:r>
      <w:r>
        <w:rPr>
          <w:rFonts w:hint="eastAsia" w:ascii="仿宋_GB2312" w:hAnsi="黑体" w:eastAsia="仿宋_GB2312"/>
          <w:sz w:val="32"/>
          <w:szCs w:val="32"/>
          <w:highlight w:val="none"/>
        </w:rPr>
        <w:t>2022年预算支出303880.77</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val="en-US" w:eastAsia="zh-CN"/>
        </w:rPr>
        <w:t>较上年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 w:hAnsi="仿宋" w:eastAsia="仿宋" w:cs="仿宋"/>
          <w:b w:val="0"/>
          <w:bCs/>
          <w:color w:val="000000"/>
          <w:sz w:val="32"/>
          <w:szCs w:val="32"/>
          <w:lang w:val="en-US" w:eastAsia="zh-CN"/>
        </w:rPr>
        <w:t>，</w:t>
      </w:r>
      <w:r>
        <w:rPr>
          <w:rFonts w:hint="eastAsia" w:ascii="仿宋_GB2312" w:hAnsi="宋体" w:eastAsia="仿宋_GB2312"/>
          <w:sz w:val="32"/>
          <w:szCs w:val="32"/>
          <w:highlight w:val="none"/>
          <w:lang w:val="en-US" w:eastAsia="zh-CN"/>
        </w:rPr>
        <w:t>增加原因：</w:t>
      </w:r>
      <w:r>
        <w:rPr>
          <w:rFonts w:hint="eastAsia" w:ascii="仿宋_GB2312" w:hAnsi="黑体" w:eastAsia="仿宋_GB2312"/>
          <w:sz w:val="32"/>
          <w:szCs w:val="32"/>
          <w:highlight w:val="none"/>
          <w:lang w:eastAsia="zh-CN"/>
        </w:rPr>
        <w:t>卫生健康支出列入单位预算</w:t>
      </w:r>
      <w:r>
        <w:rPr>
          <w:rFonts w:hint="eastAsia" w:ascii="仿宋_GB2312" w:hAnsi="宋体" w:eastAsia="仿宋_GB2312"/>
          <w:sz w:val="32"/>
          <w:szCs w:val="32"/>
          <w:highlight w:val="none"/>
        </w:rPr>
        <w:t>。</w:t>
      </w: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eastAsia="zh-CN"/>
        </w:rPr>
        <w:t>303880.77元，其中：</w:t>
      </w:r>
      <w:r>
        <w:rPr>
          <w:rFonts w:hint="eastAsia" w:ascii="仿宋_GB2312" w:hAnsi="黑体" w:eastAsia="仿宋_GB2312"/>
          <w:b/>
          <w:bCs/>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支出303880.77，</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numPr>
          <w:numId w:val="0"/>
        </w:numPr>
        <w:spacing w:line="640" w:lineRule="exact"/>
        <w:ind w:firstLine="643" w:firstLineChars="200"/>
        <w:rPr>
          <w:rFonts w:hint="eastAsia" w:ascii="仿宋_GB2312" w:hAnsi="宋体" w:eastAsia="仿宋_GB2312"/>
          <w:sz w:val="32"/>
          <w:szCs w:val="32"/>
          <w:highlight w:val="none"/>
          <w:lang w:eastAsia="zh-CN"/>
        </w:rPr>
      </w:pP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四</w:t>
      </w:r>
      <w:r>
        <w:rPr>
          <w:rFonts w:hint="eastAsia" w:ascii="仿宋_GB2312" w:hAnsi="黑体" w:eastAsia="仿宋_GB2312"/>
          <w:b/>
          <w:bCs/>
          <w:sz w:val="32"/>
          <w:szCs w:val="32"/>
          <w:highlight w:val="none"/>
          <w:lang w:eastAsia="zh-CN"/>
        </w:rPr>
        <w:t>）住房保障支出</w:t>
      </w:r>
      <w:r>
        <w:rPr>
          <w:rFonts w:hint="eastAsia" w:ascii="仿宋_GB2312" w:hAnsi="黑体" w:eastAsia="仿宋_GB2312"/>
          <w:b/>
          <w:bCs/>
          <w:sz w:val="32"/>
          <w:szCs w:val="32"/>
          <w:highlight w:val="none"/>
          <w:lang w:val="en-US" w:eastAsia="zh-CN"/>
        </w:rPr>
        <w:t>（类）</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546654.96元</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val="en-US" w:eastAsia="zh-CN"/>
        </w:rPr>
        <w:t>较上年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w:t>
      </w:r>
      <w:r>
        <w:rPr>
          <w:rFonts w:hint="eastAsia" w:ascii="仿宋_GB2312" w:hAnsi="黑体" w:eastAsia="仿宋_GB2312"/>
          <w:sz w:val="32"/>
          <w:szCs w:val="32"/>
          <w:highlight w:val="none"/>
          <w:lang w:eastAsia="zh-CN"/>
        </w:rPr>
        <w:t>住房公积金列入单位预算</w:t>
      </w:r>
      <w:r>
        <w:rPr>
          <w:rFonts w:hint="eastAsia" w:ascii="仿宋_GB2312" w:hAnsi="宋体" w:eastAsia="仿宋_GB2312"/>
          <w:sz w:val="32"/>
          <w:szCs w:val="32"/>
          <w:highlight w:val="none"/>
        </w:rPr>
        <w:t>。</w:t>
      </w: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sz w:val="32"/>
          <w:szCs w:val="32"/>
          <w:highlight w:val="none"/>
          <w:lang w:eastAsia="zh-CN"/>
        </w:rPr>
        <w:t>546654.96元，其中：</w:t>
      </w:r>
      <w:r>
        <w:rPr>
          <w:rFonts w:hint="eastAsia" w:ascii="仿宋_GB2312" w:hAnsi="黑体" w:eastAsia="仿宋_GB2312"/>
          <w:b/>
          <w:bCs/>
          <w:sz w:val="32"/>
          <w:szCs w:val="32"/>
          <w:highlight w:val="none"/>
          <w:lang w:eastAsia="zh-CN"/>
        </w:rPr>
        <w:t>住房公积金支出（项）</w:t>
      </w:r>
      <w:r>
        <w:rPr>
          <w:rFonts w:hint="eastAsia" w:ascii="仿宋_GB2312" w:hAnsi="黑体" w:eastAsia="仿宋_GB2312"/>
          <w:sz w:val="32"/>
          <w:szCs w:val="32"/>
          <w:highlight w:val="none"/>
          <w:lang w:eastAsia="zh-CN"/>
        </w:rPr>
        <w:t>546654.96元，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原因是住房公积金列入单位预算。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2022年一般公共预算基本支出8482015.09</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w:t>
      </w:r>
      <w:r>
        <w:rPr>
          <w:rFonts w:hint="eastAsia" w:ascii="仿宋_GB2312" w:hAnsi="黑体" w:eastAsia="仿宋_GB2312"/>
          <w:sz w:val="32"/>
          <w:szCs w:val="32"/>
          <w:highlight w:val="none"/>
          <w:lang w:val="en-US" w:eastAsia="zh-CN"/>
        </w:rPr>
        <w:t>增加</w:t>
      </w:r>
      <w:r>
        <w:rPr>
          <w:rFonts w:hint="eastAsia" w:ascii="仿宋_GB2312" w:hAnsi="宋体" w:eastAsia="仿宋_GB2312"/>
          <w:sz w:val="32"/>
          <w:szCs w:val="32"/>
          <w:highlight w:val="none"/>
          <w:lang w:val="en-US" w:eastAsia="zh-CN"/>
        </w:rPr>
        <w:t>29.2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人员开支增加，</w:t>
      </w:r>
      <w:r>
        <w:rPr>
          <w:rFonts w:hint="eastAsia" w:ascii="仿宋_GB2312" w:hAnsi="黑体" w:eastAsia="仿宋_GB2312"/>
          <w:sz w:val="32"/>
          <w:szCs w:val="32"/>
          <w:highlight w:val="none"/>
        </w:rPr>
        <w:t>其中：人员经费7882015.09</w:t>
      </w:r>
      <w:r>
        <w:rPr>
          <w:rFonts w:hint="eastAsia" w:ascii="仿宋_GB2312" w:hAnsi="宋体" w:eastAsia="仿宋_GB2312"/>
          <w:sz w:val="32"/>
          <w:szCs w:val="32"/>
          <w:highlight w:val="none"/>
        </w:rPr>
        <w:t>元</w:t>
      </w:r>
      <w:r>
        <w:rPr>
          <w:rFonts w:hint="eastAsia" w:ascii="仿宋_GB2312" w:hAnsi="黑体" w:eastAsia="仿宋_GB2312"/>
          <w:sz w:val="32"/>
          <w:szCs w:val="32"/>
          <w:highlight w:val="none"/>
        </w:rPr>
        <w:t>，单位运转经费</w:t>
      </w:r>
      <w:r>
        <w:rPr>
          <w:rFonts w:hint="eastAsia" w:ascii="仿宋_GB2312" w:hAnsi="黑体" w:eastAsia="仿宋_GB2312"/>
          <w:sz w:val="32"/>
          <w:szCs w:val="32"/>
          <w:highlight w:val="none"/>
          <w:lang w:val="en-US" w:eastAsia="zh-CN"/>
        </w:rPr>
        <w:t>600000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15000</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val="en-US" w:eastAsia="zh-CN"/>
        </w:rPr>
        <w:t>减少25%，主要原因是三公经费开支缩减</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15000</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val="en-US" w:eastAsia="zh-CN"/>
        </w:rPr>
        <w:t>增加100%，主要原因是上年无接待费用</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val="en-US" w:eastAsia="zh-CN"/>
        </w:rPr>
        <w:t>少20000元，减少100%，主要原因是今年计划预算开支减少</w:t>
      </w:r>
      <w:r>
        <w:rPr>
          <w:rFonts w:hint="eastAsia" w:ascii="仿宋_GB2312" w:hAnsi="黑体" w:eastAsia="仿宋_GB2312"/>
          <w:sz w:val="32"/>
          <w:szCs w:val="32"/>
          <w:highlight w:val="none"/>
        </w:rPr>
        <w:t>。其中：公务用车购置费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val="en-US" w:eastAsia="zh-CN"/>
        </w:rPr>
        <w:t>减少100%，主要原因是今年计划预算开支减少</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楷体_GB2312" w:hAnsi="黑体" w:eastAsia="楷体_GB2312"/>
          <w:b/>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2022年机关运行经费</w:t>
      </w:r>
      <w:bookmarkStart w:id="0" w:name="_GoBack"/>
      <w:bookmarkEnd w:id="0"/>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600000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27000.00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113000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减少80.71%</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val="en-US" w:eastAsia="zh-CN"/>
        </w:rPr>
        <w:t>原因是</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单位政府采购预算</w:t>
      </w:r>
      <w:r>
        <w:rPr>
          <w:rFonts w:hint="eastAsia" w:ascii="仿宋_GB2312" w:hAnsi="黑体" w:eastAsia="仿宋_GB2312"/>
          <w:sz w:val="32"/>
          <w:szCs w:val="32"/>
          <w:highlight w:val="none"/>
          <w:lang w:val="en-US" w:eastAsia="zh-CN"/>
        </w:rPr>
        <w:t>计划</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27000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hint="eastAsia" w:ascii="仿宋_GB2312" w:hAnsi="黑体" w:eastAsia="仿宋_GB2312"/>
          <w:sz w:val="32"/>
          <w:szCs w:val="32"/>
          <w:highlight w:val="none"/>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2DD0"/>
    <w:multiLevelType w:val="singleLevel"/>
    <w:tmpl w:val="8ABA2DD0"/>
    <w:lvl w:ilvl="0" w:tentative="0">
      <w:start w:val="2"/>
      <w:numFmt w:val="chineseCounting"/>
      <w:suff w:val="space"/>
      <w:lvlText w:val="第%1部分"/>
      <w:lvlJc w:val="left"/>
      <w:rPr>
        <w:rFonts w:hint="eastAsia"/>
      </w:rPr>
    </w:lvl>
  </w:abstractNum>
  <w:abstractNum w:abstractNumId="1">
    <w:nsid w:val="3215C6B0"/>
    <w:multiLevelType w:val="singleLevel"/>
    <w:tmpl w:val="3215C6B0"/>
    <w:lvl w:ilvl="0" w:tentative="0">
      <w:start w:val="1"/>
      <w:numFmt w:val="chineseCounting"/>
      <w:suff w:val="nothing"/>
      <w:lvlText w:val="（%1）"/>
      <w:lvlJc w:val="left"/>
      <w:pPr>
        <w:ind w:left="653" w:firstLine="397"/>
      </w:pPr>
      <w:rPr>
        <w:rFonts w:hint="eastAsia"/>
        <w:b/>
      </w:rPr>
    </w:lvl>
  </w:abstractNum>
  <w:abstractNum w:abstractNumId="2">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DF66DF8"/>
    <w:rsid w:val="0E6F37D9"/>
    <w:rsid w:val="0F930041"/>
    <w:rsid w:val="112936A0"/>
    <w:rsid w:val="1250416D"/>
    <w:rsid w:val="13A24B36"/>
    <w:rsid w:val="13B82E0D"/>
    <w:rsid w:val="141D039C"/>
    <w:rsid w:val="1497186A"/>
    <w:rsid w:val="17432B85"/>
    <w:rsid w:val="1909264A"/>
    <w:rsid w:val="198119BE"/>
    <w:rsid w:val="1B78482C"/>
    <w:rsid w:val="1C6D1D31"/>
    <w:rsid w:val="1D654F62"/>
    <w:rsid w:val="1E1B395C"/>
    <w:rsid w:val="204B1966"/>
    <w:rsid w:val="205A7194"/>
    <w:rsid w:val="210F4887"/>
    <w:rsid w:val="22273516"/>
    <w:rsid w:val="2233056C"/>
    <w:rsid w:val="22A86E7A"/>
    <w:rsid w:val="23513756"/>
    <w:rsid w:val="250F1490"/>
    <w:rsid w:val="26C20B3D"/>
    <w:rsid w:val="292A0545"/>
    <w:rsid w:val="2B26350E"/>
    <w:rsid w:val="2B5833A9"/>
    <w:rsid w:val="2B5C1C56"/>
    <w:rsid w:val="2BCF3D4E"/>
    <w:rsid w:val="2CAB58EE"/>
    <w:rsid w:val="2D550DF7"/>
    <w:rsid w:val="2DBA0562"/>
    <w:rsid w:val="31352995"/>
    <w:rsid w:val="31E13302"/>
    <w:rsid w:val="32A96D1A"/>
    <w:rsid w:val="34032DB0"/>
    <w:rsid w:val="34B82D6F"/>
    <w:rsid w:val="373703E1"/>
    <w:rsid w:val="37580FE7"/>
    <w:rsid w:val="396616D2"/>
    <w:rsid w:val="39A71DAE"/>
    <w:rsid w:val="3BF3012A"/>
    <w:rsid w:val="3D8C4411"/>
    <w:rsid w:val="40465DD0"/>
    <w:rsid w:val="40CC1D5D"/>
    <w:rsid w:val="416268DB"/>
    <w:rsid w:val="452F6292"/>
    <w:rsid w:val="46FC3D3E"/>
    <w:rsid w:val="47AF499B"/>
    <w:rsid w:val="484D612A"/>
    <w:rsid w:val="48A9072C"/>
    <w:rsid w:val="4B500D99"/>
    <w:rsid w:val="4D903B41"/>
    <w:rsid w:val="4DA8126D"/>
    <w:rsid w:val="4DD72226"/>
    <w:rsid w:val="4EA300AE"/>
    <w:rsid w:val="50622DD8"/>
    <w:rsid w:val="51C77E42"/>
    <w:rsid w:val="54B1376D"/>
    <w:rsid w:val="56311F34"/>
    <w:rsid w:val="564548F7"/>
    <w:rsid w:val="565305B1"/>
    <w:rsid w:val="56C73340"/>
    <w:rsid w:val="57626D8B"/>
    <w:rsid w:val="59441D15"/>
    <w:rsid w:val="5A3206F2"/>
    <w:rsid w:val="61EF1B1B"/>
    <w:rsid w:val="621A3658"/>
    <w:rsid w:val="62B62979"/>
    <w:rsid w:val="64252B6E"/>
    <w:rsid w:val="651520BC"/>
    <w:rsid w:val="661A6258"/>
    <w:rsid w:val="6A136FDE"/>
    <w:rsid w:val="6A752B54"/>
    <w:rsid w:val="6EA6456E"/>
    <w:rsid w:val="73C709AD"/>
    <w:rsid w:val="74517818"/>
    <w:rsid w:val="754F42D1"/>
    <w:rsid w:val="75840CDB"/>
    <w:rsid w:val="75FA50B5"/>
    <w:rsid w:val="77781E83"/>
    <w:rsid w:val="78062181"/>
    <w:rsid w:val="794965D5"/>
    <w:rsid w:val="79D61FC6"/>
    <w:rsid w:val="7CF82ADB"/>
    <w:rsid w:val="7F265BBA"/>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3239</Words>
  <Characters>3696</Characters>
  <Lines>16</Lines>
  <Paragraphs>4</Paragraphs>
  <TotalTime>2</TotalTime>
  <ScaleCrop>false</ScaleCrop>
  <LinksUpToDate>false</LinksUpToDate>
  <CharactersWithSpaces>3757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2022-08-18T02:46:00Z</cp:lastPrinted>
  <dcterms:modified xsi:type="dcterms:W3CDTF">2023-06-08T02:31:09Z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A0975E1B258641E2BE5DD5EFE0BABF8F_13</vt:lpwstr>
  </property>
</Properties>
</file>