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eastAsia="zh-CN"/>
        </w:rPr>
        <w:t>车家湾乡人民政府</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numPr>
          <w:ilvl w:val="0"/>
          <w:numId w:val="1"/>
        </w:numPr>
        <w:spacing w:line="640" w:lineRule="exact"/>
        <w:rPr>
          <w:rFonts w:ascii="黑体" w:hAnsi="黑体" w:eastAsia="黑体"/>
          <w:sz w:val="32"/>
          <w:szCs w:val="32"/>
        </w:rPr>
      </w:pPr>
      <w:r>
        <w:rPr>
          <w:rFonts w:hint="eastAsia" w:ascii="仿宋_GB2312" w:hAnsi="黑体" w:eastAsia="仿宋_GB2312"/>
          <w:sz w:val="32"/>
          <w:szCs w:val="32"/>
        </w:rPr>
        <w:t xml:space="preserve">  </w:t>
      </w:r>
      <w:r>
        <w:rPr>
          <w:rFonts w:hint="eastAsia" w:ascii="黑体" w:hAnsi="黑体" w:eastAsia="黑体"/>
          <w:sz w:val="32"/>
          <w:szCs w:val="32"/>
        </w:rPr>
        <w:t>部门职责</w:t>
      </w:r>
    </w:p>
    <w:p>
      <w:pPr>
        <w:keepNext w:val="0"/>
        <w:keepLines w:val="0"/>
        <w:widowControl/>
        <w:suppressLineNumbers w:val="0"/>
        <w:ind w:firstLine="930" w:firstLineChars="300"/>
        <w:jc w:val="left"/>
        <w:rPr>
          <w:rFonts w:ascii="仿宋_GB2312" w:hAnsi="宋体" w:eastAsia="仿宋_GB2312" w:cs="宋体"/>
          <w:kern w:val="0"/>
          <w:sz w:val="32"/>
          <w:szCs w:val="32"/>
          <w:highlight w:val="yellow"/>
        </w:rPr>
      </w:pPr>
      <w:r>
        <w:rPr>
          <w:rFonts w:ascii="仿宋" w:hAnsi="仿宋" w:eastAsia="仿宋" w:cs="仿宋"/>
          <w:color w:val="000000"/>
          <w:kern w:val="0"/>
          <w:sz w:val="31"/>
          <w:szCs w:val="31"/>
          <w:lang w:val="en-US" w:eastAsia="zh-CN" w:bidi="ar"/>
        </w:rPr>
        <w:t>1</w:t>
      </w:r>
      <w:r>
        <w:rPr>
          <w:rFonts w:hint="eastAsia" w:ascii="仿宋" w:hAnsi="仿宋" w:eastAsia="仿宋" w:cs="仿宋"/>
          <w:color w:val="000000"/>
          <w:kern w:val="0"/>
          <w:sz w:val="31"/>
          <w:szCs w:val="31"/>
          <w:lang w:val="en-US" w:eastAsia="zh-CN" w:bidi="ar"/>
        </w:rPr>
        <w:t>、</w:t>
      </w:r>
      <w:r>
        <w:rPr>
          <w:rFonts w:ascii="仿宋" w:hAnsi="仿宋" w:eastAsia="仿宋" w:cs="仿宋"/>
          <w:color w:val="000000"/>
          <w:kern w:val="0"/>
          <w:sz w:val="31"/>
          <w:szCs w:val="31"/>
          <w:lang w:val="en-US" w:eastAsia="zh-CN" w:bidi="ar"/>
        </w:rPr>
        <w:t>宣传和贯彻执行党的路线方针政策和法律法规;制定地方经济社会发展规划和年度计划并组织</w:t>
      </w:r>
      <w:r>
        <w:rPr>
          <w:rFonts w:hint="eastAsia" w:ascii="仿宋" w:hAnsi="仿宋" w:eastAsia="仿宋" w:cs="仿宋"/>
          <w:color w:val="000000"/>
          <w:kern w:val="0"/>
          <w:sz w:val="31"/>
          <w:szCs w:val="31"/>
          <w:lang w:val="en-US" w:eastAsia="zh-CN" w:bidi="ar"/>
        </w:rPr>
        <w:t>实施;坚持依法行政,推进民主政治,加强基层政权建设做好农业、农村、农民和社区工作,推进乡村振兴。 2、落实基层管党治党工作责任制,加强党员队伍的思想建设、组织建设、作风建设、制度建设和党风廉政建设;做好党员管理、发展工作,改善党员队伍结构,提高党员素质;加强党对意识形态和统一战线工作的领导;加强人民武装、民族宗教等工作;指导工会、共青团、妇联等群团工作。3、规范经济管理,组织指导经济发展和经济结构调整;加强综合生产能力建设;健全社会化服务体系,完善产业支持保护体系,推进产业现代化;着力提升经济发展的质量和水平,发展壮大村级集体经济,增加村民收入,不断提高人民生活水平。4、加强社会管理和基础设施建设,创造良好环境;推进政务、村务公开;抓好卫生健康、人口计划生育工作,保障妇女儿童合法权益; 加强自然资源管理、生态环境保护和修复等工作;保障退役军人合法权益;强化安全生产和公共安全,组织抢险救灾、优抚救助,及时上报和处置重大社情、疫情、险情等,保护人民群众的生命命财产安全。5、发展公益事业,强化公共服务;加强公共设施建设,开展就业和社会保障服务,着力解决群众生产生活中的问题;发展科教文卫事业,建设健康农村,丰富农民群众文化生活,促进乡风文明;制定公共服务事项目录清单,加强公共服务体系建设。6、加强综合治理,维护社会稳定;强化民主法制宣传教育,畅通诉求渠道、调解民事纠纷、化解社会矛盾,处理群体性突发事件,保证社会公正,维护社会秩序和社会稳定;指导村民自治,推动基层社会建设,促进社会组织健康发展,增强社会自治功能。7、按照管理权限,负责机关和事业单位工作人员的教育、培养、选拔和监督工作; 协助管理好派驻单位人员。8、依法依规承担下放的经济社会管理权限和行政执法事项。9、法律、法规规定和县委、县政府交办的其他事项。</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widowControl/>
        <w:suppressLineNumbers w:val="0"/>
        <w:ind w:firstLine="930" w:firstLineChars="3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车家湾乡设10个内设机构，包括：</w:t>
      </w:r>
      <w:r>
        <w:rPr>
          <w:rFonts w:ascii="仿宋" w:hAnsi="仿宋" w:eastAsia="仿宋" w:cs="仿宋"/>
          <w:color w:val="000000"/>
          <w:kern w:val="0"/>
          <w:sz w:val="31"/>
          <w:szCs w:val="31"/>
          <w:lang w:val="en-US" w:eastAsia="zh-CN" w:bidi="ar"/>
        </w:rPr>
        <w:t>1</w:t>
      </w:r>
      <w:r>
        <w:rPr>
          <w:rFonts w:hint="eastAsia" w:ascii="仿宋" w:hAnsi="仿宋" w:eastAsia="仿宋" w:cs="仿宋"/>
          <w:color w:val="000000"/>
          <w:kern w:val="0"/>
          <w:sz w:val="31"/>
          <w:szCs w:val="31"/>
          <w:lang w:val="en-US" w:eastAsia="zh-CN" w:bidi="ar"/>
        </w:rPr>
        <w:t>、</w:t>
      </w:r>
      <w:r>
        <w:rPr>
          <w:rFonts w:ascii="仿宋" w:hAnsi="仿宋" w:eastAsia="仿宋" w:cs="仿宋"/>
          <w:color w:val="000000"/>
          <w:kern w:val="0"/>
          <w:sz w:val="31"/>
          <w:szCs w:val="31"/>
          <w:lang w:val="en-US" w:eastAsia="zh-CN" w:bidi="ar"/>
        </w:rPr>
        <w:t>党政综合办公室</w:t>
      </w:r>
      <w:r>
        <w:rPr>
          <w:rFonts w:hint="eastAsia" w:ascii="仿宋" w:hAnsi="仿宋" w:eastAsia="仿宋" w:cs="仿宋"/>
          <w:color w:val="000000"/>
          <w:kern w:val="0"/>
          <w:sz w:val="31"/>
          <w:szCs w:val="31"/>
          <w:lang w:val="en-US" w:eastAsia="zh-CN" w:bidi="ar"/>
        </w:rPr>
        <w:t>；</w:t>
      </w:r>
      <w:r>
        <w:rPr>
          <w:rFonts w:ascii="仿宋" w:hAnsi="仿宋" w:eastAsia="仿宋" w:cs="仿宋"/>
          <w:color w:val="000000"/>
          <w:kern w:val="0"/>
          <w:sz w:val="31"/>
          <w:szCs w:val="31"/>
          <w:lang w:val="en-US" w:eastAsia="zh-CN" w:bidi="ar"/>
        </w:rPr>
        <w:t>2.党建工作办公室</w:t>
      </w:r>
      <w:r>
        <w:rPr>
          <w:rFonts w:hint="eastAsia" w:ascii="仿宋" w:hAnsi="仿宋" w:eastAsia="仿宋" w:cs="仿宋"/>
          <w:color w:val="000000"/>
          <w:kern w:val="0"/>
          <w:sz w:val="31"/>
          <w:szCs w:val="31"/>
          <w:lang w:val="en-US" w:eastAsia="zh-CN" w:bidi="ar"/>
        </w:rPr>
        <w:t>；</w:t>
      </w:r>
      <w:r>
        <w:rPr>
          <w:rFonts w:ascii="仿宋" w:hAnsi="仿宋" w:eastAsia="仿宋" w:cs="仿宋"/>
          <w:color w:val="000000"/>
          <w:kern w:val="0"/>
          <w:sz w:val="31"/>
          <w:szCs w:val="31"/>
          <w:lang w:val="en-US" w:eastAsia="zh-CN" w:bidi="ar"/>
        </w:rPr>
        <w:t>3.经济发展和社会事务办</w:t>
      </w:r>
      <w:r>
        <w:rPr>
          <w:rFonts w:hint="eastAsia" w:ascii="仿宋" w:hAnsi="仿宋" w:eastAsia="仿宋" w:cs="仿宋"/>
          <w:color w:val="000000"/>
          <w:kern w:val="0"/>
          <w:sz w:val="31"/>
          <w:szCs w:val="31"/>
          <w:lang w:val="en-US" w:eastAsia="zh-CN" w:bidi="ar"/>
        </w:rPr>
        <w:t>公室；4.社会治理和应急管理办公室；5、农业农村综合服务中心；6、公共事务服务中心； 7、政务（便民）服务中心；8、社会治安综合治理中心；9、综合行政执法队；10、乡村振兴工作站。</w:t>
      </w: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ind w:firstLine="1920" w:firstLineChars="600"/>
        <w:jc w:val="both"/>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rPr>
        <w:t>2022年预算收入</w:t>
      </w:r>
      <w:r>
        <w:rPr>
          <w:rFonts w:hint="eastAsia" w:ascii="仿宋_GB2312" w:hAnsi="黑体" w:eastAsia="仿宋_GB2312"/>
          <w:sz w:val="32"/>
          <w:szCs w:val="32"/>
          <w:highlight w:val="none"/>
          <w:lang w:val="en-US" w:eastAsia="zh-CN"/>
        </w:rPr>
        <w:t>6009426.28</w:t>
      </w:r>
      <w:r>
        <w:rPr>
          <w:rFonts w:hint="eastAsia" w:ascii="仿宋_GB2312" w:hAnsi="黑体" w:eastAsia="仿宋_GB2312"/>
          <w:sz w:val="32"/>
          <w:szCs w:val="32"/>
          <w:highlight w:val="none"/>
        </w:rPr>
        <w:t>元，比上年预算</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962423.28</w:t>
      </w:r>
      <w:r>
        <w:rPr>
          <w:rFonts w:hint="eastAsia" w:ascii="仿宋_GB2312" w:hAnsi="黑体" w:eastAsia="仿宋_GB2312"/>
          <w:sz w:val="32"/>
          <w:szCs w:val="32"/>
          <w:highlight w:val="none"/>
        </w:rPr>
        <w:t>元，其中：一般公共预算财政拨款收入</w:t>
      </w:r>
      <w:r>
        <w:rPr>
          <w:rFonts w:hint="eastAsia" w:ascii="仿宋_GB2312" w:hAnsi="黑体" w:eastAsia="仿宋_GB2312"/>
          <w:sz w:val="32"/>
          <w:szCs w:val="32"/>
          <w:highlight w:val="none"/>
          <w:lang w:val="en-US" w:eastAsia="zh-CN"/>
        </w:rPr>
        <w:t>6009426.28</w:t>
      </w:r>
      <w:r>
        <w:rPr>
          <w:rFonts w:hint="eastAsia" w:ascii="仿宋_GB2312" w:hAnsi="黑体" w:eastAsia="仿宋_GB2312"/>
          <w:sz w:val="32"/>
          <w:szCs w:val="32"/>
          <w:highlight w:val="none"/>
        </w:rPr>
        <w:t>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lang w:val="en-US" w:eastAsia="zh-CN"/>
        </w:rPr>
        <w:t>6009426.28</w:t>
      </w:r>
      <w:r>
        <w:rPr>
          <w:rFonts w:hint="eastAsia" w:ascii="仿宋_GB2312" w:hAnsi="宋体" w:eastAsia="仿宋_GB2312"/>
          <w:sz w:val="32"/>
          <w:szCs w:val="32"/>
          <w:highlight w:val="none"/>
        </w:rPr>
        <w:t>元，相应比上年预算数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18.93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eastAsia="zh-CN"/>
        </w:rPr>
        <w:t>巩固脱贫攻坚成果方面资金投入增加。</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left="638" w:leftChars="304" w:firstLine="0" w:firstLineChars="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lang w:val="en-US" w:eastAsia="zh-CN"/>
        </w:rPr>
        <w:t>4118256.04</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比上年预算数增加19.11%，主要原因是</w:t>
      </w:r>
      <w:r>
        <w:rPr>
          <w:rFonts w:hint="eastAsia" w:ascii="仿宋_GB2312" w:hAnsi="宋体" w:eastAsia="仿宋_GB2312"/>
          <w:sz w:val="32"/>
          <w:szCs w:val="32"/>
          <w:highlight w:val="none"/>
          <w:lang w:eastAsia="zh-CN"/>
        </w:rPr>
        <w:t>人员</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lang w:eastAsia="zh-CN"/>
        </w:rPr>
        <w:t>。</w:t>
      </w:r>
    </w:p>
    <w:p>
      <w:pPr>
        <w:spacing w:line="640" w:lineRule="exact"/>
        <w:ind w:left="638" w:leftChars="304" w:firstLine="0" w:firstLineChars="0"/>
        <w:rPr>
          <w:rFonts w:hint="eastAsia" w:ascii="仿宋_GB2312" w:hAnsi="宋体" w:eastAsia="仿宋_GB2312"/>
          <w:sz w:val="32"/>
          <w:szCs w:val="32"/>
          <w:highlight w:val="none"/>
        </w:rPr>
      </w:pPr>
      <w:r>
        <w:rPr>
          <w:rFonts w:hint="eastAsia" w:ascii="仿宋_GB2312" w:hAnsi="宋体" w:eastAsia="仿宋_GB2312"/>
          <w:sz w:val="32"/>
          <w:szCs w:val="32"/>
          <w:highlight w:val="none"/>
        </w:rPr>
        <w:t>财政拨款</w:t>
      </w:r>
      <w:r>
        <w:rPr>
          <w:rFonts w:hint="eastAsia" w:ascii="仿宋_GB2312" w:hAnsi="黑体" w:eastAsia="仿宋_GB2312"/>
          <w:sz w:val="32"/>
          <w:szCs w:val="32"/>
          <w:highlight w:val="none"/>
        </w:rPr>
        <w:t>4118256.04</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19.11</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lang w:eastAsia="zh-CN"/>
        </w:rPr>
        <w:t>。</w:t>
      </w:r>
    </w:p>
    <w:p>
      <w:pPr>
        <w:spacing w:line="640" w:lineRule="exact"/>
        <w:ind w:left="638" w:leftChars="304" w:firstLine="0" w:firstLineChars="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440745.62元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19</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eastAsia="zh-CN"/>
        </w:rPr>
        <w:t>卫生健康支出</w:t>
      </w:r>
      <w:r>
        <w:rPr>
          <w:rFonts w:hint="eastAsia" w:ascii="仿宋_GB2312" w:hAnsi="黑体" w:eastAsia="仿宋_GB2312"/>
          <w:sz w:val="32"/>
          <w:szCs w:val="32"/>
          <w:highlight w:val="none"/>
          <w:lang w:val="en-US" w:eastAsia="zh-CN"/>
        </w:rPr>
        <w:t>180946.38元，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lang w:eastAsia="zh-CN"/>
        </w:rPr>
        <w:t>主要原因是卫生健康支出列入单位预算。</w:t>
      </w:r>
    </w:p>
    <w:p>
      <w:pPr>
        <w:spacing w:line="64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黑体" w:eastAsia="仿宋_GB2312"/>
          <w:sz w:val="32"/>
          <w:szCs w:val="32"/>
          <w:highlight w:val="none"/>
          <w:lang w:val="en-US" w:eastAsia="zh-CN"/>
        </w:rPr>
        <w:t>农林水支出943000元，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减少</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主要原因是</w:t>
      </w:r>
      <w:r>
        <w:rPr>
          <w:rFonts w:hint="eastAsia" w:ascii="仿宋_GB2312" w:hAnsi="仿宋_GB2312" w:eastAsia="仿宋_GB2312" w:cs="仿宋_GB2312"/>
          <w:b w:val="0"/>
          <w:bCs w:val="0"/>
          <w:color w:val="000000"/>
          <w:sz w:val="32"/>
          <w:szCs w:val="32"/>
          <w:lang w:eastAsia="zh-CN"/>
        </w:rPr>
        <w:t>因脱贫攻坚任务减少。</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住房保障支出326478.24元，</w:t>
      </w:r>
      <w:r>
        <w:rPr>
          <w:rFonts w:hint="eastAsia" w:ascii="仿宋_GB2312" w:hAnsi="仿宋_GB2312" w:eastAsia="仿宋_GB2312" w:cs="仿宋_GB2312"/>
          <w:b w:val="0"/>
          <w:bCs/>
          <w:sz w:val="32"/>
          <w:szCs w:val="32"/>
          <w:highlight w:val="none"/>
          <w:lang w:eastAsia="zh-CN"/>
        </w:rPr>
        <w:t>比</w:t>
      </w:r>
      <w:r>
        <w:rPr>
          <w:rFonts w:hint="eastAsia" w:ascii="仿宋_GB2312" w:hAnsi="仿宋_GB2312" w:eastAsia="仿宋_GB2312" w:cs="仿宋_GB2312"/>
          <w:b w:val="0"/>
          <w:bCs/>
          <w:sz w:val="32"/>
          <w:szCs w:val="32"/>
          <w:highlight w:val="none"/>
          <w:lang w:val="en-US" w:eastAsia="zh-CN"/>
        </w:rPr>
        <w:t>上年</w:t>
      </w:r>
      <w:r>
        <w:rPr>
          <w:rFonts w:hint="eastAsia" w:ascii="仿宋_GB2312" w:hAnsi="仿宋_GB2312" w:eastAsia="仿宋_GB2312" w:cs="仿宋_GB2312"/>
          <w:b w:val="0"/>
          <w:bCs/>
          <w:color w:val="000000"/>
          <w:sz w:val="32"/>
          <w:szCs w:val="32"/>
          <w:lang w:val="en-US" w:eastAsia="zh-CN"/>
        </w:rPr>
        <w:t>增加100%</w:t>
      </w:r>
      <w:r>
        <w:rPr>
          <w:rFonts w:hint="eastAsia" w:ascii="仿宋_GB2312" w:hAnsi="仿宋_GB2312" w:eastAsia="仿宋_GB2312" w:cs="仿宋_GB2312"/>
          <w:sz w:val="32"/>
          <w:szCs w:val="32"/>
          <w:highlight w:val="none"/>
          <w:lang w:eastAsia="zh-CN"/>
        </w:rPr>
        <w:t>，主要原因是住房公积金列入单位预算</w:t>
      </w:r>
      <w:r>
        <w:rPr>
          <w:rFonts w:hint="eastAsia" w:ascii="仿宋_GB2312" w:hAnsi="黑体" w:eastAsia="仿宋_GB2312"/>
          <w:sz w:val="32"/>
          <w:szCs w:val="32"/>
          <w:highlight w:val="none"/>
          <w:lang w:eastAsia="zh-CN"/>
        </w:rPr>
        <w:t>。</w:t>
      </w:r>
    </w:p>
    <w:p>
      <w:pPr>
        <w:numPr>
          <w:ilvl w:val="0"/>
          <w:numId w:val="1"/>
        </w:numPr>
        <w:spacing w:line="640" w:lineRule="exact"/>
        <w:ind w:left="1360" w:leftChars="0" w:hanging="720" w:firstLineChars="0"/>
        <w:rPr>
          <w:rFonts w:hint="eastAsia" w:ascii="黑体" w:hAnsi="黑体" w:eastAsia="黑体"/>
          <w:sz w:val="32"/>
          <w:szCs w:val="32"/>
          <w:highlight w:val="none"/>
        </w:rPr>
      </w:pPr>
      <w:r>
        <w:rPr>
          <w:rFonts w:hint="eastAsia" w:ascii="黑体" w:hAnsi="黑体" w:eastAsia="黑体"/>
          <w:sz w:val="32"/>
          <w:szCs w:val="32"/>
          <w:highlight w:val="none"/>
        </w:rPr>
        <w:t>部门一般公共预算支出情况说明</w:t>
      </w:r>
    </w:p>
    <w:p>
      <w:pPr>
        <w:numPr>
          <w:ilvl w:val="0"/>
          <w:numId w:val="2"/>
        </w:numPr>
        <w:spacing w:line="640" w:lineRule="exact"/>
        <w:ind w:firstLine="643" w:firstLineChars="200"/>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一般公共服务支出（类）</w:t>
      </w:r>
      <w:r>
        <w:rPr>
          <w:rFonts w:hint="eastAsia" w:ascii="仿宋_GB2312" w:hAnsi="仿宋_GB2312" w:eastAsia="仿宋_GB2312" w:cs="仿宋_GB2312"/>
          <w:b/>
          <w:sz w:val="32"/>
          <w:szCs w:val="32"/>
          <w:highlight w:val="none"/>
          <w:lang w:eastAsia="zh-CN"/>
        </w:rPr>
        <w:t>：</w:t>
      </w:r>
      <w:r>
        <w:rPr>
          <w:rFonts w:hint="eastAsia" w:ascii="仿宋_GB2312" w:hAnsi="仿宋_GB2312" w:eastAsia="仿宋_GB2312" w:cs="仿宋_GB2312"/>
          <w:sz w:val="32"/>
          <w:szCs w:val="32"/>
          <w:highlight w:val="none"/>
          <w:lang w:val="en-US" w:eastAsia="zh-CN"/>
        </w:rPr>
        <w:t>4118256.04</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val="en-US" w:eastAsia="zh-CN"/>
        </w:rPr>
        <w:t>比上年预算数增加19.11%，主要原因是</w:t>
      </w:r>
      <w:r>
        <w:rPr>
          <w:rFonts w:hint="eastAsia" w:ascii="仿宋_GB2312" w:hAnsi="仿宋_GB2312" w:eastAsia="仿宋_GB2312" w:cs="仿宋_GB2312"/>
          <w:sz w:val="32"/>
          <w:szCs w:val="32"/>
          <w:highlight w:val="none"/>
          <w:lang w:eastAsia="zh-CN"/>
        </w:rPr>
        <w:t>人员</w:t>
      </w:r>
      <w:r>
        <w:rPr>
          <w:rFonts w:hint="eastAsia" w:ascii="仿宋_GB2312" w:hAnsi="仿宋_GB2312" w:eastAsia="仿宋_GB2312" w:cs="仿宋_GB2312"/>
          <w:sz w:val="32"/>
          <w:szCs w:val="32"/>
          <w:highlight w:val="none"/>
          <w:lang w:val="en-US" w:eastAsia="zh-CN"/>
        </w:rPr>
        <w:t>增加</w:t>
      </w:r>
      <w:r>
        <w:rPr>
          <w:rFonts w:hint="eastAsia" w:ascii="仿宋_GB2312" w:hAnsi="仿宋_GB2312" w:eastAsia="仿宋_GB2312" w:cs="仿宋_GB2312"/>
          <w:sz w:val="32"/>
          <w:szCs w:val="32"/>
          <w:highlight w:val="none"/>
          <w:lang w:eastAsia="zh-CN"/>
        </w:rPr>
        <w:t>。</w:t>
      </w:r>
    </w:p>
    <w:p>
      <w:pPr>
        <w:spacing w:line="640" w:lineRule="exact"/>
        <w:ind w:firstLine="643" w:firstLineChars="200"/>
        <w:rPr>
          <w:rFonts w:hint="eastAsia" w:ascii="楷体_GB2312" w:hAnsi="黑体" w:eastAsia="楷体_GB2312"/>
          <w:b/>
          <w:sz w:val="32"/>
          <w:szCs w:val="32"/>
          <w:highlight w:val="none"/>
        </w:rPr>
      </w:pPr>
      <w:r>
        <w:rPr>
          <w:rFonts w:hint="eastAsia" w:ascii="仿宋_GB2312" w:hAnsi="宋体" w:eastAsia="仿宋_GB2312"/>
          <w:b/>
          <w:bCs/>
          <w:sz w:val="32"/>
          <w:szCs w:val="32"/>
          <w:highlight w:val="none"/>
          <w:lang w:eastAsia="zh-CN"/>
        </w:rPr>
        <w:t>人大事务支出（款）</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eastAsia="zh-CN"/>
        </w:rPr>
        <w:t>10000.00元，其中：</w:t>
      </w:r>
      <w:r>
        <w:rPr>
          <w:rFonts w:hint="eastAsia" w:ascii="仿宋_GB2312" w:hAnsi="宋体" w:eastAsia="仿宋_GB2312"/>
          <w:b/>
          <w:bCs/>
          <w:sz w:val="32"/>
          <w:szCs w:val="32"/>
          <w:highlight w:val="none"/>
          <w:lang w:eastAsia="zh-CN"/>
        </w:rPr>
        <w:t>行政运支出</w:t>
      </w:r>
      <w:r>
        <w:rPr>
          <w:rFonts w:hint="eastAsia" w:ascii="仿宋_GB2312" w:hAnsi="宋体" w:eastAsia="仿宋_GB2312"/>
          <w:b/>
          <w:bCs/>
          <w:sz w:val="32"/>
          <w:szCs w:val="32"/>
          <w:highlight w:val="none"/>
          <w:lang w:eastAsia="zh-CN"/>
        </w:rPr>
        <w:t>（项）</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val="en-US" w:eastAsia="zh-CN"/>
        </w:rPr>
        <w:t>1</w:t>
      </w:r>
      <w:r>
        <w:rPr>
          <w:rFonts w:hint="eastAsia" w:ascii="仿宋_GB2312" w:hAnsi="宋体" w:eastAsia="仿宋_GB2312"/>
          <w:sz w:val="32"/>
          <w:szCs w:val="32"/>
          <w:highlight w:val="none"/>
          <w:lang w:eastAsia="zh-CN"/>
        </w:rPr>
        <w:t>0000.00元，较上年增加</w:t>
      </w:r>
      <w:r>
        <w:rPr>
          <w:rFonts w:hint="eastAsia" w:ascii="仿宋_GB2312" w:hAnsi="宋体" w:eastAsia="仿宋_GB2312"/>
          <w:sz w:val="32"/>
          <w:szCs w:val="32"/>
          <w:highlight w:val="none"/>
          <w:lang w:val="en-US" w:eastAsia="zh-CN"/>
        </w:rPr>
        <w:t>100%，增加原因：上年未安排该资金</w:t>
      </w:r>
      <w:r>
        <w:rPr>
          <w:rFonts w:hint="eastAsia" w:ascii="仿宋_GB2312" w:hAnsi="宋体" w:eastAsia="仿宋_GB2312"/>
          <w:sz w:val="32"/>
          <w:szCs w:val="32"/>
          <w:highlight w:val="none"/>
          <w:lang w:eastAsia="zh-CN"/>
        </w:rPr>
        <w:t>；</w:t>
      </w:r>
    </w:p>
    <w:p>
      <w:pPr>
        <w:numPr>
          <w:numId w:val="0"/>
        </w:numPr>
        <w:spacing w:line="640" w:lineRule="exact"/>
        <w:ind w:firstLine="643" w:firstLineChars="200"/>
        <w:rPr>
          <w:rFonts w:hint="eastAsia" w:ascii="仿宋_GB2312" w:hAnsi="仿宋_GB2312" w:eastAsia="仿宋_GB2312" w:cs="仿宋_GB2312"/>
          <w:sz w:val="32"/>
          <w:szCs w:val="32"/>
          <w:lang w:eastAsia="zh-CN"/>
        </w:rPr>
      </w:pPr>
      <w:r>
        <w:rPr>
          <w:rFonts w:hint="eastAsia" w:ascii="仿宋_GB2312" w:hAnsi="黑体" w:eastAsia="仿宋_GB2312"/>
          <w:b/>
          <w:bCs/>
          <w:sz w:val="32"/>
          <w:szCs w:val="32"/>
          <w:highlight w:val="none"/>
        </w:rPr>
        <w:t>政府办公厅（室）及相关机构事务</w:t>
      </w:r>
      <w:r>
        <w:rPr>
          <w:rFonts w:hint="eastAsia" w:ascii="仿宋_GB2312" w:hAnsi="黑体" w:eastAsia="仿宋_GB2312"/>
          <w:b/>
          <w:bCs/>
          <w:sz w:val="32"/>
          <w:szCs w:val="32"/>
          <w:highlight w:val="none"/>
          <w:lang w:val="en-US" w:eastAsia="zh-CN"/>
        </w:rPr>
        <w:t xml:space="preserve"> </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款</w:t>
      </w:r>
      <w:r>
        <w:rPr>
          <w:rFonts w:hint="eastAsia" w:ascii="楷体_GB2312" w:hAnsi="楷体_GB2312" w:eastAsia="楷体_GB2312" w:cs="楷体_GB2312"/>
          <w:b/>
          <w:bCs/>
          <w:sz w:val="32"/>
          <w:szCs w:val="32"/>
          <w:highlight w:val="none"/>
          <w:lang w:eastAsia="zh-CN"/>
        </w:rPr>
        <w:t>）</w:t>
      </w:r>
      <w:r>
        <w:rPr>
          <w:rFonts w:hint="eastAsia" w:ascii="仿宋_GB2312" w:hAnsi="黑体" w:eastAsia="仿宋_GB2312"/>
          <w:sz w:val="32"/>
          <w:szCs w:val="32"/>
          <w:highlight w:val="none"/>
        </w:rPr>
        <w:t>2022年预算支出4053843.00元，比上年预算数</w:t>
      </w:r>
      <w:r>
        <w:rPr>
          <w:rFonts w:hint="eastAsia" w:ascii="仿宋_GB2312" w:hAnsi="宋体" w:eastAsia="仿宋_GB2312"/>
          <w:sz w:val="32"/>
          <w:szCs w:val="32"/>
          <w:highlight w:val="none"/>
          <w:lang w:eastAsia="zh-CN"/>
        </w:rPr>
        <w:t>增长</w:t>
      </w:r>
      <w:r>
        <w:rPr>
          <w:rFonts w:hint="eastAsia" w:ascii="仿宋_GB2312" w:hAnsi="黑体" w:eastAsia="仿宋_GB2312"/>
          <w:sz w:val="32"/>
          <w:szCs w:val="32"/>
          <w:highlight w:val="none"/>
          <w:lang w:val="en-US" w:eastAsia="zh-CN"/>
        </w:rPr>
        <w:t>18.29</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w:t>
      </w:r>
      <w:r>
        <w:rPr>
          <w:rFonts w:hint="eastAsia" w:ascii="仿宋_GB2312" w:hAnsi="黑体" w:eastAsia="仿宋_GB2312"/>
          <w:b/>
          <w:bCs/>
          <w:sz w:val="32"/>
          <w:szCs w:val="32"/>
          <w:highlight w:val="none"/>
        </w:rPr>
        <w:t>行政运行（项）</w:t>
      </w:r>
      <w:r>
        <w:rPr>
          <w:rFonts w:hint="eastAsia" w:ascii="仿宋_GB2312" w:hAnsi="黑体" w:eastAsia="仿宋_GB2312"/>
          <w:sz w:val="32"/>
          <w:szCs w:val="32"/>
          <w:highlight w:val="none"/>
        </w:rPr>
        <w:t>2022年预算支出4053843.00元，比上年预算数</w:t>
      </w:r>
      <w:r>
        <w:rPr>
          <w:rFonts w:hint="eastAsia" w:ascii="仿宋_GB2312" w:hAnsi="黑体" w:eastAsia="仿宋_GB2312"/>
          <w:sz w:val="32"/>
          <w:szCs w:val="32"/>
          <w:highlight w:val="none"/>
          <w:lang w:eastAsia="zh-CN"/>
        </w:rPr>
        <w:t>增长</w:t>
      </w:r>
      <w:r>
        <w:rPr>
          <w:rFonts w:hint="eastAsia" w:ascii="仿宋_GB2312" w:hAnsi="黑体" w:eastAsia="仿宋_GB2312"/>
          <w:sz w:val="32"/>
          <w:szCs w:val="32"/>
          <w:highlight w:val="none"/>
          <w:lang w:val="en-US" w:eastAsia="zh-CN"/>
        </w:rPr>
        <w:t>18.29</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r>
        <w:rPr>
          <w:rFonts w:hint="eastAsia" w:ascii="仿宋_GB2312" w:hAnsi="仿宋_GB2312" w:eastAsia="仿宋_GB2312" w:cs="仿宋_GB2312"/>
          <w:sz w:val="32"/>
          <w:szCs w:val="32"/>
          <w:highlight w:val="none"/>
          <w:lang w:val="en-US" w:eastAsia="zh-CN"/>
        </w:rPr>
        <w:t>主要原因是：</w:t>
      </w:r>
      <w:r>
        <w:rPr>
          <w:rFonts w:hint="eastAsia" w:ascii="仿宋_GB2312" w:hAnsi="仿宋_GB2312" w:eastAsia="仿宋_GB2312" w:cs="仿宋_GB2312"/>
          <w:sz w:val="32"/>
          <w:szCs w:val="32"/>
          <w:lang w:eastAsia="zh-CN"/>
        </w:rPr>
        <w:t>各项支出按实际发放预算相应增加。</w:t>
      </w:r>
    </w:p>
    <w:p>
      <w:pPr>
        <w:numPr>
          <w:numId w:val="0"/>
        </w:numPr>
        <w:spacing w:line="640" w:lineRule="exact"/>
        <w:ind w:firstLine="643" w:firstLineChars="200"/>
        <w:rPr>
          <w:rFonts w:hint="eastAsia" w:ascii="仿宋_GB2312" w:hAnsi="仿宋_GB2312" w:eastAsia="仿宋_GB2312" w:cs="仿宋_GB2312"/>
          <w:sz w:val="32"/>
          <w:szCs w:val="32"/>
          <w:lang w:eastAsia="zh-CN"/>
        </w:rPr>
      </w:pPr>
      <w:r>
        <w:rPr>
          <w:rFonts w:hint="eastAsia" w:ascii="仿宋_GB2312" w:hAnsi="宋体" w:eastAsia="仿宋_GB2312"/>
          <w:b/>
          <w:bCs/>
          <w:sz w:val="32"/>
          <w:szCs w:val="32"/>
          <w:highlight w:val="none"/>
          <w:lang w:eastAsia="zh-CN"/>
        </w:rPr>
        <w:t>群众团体事务支出（款）</w:t>
      </w:r>
      <w:r>
        <w:rPr>
          <w:rFonts w:hint="eastAsia" w:ascii="仿宋_GB2312" w:hAnsi="黑体" w:eastAsia="仿宋_GB2312"/>
          <w:sz w:val="32"/>
          <w:szCs w:val="32"/>
          <w:highlight w:val="none"/>
        </w:rPr>
        <w:t>2022年预算支出</w:t>
      </w:r>
      <w:r>
        <w:rPr>
          <w:rFonts w:hint="eastAsia" w:ascii="仿宋_GB2312" w:hAnsi="宋体" w:eastAsia="仿宋_GB2312"/>
          <w:sz w:val="32"/>
          <w:szCs w:val="32"/>
          <w:highlight w:val="none"/>
          <w:lang w:val="en-US" w:eastAsia="zh-CN"/>
        </w:rPr>
        <w:t>54413.04</w:t>
      </w:r>
      <w:r>
        <w:rPr>
          <w:rFonts w:hint="eastAsia" w:ascii="仿宋_GB2312" w:hAnsi="宋体" w:eastAsia="仿宋_GB2312"/>
          <w:sz w:val="32"/>
          <w:szCs w:val="32"/>
          <w:highlight w:val="none"/>
          <w:lang w:eastAsia="zh-CN"/>
        </w:rPr>
        <w:t>元，其中：</w:t>
      </w:r>
      <w:r>
        <w:rPr>
          <w:rFonts w:hint="eastAsia" w:ascii="仿宋_GB2312" w:hAnsi="宋体" w:eastAsia="仿宋_GB2312"/>
          <w:b/>
          <w:bCs/>
          <w:sz w:val="32"/>
          <w:szCs w:val="32"/>
          <w:highlight w:val="none"/>
          <w:lang w:eastAsia="zh-CN"/>
        </w:rPr>
        <w:t>工会事务支出</w:t>
      </w:r>
      <w:r>
        <w:rPr>
          <w:rFonts w:hint="eastAsia" w:ascii="仿宋_GB2312" w:hAnsi="宋体" w:eastAsia="仿宋_GB2312"/>
          <w:b/>
          <w:bCs/>
          <w:sz w:val="32"/>
          <w:szCs w:val="32"/>
          <w:highlight w:val="none"/>
          <w:lang w:eastAsia="zh-CN"/>
        </w:rPr>
        <w:t>（项）</w:t>
      </w:r>
      <w:r>
        <w:rPr>
          <w:rFonts w:hint="eastAsia" w:ascii="仿宋_GB2312" w:hAnsi="宋体" w:eastAsia="仿宋_GB2312"/>
          <w:sz w:val="32"/>
          <w:szCs w:val="32"/>
          <w:highlight w:val="none"/>
          <w:lang w:val="en-US" w:eastAsia="zh-CN"/>
        </w:rPr>
        <w:t>54413.04</w:t>
      </w:r>
      <w:r>
        <w:rPr>
          <w:rFonts w:hint="eastAsia" w:ascii="仿宋_GB2312" w:hAnsi="宋体" w:eastAsia="仿宋_GB2312"/>
          <w:sz w:val="32"/>
          <w:szCs w:val="32"/>
          <w:highlight w:val="none"/>
          <w:lang w:eastAsia="zh-CN"/>
        </w:rPr>
        <w:t>元，较上年</w:t>
      </w:r>
      <w:r>
        <w:rPr>
          <w:rFonts w:hint="eastAsia" w:ascii="仿宋_GB2312" w:hAnsi="宋体" w:eastAsia="仿宋_GB2312"/>
          <w:sz w:val="32"/>
          <w:szCs w:val="32"/>
          <w:highlight w:val="none"/>
          <w:lang w:val="en-US" w:eastAsia="zh-CN"/>
        </w:rPr>
        <w:t>增加78.77%，原因是工会经费增加</w:t>
      </w:r>
      <w:r>
        <w:rPr>
          <w:rFonts w:hint="eastAsia" w:ascii="仿宋_GB2312" w:hAnsi="宋体" w:eastAsia="仿宋_GB2312"/>
          <w:sz w:val="32"/>
          <w:szCs w:val="32"/>
          <w:highlight w:val="none"/>
          <w:lang w:eastAsia="zh-CN"/>
        </w:rPr>
        <w:t>。</w:t>
      </w:r>
    </w:p>
    <w:p>
      <w:pPr>
        <w:numPr>
          <w:ilvl w:val="0"/>
          <w:numId w:val="2"/>
        </w:num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440745.62</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val="en-US" w:eastAsia="zh-CN"/>
        </w:rPr>
        <w:t>比上年预算数增加18.94%，主要原因是</w:t>
      </w:r>
      <w:r>
        <w:rPr>
          <w:rFonts w:hint="eastAsia" w:ascii="仿宋_GB2312" w:hAnsi="仿宋_GB2312" w:eastAsia="仿宋_GB2312" w:cs="仿宋_GB2312"/>
          <w:sz w:val="32"/>
          <w:szCs w:val="32"/>
          <w:highlight w:val="none"/>
          <w:lang w:eastAsia="zh-CN"/>
        </w:rPr>
        <w:t>人员</w:t>
      </w:r>
      <w:r>
        <w:rPr>
          <w:rFonts w:hint="eastAsia" w:ascii="仿宋_GB2312" w:hAnsi="仿宋_GB2312" w:eastAsia="仿宋_GB2312" w:cs="仿宋_GB2312"/>
          <w:sz w:val="32"/>
          <w:szCs w:val="32"/>
          <w:highlight w:val="none"/>
          <w:lang w:val="en-US" w:eastAsia="zh-CN"/>
        </w:rPr>
        <w:t>增加</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640" w:lineRule="exact"/>
        <w:ind w:firstLine="643" w:firstLineChars="200"/>
        <w:textAlignment w:val="auto"/>
        <w:rPr>
          <w:rFonts w:hint="eastAsia" w:ascii="仿宋_GB2312" w:hAnsi="黑体" w:eastAsia="仿宋_GB2312"/>
          <w:sz w:val="32"/>
          <w:szCs w:val="32"/>
          <w:highlight w:val="none"/>
          <w:lang w:eastAsia="zh-CN"/>
        </w:rPr>
      </w:pPr>
      <w:r>
        <w:rPr>
          <w:rFonts w:hint="eastAsia" w:ascii="仿宋_GB2312" w:hAnsi="黑体" w:eastAsia="仿宋_GB2312"/>
          <w:b/>
          <w:bCs/>
          <w:sz w:val="32"/>
          <w:szCs w:val="32"/>
          <w:highlight w:val="none"/>
        </w:rPr>
        <w:t>行政事业单位养老支出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rPr>
        <w:t>2022年预算支出435304.32元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w:t>
      </w:r>
      <w:r>
        <w:rPr>
          <w:rFonts w:hint="eastAsia" w:ascii="仿宋_GB2312" w:hAnsi="黑体" w:eastAsia="仿宋_GB2312"/>
          <w:b/>
          <w:bCs/>
          <w:sz w:val="32"/>
          <w:szCs w:val="32"/>
          <w:highlight w:val="none"/>
        </w:rPr>
        <w:t>机关事业单位基本养老保险缴费支出</w:t>
      </w:r>
      <w:r>
        <w:rPr>
          <w:rFonts w:hint="eastAsia" w:ascii="仿宋_GB2312" w:hAnsi="宋体" w:eastAsia="仿宋_GB2312"/>
          <w:b/>
          <w:bCs/>
          <w:sz w:val="32"/>
          <w:szCs w:val="32"/>
          <w:highlight w:val="none"/>
          <w:lang w:eastAsia="zh-CN"/>
        </w:rPr>
        <w:t>（项）</w:t>
      </w:r>
      <w:r>
        <w:rPr>
          <w:rFonts w:hint="eastAsia" w:ascii="仿宋_GB2312" w:hAnsi="黑体" w:eastAsia="仿宋_GB2312"/>
          <w:sz w:val="32"/>
          <w:szCs w:val="32"/>
          <w:highlight w:val="none"/>
        </w:rPr>
        <w:t>2022年预算支出435304.32元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增长</w:t>
      </w:r>
      <w:r>
        <w:rPr>
          <w:rFonts w:hint="eastAsia" w:ascii="仿宋_GB2312" w:hAnsi="黑体" w:eastAsia="仿宋_GB2312"/>
          <w:sz w:val="32"/>
          <w:szCs w:val="32"/>
          <w:highlight w:val="none"/>
          <w:lang w:val="en-US" w:eastAsia="zh-CN"/>
        </w:rPr>
        <w:t>17.47</w:t>
      </w:r>
      <w:r>
        <w:rPr>
          <w:rFonts w:hint="eastAsia" w:ascii="仿宋_GB2312" w:hAnsi="宋体"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黑体" w:eastAsia="仿宋_GB2312"/>
          <w:sz w:val="32"/>
          <w:szCs w:val="32"/>
          <w:highlight w:val="none"/>
          <w:lang w:val="en-US" w:eastAsia="zh-CN"/>
        </w:rPr>
      </w:pPr>
      <w:r>
        <w:rPr>
          <w:rFonts w:hint="eastAsia" w:ascii="仿宋_GB2312" w:hAnsi="黑体" w:eastAsia="仿宋_GB2312"/>
          <w:b/>
          <w:bCs/>
          <w:sz w:val="32"/>
          <w:szCs w:val="32"/>
          <w:highlight w:val="none"/>
          <w:lang w:val="en-US" w:eastAsia="zh-CN"/>
        </w:rPr>
        <w:t>财政对其他社会保险基金的补助支出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val="en-US" w:eastAsia="zh-CN"/>
        </w:rPr>
        <w:t>5441.3元，其中：</w:t>
      </w:r>
      <w:r>
        <w:rPr>
          <w:rFonts w:hint="eastAsia" w:ascii="仿宋_GB2312" w:hAnsi="黑体" w:eastAsia="仿宋_GB2312"/>
          <w:b/>
          <w:bCs/>
          <w:sz w:val="32"/>
          <w:szCs w:val="32"/>
          <w:highlight w:val="none"/>
          <w:lang w:val="en-US" w:eastAsia="zh-CN"/>
        </w:rPr>
        <w:t>财政对工伤保险基金的补助</w:t>
      </w:r>
      <w:r>
        <w:rPr>
          <w:rFonts w:hint="eastAsia" w:ascii="仿宋_GB2312" w:hAnsi="黑体" w:eastAsia="仿宋_GB2312"/>
          <w:b/>
          <w:bCs/>
          <w:sz w:val="32"/>
          <w:szCs w:val="32"/>
          <w:highlight w:val="none"/>
          <w:lang w:eastAsia="zh-CN"/>
        </w:rPr>
        <w:t>（项）</w:t>
      </w:r>
      <w:r>
        <w:rPr>
          <w:rFonts w:hint="eastAsia" w:ascii="仿宋_GB2312" w:hAnsi="黑体" w:eastAsia="仿宋_GB2312"/>
          <w:b w:val="0"/>
          <w:bCs w:val="0"/>
          <w:sz w:val="32"/>
          <w:szCs w:val="32"/>
          <w:highlight w:val="none"/>
          <w:lang w:val="en-US" w:eastAsia="zh-CN"/>
        </w:rPr>
        <w:t>5441.3</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100%，上年未列入预算。</w:t>
      </w:r>
    </w:p>
    <w:p>
      <w:pPr>
        <w:numPr>
          <w:ilvl w:val="0"/>
          <w:numId w:val="3"/>
        </w:numPr>
        <w:spacing w:line="640" w:lineRule="exact"/>
        <w:ind w:firstLine="643" w:firstLineChars="200"/>
        <w:rPr>
          <w:rFonts w:hint="eastAsia" w:ascii="仿宋" w:hAnsi="仿宋" w:eastAsia="仿宋" w:cs="仿宋"/>
          <w:b w:val="0"/>
          <w:bCs/>
          <w:color w:val="000000"/>
          <w:sz w:val="32"/>
          <w:szCs w:val="32"/>
          <w:highlight w:val="none"/>
          <w:lang w:val="en-US" w:eastAsia="zh-CN"/>
        </w:rPr>
      </w:pPr>
      <w:r>
        <w:rPr>
          <w:rFonts w:hint="eastAsia" w:ascii="仿宋_GB2312" w:hAnsi="黑体" w:eastAsia="仿宋_GB2312"/>
          <w:b/>
          <w:sz w:val="32"/>
          <w:szCs w:val="32"/>
          <w:highlight w:val="none"/>
          <w:lang w:val="en-US" w:eastAsia="zh-CN"/>
        </w:rPr>
        <w:t>卫生健康支出</w:t>
      </w:r>
      <w:r>
        <w:rPr>
          <w:rFonts w:hint="eastAsia" w:ascii="仿宋_GB2312" w:hAnsi="黑体" w:eastAsia="仿宋_GB2312"/>
          <w:b/>
          <w:sz w:val="32"/>
          <w:szCs w:val="32"/>
          <w:highlight w:val="none"/>
        </w:rPr>
        <w:t>（类）</w:t>
      </w:r>
      <w:r>
        <w:rPr>
          <w:rFonts w:hint="eastAsia" w:ascii="仿宋_GB2312" w:hAnsi="黑体" w:eastAsia="仿宋_GB2312"/>
          <w:b/>
          <w:sz w:val="32"/>
          <w:szCs w:val="32"/>
          <w:highlight w:val="none"/>
          <w:lang w:eastAsia="zh-CN"/>
        </w:rPr>
        <w:t>：</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_GB2312" w:hAnsi="黑体" w:eastAsia="仿宋_GB2312"/>
          <w:sz w:val="32"/>
          <w:szCs w:val="32"/>
          <w:highlight w:val="none"/>
          <w:lang w:val="en-US" w:eastAsia="zh-CN"/>
        </w:rPr>
        <w:t>180946.38元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color w:val="000000"/>
          <w:sz w:val="32"/>
          <w:szCs w:val="32"/>
          <w:highlight w:val="none"/>
          <w:lang w:val="en-US" w:eastAsia="zh-CN"/>
        </w:rPr>
        <w:t>增加100%。</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p>
    <w:p>
      <w:pPr>
        <w:numPr>
          <w:ilvl w:val="0"/>
          <w:numId w:val="0"/>
        </w:numPr>
        <w:spacing w:line="640" w:lineRule="exact"/>
        <w:ind w:firstLine="643" w:firstLineChars="200"/>
        <w:rPr>
          <w:rFonts w:hint="eastAsia" w:ascii="仿宋" w:hAnsi="仿宋" w:eastAsia="仿宋" w:cs="仿宋"/>
          <w:b w:val="0"/>
          <w:bCs/>
          <w:color w:val="000000"/>
          <w:sz w:val="32"/>
          <w:szCs w:val="32"/>
          <w:highlight w:val="none"/>
          <w:lang w:val="en-US" w:eastAsia="zh-CN"/>
        </w:rPr>
      </w:pPr>
      <w:r>
        <w:rPr>
          <w:rFonts w:hint="eastAsia" w:ascii="仿宋_GB2312" w:hAnsi="黑体" w:eastAsia="仿宋_GB2312"/>
          <w:b/>
          <w:bCs/>
          <w:sz w:val="32"/>
          <w:szCs w:val="32"/>
          <w:highlight w:val="none"/>
          <w:lang w:eastAsia="zh-CN"/>
        </w:rPr>
        <w:t>财政对基本医疗保险基金的补助</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val="en-US" w:eastAsia="zh-CN"/>
        </w:rPr>
        <w:t>180946.38</w:t>
      </w:r>
      <w:r>
        <w:rPr>
          <w:rFonts w:hint="eastAsia" w:ascii="仿宋_GB2312" w:hAnsi="黑体" w:eastAsia="仿宋_GB2312"/>
          <w:sz w:val="32"/>
          <w:szCs w:val="32"/>
          <w:highlight w:val="none"/>
          <w:lang w:eastAsia="zh-CN"/>
        </w:rPr>
        <w:t>元，其中：</w:t>
      </w:r>
      <w:r>
        <w:rPr>
          <w:rFonts w:hint="eastAsia" w:ascii="仿宋_GB2312" w:hAnsi="黑体" w:eastAsia="仿宋_GB2312"/>
          <w:b/>
          <w:bCs/>
          <w:sz w:val="32"/>
          <w:szCs w:val="32"/>
          <w:highlight w:val="none"/>
          <w:lang w:eastAsia="zh-CN"/>
        </w:rPr>
        <w:t>财政对职工基本医疗保险基金的补助（项）</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lang w:val="en-US" w:eastAsia="zh-CN"/>
        </w:rPr>
        <w:t>180946.38</w:t>
      </w:r>
      <w:r>
        <w:rPr>
          <w:rFonts w:hint="eastAsia" w:ascii="仿宋_GB2312" w:hAnsi="黑体" w:eastAsia="仿宋_GB2312"/>
          <w:sz w:val="32"/>
          <w:szCs w:val="32"/>
          <w:highlight w:val="none"/>
          <w:lang w:eastAsia="zh-CN"/>
        </w:rPr>
        <w:t>元，</w:t>
      </w:r>
      <w:r>
        <w:rPr>
          <w:rFonts w:hint="eastAsia" w:ascii="仿宋_GB2312" w:hAnsi="黑体" w:eastAsia="仿宋_GB2312"/>
          <w:b w:val="0"/>
          <w:bCs/>
          <w:sz w:val="32"/>
          <w:szCs w:val="32"/>
          <w:highlight w:val="none"/>
          <w:lang w:eastAsia="zh-CN"/>
        </w:rPr>
        <w:t>较上年</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p>
    <w:p>
      <w:pPr>
        <w:numPr>
          <w:ilvl w:val="0"/>
          <w:numId w:val="3"/>
        </w:numPr>
        <w:spacing w:line="640" w:lineRule="exact"/>
        <w:ind w:left="0" w:leftChars="0" w:firstLine="643" w:firstLineChars="200"/>
        <w:rPr>
          <w:rFonts w:hint="eastAsia" w:ascii="仿宋" w:hAnsi="仿宋" w:eastAsia="仿宋" w:cs="仿宋"/>
          <w:b w:val="0"/>
          <w:bCs w:val="0"/>
          <w:color w:val="000000"/>
          <w:sz w:val="32"/>
          <w:szCs w:val="32"/>
          <w:lang w:eastAsia="zh-CN"/>
        </w:rPr>
      </w:pPr>
      <w:r>
        <w:rPr>
          <w:rFonts w:hint="eastAsia" w:ascii="仿宋_GB2312" w:hAnsi="黑体" w:eastAsia="仿宋_GB2312"/>
          <w:b/>
          <w:sz w:val="32"/>
          <w:szCs w:val="32"/>
          <w:highlight w:val="none"/>
          <w:lang w:val="en-US" w:eastAsia="zh-CN"/>
        </w:rPr>
        <w:t>农林水支出（类）：</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_GB2312" w:hAnsi="黑体" w:eastAsia="仿宋_GB2312"/>
          <w:sz w:val="32"/>
          <w:szCs w:val="32"/>
          <w:highlight w:val="none"/>
          <w:lang w:val="en-US" w:eastAsia="zh-CN"/>
        </w:rPr>
        <w:t>943000</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2021年减少24.86%</w:t>
      </w:r>
      <w:r>
        <w:rPr>
          <w:rFonts w:hint="eastAsia" w:ascii="仿宋" w:hAnsi="仿宋" w:eastAsia="仿宋" w:cs="仿宋"/>
          <w:b w:val="0"/>
          <w:bCs w:val="0"/>
          <w:color w:val="000000"/>
          <w:sz w:val="32"/>
          <w:szCs w:val="32"/>
          <w:highlight w:val="none"/>
          <w:lang w:eastAsia="zh-CN"/>
        </w:rPr>
        <w:t>。</w:t>
      </w:r>
      <w:r>
        <w:rPr>
          <w:rFonts w:hint="eastAsia" w:ascii="仿宋" w:hAnsi="仿宋" w:eastAsia="仿宋" w:cs="仿宋"/>
          <w:b w:val="0"/>
          <w:bCs w:val="0"/>
          <w:color w:val="000000"/>
          <w:sz w:val="32"/>
          <w:szCs w:val="32"/>
          <w:lang w:eastAsia="zh-CN"/>
        </w:rPr>
        <w:t>减少原因：人员减少，经费缩减。</w:t>
      </w:r>
    </w:p>
    <w:p>
      <w:pPr>
        <w:numPr>
          <w:ilvl w:val="0"/>
          <w:numId w:val="0"/>
        </w:numPr>
        <w:spacing w:line="640" w:lineRule="exact"/>
        <w:ind w:leftChars="200" w:firstLine="321" w:firstLineChars="100"/>
        <w:rPr>
          <w:rFonts w:hint="eastAsia" w:ascii="仿宋" w:hAnsi="仿宋" w:eastAsia="仿宋" w:cs="仿宋"/>
          <w:b w:val="0"/>
          <w:bCs w:val="0"/>
          <w:color w:val="000000"/>
          <w:sz w:val="32"/>
          <w:szCs w:val="32"/>
          <w:lang w:eastAsia="zh-CN"/>
        </w:rPr>
      </w:pPr>
      <w:r>
        <w:rPr>
          <w:rFonts w:hint="eastAsia" w:ascii="仿宋" w:hAnsi="仿宋" w:eastAsia="仿宋" w:cs="仿宋"/>
          <w:b/>
          <w:bCs/>
          <w:color w:val="000000"/>
          <w:sz w:val="32"/>
          <w:szCs w:val="32"/>
          <w:lang w:eastAsia="zh-CN"/>
        </w:rPr>
        <w:t>农村综合改革支出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val="en-US" w:eastAsia="zh-CN"/>
        </w:rPr>
        <w:t>943000</w:t>
      </w:r>
      <w:r>
        <w:rPr>
          <w:rFonts w:hint="eastAsia" w:ascii="仿宋" w:hAnsi="仿宋" w:eastAsia="仿宋" w:cs="仿宋"/>
          <w:b w:val="0"/>
          <w:bCs w:val="0"/>
          <w:color w:val="000000"/>
          <w:sz w:val="32"/>
          <w:szCs w:val="32"/>
          <w:lang w:eastAsia="zh-CN"/>
        </w:rPr>
        <w:t>元，其中：</w:t>
      </w:r>
      <w:r>
        <w:rPr>
          <w:rFonts w:hint="eastAsia" w:ascii="仿宋" w:hAnsi="仿宋" w:eastAsia="仿宋" w:cs="仿宋"/>
          <w:b/>
          <w:bCs/>
          <w:color w:val="000000"/>
          <w:sz w:val="32"/>
          <w:szCs w:val="32"/>
          <w:lang w:eastAsia="zh-CN"/>
        </w:rPr>
        <w:t>对村民委员会和村党支部的补助</w:t>
      </w:r>
      <w:r>
        <w:rPr>
          <w:rFonts w:hint="eastAsia" w:ascii="仿宋_GB2312" w:hAnsi="黑体" w:eastAsia="仿宋_GB2312"/>
          <w:b/>
          <w:bCs/>
          <w:sz w:val="32"/>
          <w:szCs w:val="32"/>
          <w:highlight w:val="none"/>
          <w:lang w:eastAsia="zh-CN"/>
        </w:rPr>
        <w:t>（项）</w:t>
      </w:r>
      <w:r>
        <w:rPr>
          <w:rFonts w:hint="eastAsia" w:ascii="仿宋_GB2312" w:hAnsi="黑体" w:eastAsia="仿宋_GB2312"/>
          <w:sz w:val="32"/>
          <w:szCs w:val="32"/>
          <w:highlight w:val="none"/>
          <w:lang w:val="en-US" w:eastAsia="zh-CN"/>
        </w:rPr>
        <w:t>943000</w:t>
      </w:r>
      <w:r>
        <w:rPr>
          <w:rFonts w:hint="eastAsia" w:ascii="仿宋" w:hAnsi="仿宋" w:eastAsia="仿宋" w:cs="仿宋"/>
          <w:b w:val="0"/>
          <w:bCs w:val="0"/>
          <w:color w:val="000000"/>
          <w:sz w:val="32"/>
          <w:szCs w:val="32"/>
          <w:lang w:eastAsia="zh-CN"/>
        </w:rPr>
        <w:t>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2021年减少24.86%</w:t>
      </w:r>
      <w:r>
        <w:rPr>
          <w:rFonts w:hint="eastAsia" w:ascii="仿宋" w:hAnsi="仿宋" w:eastAsia="仿宋" w:cs="仿宋"/>
          <w:b w:val="0"/>
          <w:bCs w:val="0"/>
          <w:color w:val="000000"/>
          <w:sz w:val="32"/>
          <w:szCs w:val="32"/>
          <w:lang w:eastAsia="zh-CN"/>
        </w:rPr>
        <w:t>。减少原因：人员减少，经费缩减。</w:t>
      </w:r>
    </w:p>
    <w:p>
      <w:pPr>
        <w:spacing w:line="640" w:lineRule="exact"/>
        <w:ind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sz w:val="32"/>
          <w:szCs w:val="32"/>
          <w:highlight w:val="none"/>
          <w:lang w:val="en-US" w:eastAsia="zh-CN"/>
        </w:rPr>
        <w:t>（五）住房保障支出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_GB2312" w:hAnsi="黑体" w:eastAsia="仿宋_GB2312"/>
          <w:sz w:val="32"/>
          <w:szCs w:val="32"/>
          <w:highlight w:val="none"/>
          <w:lang w:val="en-US" w:eastAsia="zh-CN"/>
        </w:rPr>
        <w:t>326478.24</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2021年0.00</w:t>
      </w:r>
      <w:r>
        <w:rPr>
          <w:rFonts w:hint="eastAsia" w:ascii="仿宋" w:hAnsi="仿宋" w:eastAsia="仿宋" w:cs="仿宋"/>
          <w:b w:val="0"/>
          <w:bCs w:val="0"/>
          <w:color w:val="000000"/>
          <w:sz w:val="32"/>
          <w:szCs w:val="32"/>
          <w:highlight w:val="none"/>
          <w:lang w:eastAsia="zh-CN"/>
        </w:rPr>
        <w:t>元</w:t>
      </w:r>
      <w:r>
        <w:rPr>
          <w:rFonts w:hint="eastAsia" w:ascii="仿宋" w:hAnsi="仿宋" w:eastAsia="仿宋" w:cs="仿宋"/>
          <w:b w:val="0"/>
          <w:bCs/>
          <w:color w:val="000000"/>
          <w:sz w:val="32"/>
          <w:szCs w:val="32"/>
          <w:highlight w:val="none"/>
          <w:lang w:val="en-US" w:eastAsia="zh-CN"/>
        </w:rPr>
        <w:t>，增加100%。</w:t>
      </w:r>
      <w:r>
        <w:rPr>
          <w:rFonts w:hint="eastAsia" w:ascii="仿宋_GB2312" w:hAnsi="黑体" w:eastAsia="仿宋_GB2312"/>
          <w:sz w:val="32"/>
          <w:szCs w:val="32"/>
          <w:highlight w:val="none"/>
          <w:lang w:eastAsia="zh-CN"/>
        </w:rPr>
        <w:t>原因是住房公积金列入单位预算。</w:t>
      </w:r>
    </w:p>
    <w:p>
      <w:pPr>
        <w:spacing w:line="640" w:lineRule="exact"/>
        <w:ind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bCs/>
          <w:sz w:val="32"/>
          <w:szCs w:val="32"/>
          <w:highlight w:val="none"/>
          <w:lang w:eastAsia="zh-CN"/>
        </w:rPr>
        <w:t>住房改革支出（款）</w:t>
      </w:r>
      <w:r>
        <w:rPr>
          <w:rFonts w:hint="eastAsia" w:ascii="仿宋_GB2312" w:hAnsi="黑体" w:eastAsia="仿宋_GB2312"/>
          <w:sz w:val="32"/>
          <w:szCs w:val="32"/>
          <w:highlight w:val="none"/>
          <w:lang w:eastAsia="zh-CN"/>
        </w:rPr>
        <w:tab/>
      </w:r>
      <w:r>
        <w:rPr>
          <w:rFonts w:hint="eastAsia" w:ascii="仿宋_GB2312" w:hAnsi="黑体" w:eastAsia="仿宋_GB2312"/>
          <w:sz w:val="32"/>
          <w:szCs w:val="32"/>
          <w:highlight w:val="none"/>
          <w:lang w:val="en-US" w:eastAsia="zh-CN"/>
        </w:rPr>
        <w:t>326478.24</w:t>
      </w:r>
      <w:r>
        <w:rPr>
          <w:rFonts w:hint="eastAsia" w:ascii="仿宋_GB2312" w:hAnsi="黑体" w:eastAsia="仿宋_GB2312"/>
          <w:sz w:val="32"/>
          <w:szCs w:val="32"/>
          <w:highlight w:val="none"/>
          <w:lang w:eastAsia="zh-CN"/>
        </w:rPr>
        <w:t>元，其中：</w:t>
      </w:r>
      <w:r>
        <w:rPr>
          <w:rFonts w:hint="eastAsia" w:ascii="仿宋_GB2312" w:hAnsi="黑体" w:eastAsia="仿宋_GB2312"/>
          <w:b/>
          <w:bCs/>
          <w:sz w:val="32"/>
          <w:szCs w:val="32"/>
          <w:highlight w:val="none"/>
          <w:lang w:eastAsia="zh-CN"/>
        </w:rPr>
        <w:t>住房公积金支出（项）</w:t>
      </w:r>
      <w:r>
        <w:rPr>
          <w:rFonts w:hint="eastAsia" w:ascii="仿宋_GB2312" w:hAnsi="黑体" w:eastAsia="仿宋_GB2312"/>
          <w:sz w:val="32"/>
          <w:szCs w:val="32"/>
          <w:highlight w:val="none"/>
          <w:lang w:val="en-US" w:eastAsia="zh-CN"/>
        </w:rPr>
        <w:t>326478.24</w:t>
      </w:r>
      <w:r>
        <w:rPr>
          <w:rFonts w:hint="eastAsia" w:ascii="仿宋_GB2312" w:hAnsi="黑体" w:eastAsia="仿宋_GB2312"/>
          <w:sz w:val="32"/>
          <w:szCs w:val="32"/>
          <w:highlight w:val="none"/>
          <w:lang w:eastAsia="zh-CN"/>
        </w:rPr>
        <w:t>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2021年0.00</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原因是住房公积金列入单位预算。</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rPr>
        <w:t>2022年一般公共预算基本支出</w:t>
      </w:r>
      <w:r>
        <w:rPr>
          <w:rFonts w:hint="default" w:ascii="仿宋_GB2312" w:hAnsi="黑体" w:eastAsia="仿宋_GB2312"/>
          <w:sz w:val="32"/>
          <w:szCs w:val="32"/>
          <w:highlight w:val="none"/>
          <w:lang w:val="en-US" w:eastAsia="zh-CN"/>
        </w:rPr>
        <w:t>5056426.28</w:t>
      </w:r>
      <w:r>
        <w:rPr>
          <w:rFonts w:hint="eastAsia" w:ascii="仿宋_GB2312" w:hAnsi="黑体" w:eastAsia="仿宋_GB2312"/>
          <w:sz w:val="32"/>
          <w:szCs w:val="32"/>
          <w:highlight w:val="none"/>
          <w:lang w:val="en-US" w:eastAsia="zh-CN"/>
        </w:rPr>
        <w:t>元</w:t>
      </w:r>
      <w:r>
        <w:rPr>
          <w:rFonts w:hint="eastAsia" w:eastAsia="等线" w:cs="Calibri"/>
          <w:i w:val="0"/>
          <w:iCs w:val="0"/>
          <w:color w:val="000000"/>
          <w:kern w:val="0"/>
          <w:sz w:val="22"/>
          <w:szCs w:val="22"/>
          <w:u w:val="none"/>
          <w:lang w:val="en-US" w:eastAsia="zh-CN" w:bidi="ar"/>
        </w:rPr>
        <w:t>，</w:t>
      </w:r>
      <w:r>
        <w:rPr>
          <w:rFonts w:hint="eastAsia" w:ascii="仿宋_GB2312" w:hAnsi="黑体" w:eastAsia="仿宋_GB2312"/>
          <w:sz w:val="32"/>
          <w:szCs w:val="32"/>
          <w:highlight w:val="none"/>
          <w:lang w:val="en-US" w:eastAsia="zh-CN"/>
        </w:rPr>
        <w:t>比上年预算增加32.09%元</w:t>
      </w:r>
      <w:r>
        <w:rPr>
          <w:rFonts w:hint="eastAsia" w:ascii="仿宋_GB2312" w:hAnsi="黑体" w:eastAsia="仿宋_GB2312"/>
          <w:sz w:val="32"/>
          <w:szCs w:val="32"/>
          <w:highlight w:val="none"/>
        </w:rPr>
        <w:t>，其中：人员经费4556426.28元，单位运转经费</w:t>
      </w:r>
      <w:r>
        <w:rPr>
          <w:rFonts w:hint="eastAsia" w:ascii="仿宋_GB2312" w:hAnsi="黑体" w:eastAsia="仿宋_GB2312"/>
          <w:sz w:val="32"/>
          <w:szCs w:val="32"/>
          <w:highlight w:val="none"/>
          <w:lang w:val="en-US" w:eastAsia="zh-CN"/>
        </w:rPr>
        <w:t>500000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增加的原因是人员增加。</w:t>
      </w:r>
    </w:p>
    <w:p>
      <w:pPr>
        <w:keepNext w:val="0"/>
        <w:keepLines w:val="0"/>
        <w:pageBreakBefore w:val="0"/>
        <w:widowControl/>
        <w:kinsoku w:val="0"/>
        <w:wordWrap/>
        <w:overflowPunct/>
        <w:topLinePunct w:val="0"/>
        <w:autoSpaceDE w:val="0"/>
        <w:autoSpaceDN w:val="0"/>
        <w:bidi w:val="0"/>
        <w:adjustRightInd w:val="0"/>
        <w:snapToGrid w:val="0"/>
        <w:spacing w:before="293" w:line="240" w:lineRule="auto"/>
        <w:ind w:firstLine="640" w:firstLineChars="200"/>
        <w:textAlignment w:val="baseline"/>
        <w:rPr>
          <w:rFonts w:hint="default" w:ascii="仿宋_GB2312" w:hAnsi="黑体" w:eastAsia="仿宋_GB2312"/>
          <w:sz w:val="32"/>
          <w:szCs w:val="32"/>
          <w:highlight w:val="none"/>
          <w:lang w:val="en-US" w:eastAsia="zh-CN"/>
        </w:rPr>
      </w:pPr>
      <w:r>
        <w:rPr>
          <w:rFonts w:hint="eastAsia" w:ascii="黑体" w:hAnsi="黑体" w:eastAsia="黑体"/>
          <w:sz w:val="32"/>
          <w:szCs w:val="32"/>
          <w:highlight w:val="none"/>
          <w:lang w:eastAsia="zh-CN"/>
        </w:rPr>
        <w:t>四、项目支出：</w:t>
      </w:r>
      <w:r>
        <w:rPr>
          <w:rFonts w:hint="eastAsia" w:ascii="仿宋_GB2312" w:hAnsi="黑体" w:eastAsia="仿宋_GB2312"/>
          <w:sz w:val="32"/>
          <w:szCs w:val="32"/>
          <w:highlight w:val="none"/>
          <w:lang w:val="en-US" w:eastAsia="zh-CN"/>
        </w:rPr>
        <w:t>2022年支出953000.00元，比上年预算数减少24.06%，</w:t>
      </w:r>
      <w:r>
        <w:rPr>
          <w:rFonts w:hint="eastAsia" w:ascii="仿宋_GB2312" w:hAnsi="仿宋_GB2312" w:eastAsia="仿宋_GB2312" w:cs="仿宋_GB2312"/>
          <w:spacing w:val="-1"/>
          <w:sz w:val="32"/>
          <w:szCs w:val="32"/>
          <w:lang w:val="en-US" w:eastAsia="zh-CN"/>
        </w:rPr>
        <w:t>主要原因是2022年项目减少。</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五</w:t>
      </w:r>
      <w:r>
        <w:rPr>
          <w:rFonts w:hint="eastAsia" w:ascii="黑体" w:hAnsi="黑体" w:eastAsia="黑体"/>
          <w:sz w:val="32"/>
          <w:szCs w:val="32"/>
          <w:highlight w:val="none"/>
        </w:rPr>
        <w:t>、部门“三公”经费情况说明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算30000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和</w:t>
      </w:r>
      <w:r>
        <w:rPr>
          <w:rFonts w:hint="eastAsia" w:ascii="仿宋_GB2312" w:hAnsi="黑体" w:eastAsia="仿宋_GB2312"/>
          <w:sz w:val="32"/>
          <w:szCs w:val="32"/>
          <w:highlight w:val="none"/>
        </w:rPr>
        <w:t>上年预算数</w:t>
      </w:r>
      <w:r>
        <w:rPr>
          <w:rFonts w:hint="eastAsia" w:ascii="仿宋_GB2312" w:hAnsi="黑体" w:eastAsia="仿宋_GB2312"/>
          <w:sz w:val="32"/>
          <w:szCs w:val="32"/>
          <w:highlight w:val="none"/>
          <w:lang w:eastAsia="zh-CN"/>
        </w:rPr>
        <w:t>持平</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rPr>
        <w:t>30000.00元，比上年预算数</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增加，其中：公务用车购置费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元；公务用车运行费</w:t>
      </w:r>
      <w:r>
        <w:rPr>
          <w:rFonts w:hint="eastAsia" w:ascii="仿宋_GB2312" w:hAnsi="黑体" w:eastAsia="仿宋_GB2312"/>
          <w:sz w:val="32"/>
          <w:szCs w:val="32"/>
          <w:highlight w:val="none"/>
          <w:lang w:val="en-US" w:eastAsia="zh-CN"/>
        </w:rPr>
        <w:t>30000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无变化，用于公车运行维护</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六</w:t>
      </w:r>
      <w:r>
        <w:rPr>
          <w:rFonts w:hint="eastAsia" w:ascii="黑体" w:hAnsi="黑体" w:eastAsia="黑体"/>
          <w:sz w:val="32"/>
          <w:szCs w:val="32"/>
          <w:highlight w:val="none"/>
        </w:rPr>
        <w:t>、部门机关运行经费及政府采购预算情况说明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500000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。政府采购预算66500.00元，比上年预算数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35000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降低</w:t>
      </w:r>
      <w:r>
        <w:rPr>
          <w:rFonts w:hint="eastAsia" w:ascii="仿宋_GB2312" w:hAnsi="黑体" w:eastAsia="仿宋_GB2312"/>
          <w:sz w:val="32"/>
          <w:szCs w:val="32"/>
          <w:highlight w:val="none"/>
          <w:lang w:val="en-US" w:eastAsia="zh-CN"/>
        </w:rPr>
        <w:t>35</w:t>
      </w:r>
      <w:r>
        <w:rPr>
          <w:rFonts w:hint="eastAsia" w:ascii="仿宋_GB2312" w:hAnsi="黑体" w:eastAsia="仿宋_GB2312"/>
          <w:sz w:val="32"/>
          <w:szCs w:val="32"/>
          <w:highlight w:val="none"/>
        </w:rPr>
        <w:t>%，主要</w:t>
      </w:r>
      <w:r>
        <w:rPr>
          <w:rFonts w:hint="eastAsia" w:ascii="仿宋_GB2312" w:hAnsi="黑体" w:eastAsia="仿宋_GB2312"/>
          <w:sz w:val="32"/>
          <w:szCs w:val="32"/>
          <w:highlight w:val="none"/>
          <w:lang w:eastAsia="zh-CN"/>
        </w:rPr>
        <w:t>原因</w:t>
      </w:r>
      <w:r>
        <w:rPr>
          <w:rFonts w:hint="eastAsia" w:ascii="仿宋_GB2312" w:hAnsi="黑体" w:eastAsia="仿宋_GB2312"/>
          <w:sz w:val="32"/>
          <w:szCs w:val="32"/>
          <w:highlight w:val="none"/>
        </w:rPr>
        <w:t>是</w:t>
      </w:r>
      <w:r>
        <w:rPr>
          <w:rFonts w:hint="eastAsia" w:ascii="仿宋_GB2312" w:hAnsi="黑体" w:eastAsia="仿宋_GB2312"/>
          <w:sz w:val="32"/>
          <w:szCs w:val="32"/>
          <w:highlight w:val="none"/>
          <w:lang w:eastAsia="zh-CN"/>
        </w:rPr>
        <w:t>省级专项经费减少。</w:t>
      </w:r>
      <w:r>
        <w:rPr>
          <w:rFonts w:hint="eastAsia" w:ascii="仿宋_GB2312" w:hAnsi="黑体" w:eastAsia="仿宋_GB2312"/>
          <w:sz w:val="32"/>
          <w:szCs w:val="32"/>
          <w:highlight w:val="none"/>
        </w:rPr>
        <w:t>其中：政府采购货物预算66500.00元，政府采购工程预算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rPr>
      </w:pPr>
    </w:p>
    <w:p>
      <w:pPr>
        <w:spacing w:line="640" w:lineRule="exact"/>
        <w:jc w:val="both"/>
        <w:rPr>
          <w:rFonts w:ascii="仿宋_GB2312" w:hAnsi="黑体" w:eastAsia="仿宋_GB2312"/>
          <w:b/>
          <w:sz w:val="44"/>
          <w:szCs w:val="44"/>
        </w:rPr>
      </w:pPr>
    </w:p>
    <w:p>
      <w:pPr>
        <w:spacing w:line="840" w:lineRule="exact"/>
        <w:jc w:val="center"/>
        <w:rPr>
          <w:rFonts w:hint="eastAsia" w:ascii="仿宋_GB2312" w:hAnsi="黑体" w:eastAsia="仿宋_GB2312"/>
          <w:b/>
          <w:sz w:val="52"/>
          <w:szCs w:val="52"/>
        </w:rPr>
      </w:pPr>
    </w:p>
    <w:p>
      <w:pPr>
        <w:spacing w:line="840" w:lineRule="exact"/>
        <w:jc w:val="both"/>
        <w:rPr>
          <w:rFonts w:hint="eastAsia" w:ascii="仿宋_GB2312" w:hAnsi="黑体" w:eastAsia="仿宋_GB2312"/>
          <w:b/>
          <w:sz w:val="52"/>
          <w:szCs w:val="52"/>
        </w:rPr>
      </w:pPr>
      <w:bookmarkStart w:id="0" w:name="_GoBack"/>
      <w:bookmarkEnd w:id="0"/>
    </w:p>
    <w:p>
      <w:pPr>
        <w:spacing w:line="840" w:lineRule="exact"/>
        <w:ind w:firstLine="4698" w:firstLineChars="900"/>
        <w:jc w:val="both"/>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Cambria">
    <w:panose1 w:val="02040503050406030204"/>
    <w:charset w:val="00"/>
    <w:family w:val="auto"/>
    <w:pitch w:val="default"/>
    <w:sig w:usb0="A00002EF" w:usb1="4000004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9F15AF"/>
    <w:multiLevelType w:val="singleLevel"/>
    <w:tmpl w:val="899F15AF"/>
    <w:lvl w:ilvl="0" w:tentative="0">
      <w:start w:val="1"/>
      <w:numFmt w:val="chineseCounting"/>
      <w:suff w:val="nothing"/>
      <w:lvlText w:val="（%1）"/>
      <w:lvlJc w:val="left"/>
      <w:rPr>
        <w:rFonts w:hint="eastAsia"/>
      </w:rPr>
    </w:lvl>
  </w:abstractNum>
  <w:abstractNum w:abstractNumId="1">
    <w:nsid w:val="1E972551"/>
    <w:multiLevelType w:val="singleLevel"/>
    <w:tmpl w:val="1E972551"/>
    <w:lvl w:ilvl="0" w:tentative="0">
      <w:start w:val="3"/>
      <w:numFmt w:val="chineseCounting"/>
      <w:suff w:val="nothing"/>
      <w:lvlText w:val="（%1）"/>
      <w:lvlJc w:val="left"/>
      <w:rPr>
        <w:rFonts w:hint="eastAsia"/>
      </w:rPr>
    </w:lvl>
  </w:abstractNum>
  <w:abstractNum w:abstractNumId="2">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5OTEzNTlkYWI1ZmM1ZDk1NjhlN2U5ZjFmYjlkNjI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80A1514"/>
    <w:rsid w:val="0A116753"/>
    <w:rsid w:val="0B896034"/>
    <w:rsid w:val="0BE20FFA"/>
    <w:rsid w:val="0D824E94"/>
    <w:rsid w:val="0E6F37D9"/>
    <w:rsid w:val="112936A0"/>
    <w:rsid w:val="1250416D"/>
    <w:rsid w:val="13B82E0D"/>
    <w:rsid w:val="141D039C"/>
    <w:rsid w:val="17432B85"/>
    <w:rsid w:val="1909264A"/>
    <w:rsid w:val="198119BE"/>
    <w:rsid w:val="1A300520"/>
    <w:rsid w:val="1B78482C"/>
    <w:rsid w:val="1C6D1D31"/>
    <w:rsid w:val="1D654F62"/>
    <w:rsid w:val="204B1966"/>
    <w:rsid w:val="205A7194"/>
    <w:rsid w:val="210F4887"/>
    <w:rsid w:val="22273516"/>
    <w:rsid w:val="2233056C"/>
    <w:rsid w:val="224E2A64"/>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AC727C9"/>
    <w:rsid w:val="3B783AC3"/>
    <w:rsid w:val="3D8C4411"/>
    <w:rsid w:val="40465DD0"/>
    <w:rsid w:val="40CC1D5D"/>
    <w:rsid w:val="416268DB"/>
    <w:rsid w:val="452F6292"/>
    <w:rsid w:val="47A206AE"/>
    <w:rsid w:val="47AF499B"/>
    <w:rsid w:val="484D612A"/>
    <w:rsid w:val="48A9072C"/>
    <w:rsid w:val="4D903B41"/>
    <w:rsid w:val="4DA8126D"/>
    <w:rsid w:val="4DD72226"/>
    <w:rsid w:val="4E235B10"/>
    <w:rsid w:val="4EA300AE"/>
    <w:rsid w:val="50622DD8"/>
    <w:rsid w:val="51C77E42"/>
    <w:rsid w:val="54B1376D"/>
    <w:rsid w:val="56311F34"/>
    <w:rsid w:val="564548F7"/>
    <w:rsid w:val="565305B1"/>
    <w:rsid w:val="56C73340"/>
    <w:rsid w:val="59441D15"/>
    <w:rsid w:val="5A3206F2"/>
    <w:rsid w:val="61EF1B1B"/>
    <w:rsid w:val="621A3658"/>
    <w:rsid w:val="627C183B"/>
    <w:rsid w:val="62B62979"/>
    <w:rsid w:val="64252B6E"/>
    <w:rsid w:val="651520BC"/>
    <w:rsid w:val="661A6258"/>
    <w:rsid w:val="68DE36B8"/>
    <w:rsid w:val="6A136FDE"/>
    <w:rsid w:val="6A362A40"/>
    <w:rsid w:val="6A752B54"/>
    <w:rsid w:val="6D45564C"/>
    <w:rsid w:val="6EA6456E"/>
    <w:rsid w:val="74517818"/>
    <w:rsid w:val="75840CDB"/>
    <w:rsid w:val="75BE5F9B"/>
    <w:rsid w:val="75FA50B5"/>
    <w:rsid w:val="77781E83"/>
    <w:rsid w:val="78062181"/>
    <w:rsid w:val="794965D5"/>
    <w:rsid w:val="79D61FC6"/>
    <w:rsid w:val="7A83147F"/>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2960</Words>
  <Characters>3321</Characters>
  <Lines>16</Lines>
  <Paragraphs>4</Paragraphs>
  <TotalTime>4</TotalTime>
  <ScaleCrop>false</ScaleCrop>
  <LinksUpToDate>false</LinksUpToDate>
  <CharactersWithSpaces>3379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2023-06-07T10:10:27Z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01F5A02EBF2F4E8FBB4100AAB7A1778C_13</vt:lpwstr>
  </property>
</Properties>
</file>