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auto"/>
          <w:sz w:val="52"/>
          <w:szCs w:val="52"/>
          <w:highlight w:val="none"/>
        </w:rPr>
      </w:pPr>
    </w:p>
    <w:p>
      <w:pPr>
        <w:jc w:val="center"/>
        <w:rPr>
          <w:rFonts w:ascii="方正小标宋简体" w:eastAsia="方正小标宋简体"/>
          <w:color w:val="auto"/>
          <w:sz w:val="52"/>
          <w:szCs w:val="52"/>
          <w:highlight w:val="none"/>
        </w:rPr>
      </w:pPr>
    </w:p>
    <w:p>
      <w:pPr>
        <w:jc w:val="center"/>
        <w:rPr>
          <w:rFonts w:ascii="楷体" w:hAnsi="楷体" w:eastAsia="楷体"/>
          <w:color w:val="auto"/>
          <w:sz w:val="30"/>
          <w:szCs w:val="30"/>
          <w:highlight w:val="none"/>
        </w:rPr>
      </w:pPr>
      <w:r>
        <w:rPr>
          <w:rFonts w:hint="eastAsia" w:ascii="方正小标宋简体" w:eastAsia="方正小标宋简体"/>
          <w:color w:val="auto"/>
          <w:sz w:val="72"/>
          <w:szCs w:val="72"/>
          <w:highlight w:val="none"/>
          <w:lang w:val="en-US" w:eastAsia="zh-CN"/>
        </w:rPr>
        <w:t>东塬学校</w:t>
      </w:r>
      <w:r>
        <w:rPr>
          <w:rFonts w:hint="eastAsia" w:ascii="方正小标宋简体" w:eastAsia="方正小标宋简体"/>
          <w:color w:val="auto"/>
          <w:sz w:val="72"/>
          <w:szCs w:val="72"/>
          <w:highlight w:val="none"/>
        </w:rPr>
        <w:t>（单位名称）部门预算</w:t>
      </w: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w:t>
      </w:r>
      <w:r>
        <w:rPr>
          <w:rFonts w:hint="eastAsia" w:ascii="方正小标宋简体" w:eastAsia="方正小标宋简体"/>
          <w:color w:val="auto"/>
          <w:sz w:val="48"/>
          <w:szCs w:val="48"/>
          <w:highlight w:val="none"/>
          <w:lang w:val="en-US" w:eastAsia="zh-CN"/>
        </w:rPr>
        <w:t>3</w:t>
      </w:r>
      <w:r>
        <w:rPr>
          <w:rFonts w:hint="eastAsia" w:ascii="方正小标宋简体" w:eastAsia="方正小标宋简体"/>
          <w:color w:val="auto"/>
          <w:sz w:val="48"/>
          <w:szCs w:val="48"/>
          <w:highlight w:val="none"/>
        </w:rPr>
        <w:t>年度）</w:t>
      </w:r>
    </w:p>
    <w:p>
      <w:pPr>
        <w:tabs>
          <w:tab w:val="left" w:pos="12150"/>
        </w:tabs>
        <w:jc w:val="left"/>
        <w:rPr>
          <w:rFonts w:ascii="方正小标宋简体" w:eastAsia="方正小标宋简体"/>
          <w:color w:val="auto"/>
          <w:sz w:val="48"/>
          <w:szCs w:val="48"/>
          <w:highlight w:val="none"/>
        </w:rPr>
      </w:pPr>
      <w:r>
        <w:rPr>
          <w:rFonts w:ascii="方正小标宋简体" w:eastAsia="方正小标宋简体"/>
          <w:color w:val="auto"/>
          <w:sz w:val="48"/>
          <w:szCs w:val="48"/>
          <w:highlight w:val="none"/>
        </w:rPr>
        <w:tab/>
      </w: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w:t>
      </w:r>
      <w:r>
        <w:rPr>
          <w:rFonts w:hint="eastAsia" w:ascii="方正小标宋简体" w:eastAsia="方正小标宋简体"/>
          <w:color w:val="auto"/>
          <w:sz w:val="48"/>
          <w:szCs w:val="48"/>
          <w:highlight w:val="none"/>
          <w:lang w:val="en-US" w:eastAsia="zh-CN"/>
        </w:rPr>
        <w:t>3</w:t>
      </w:r>
      <w:r>
        <w:rPr>
          <w:rFonts w:hint="eastAsia" w:ascii="方正小标宋简体" w:eastAsia="方正小标宋简体"/>
          <w:color w:val="auto"/>
          <w:sz w:val="48"/>
          <w:szCs w:val="48"/>
          <w:highlight w:val="none"/>
        </w:rPr>
        <w:t>年</w:t>
      </w:r>
      <w:r>
        <w:rPr>
          <w:rFonts w:hint="eastAsia" w:ascii="方正小标宋简体" w:eastAsia="方正小标宋简体"/>
          <w:color w:val="auto"/>
          <w:sz w:val="48"/>
          <w:szCs w:val="48"/>
          <w:highlight w:val="none"/>
          <w:lang w:val="en-US" w:eastAsia="zh-CN"/>
        </w:rPr>
        <w:t>2</w:t>
      </w:r>
      <w:r>
        <w:rPr>
          <w:rFonts w:hint="eastAsia" w:ascii="方正小标宋简体" w:eastAsia="方正小标宋简体"/>
          <w:color w:val="auto"/>
          <w:sz w:val="48"/>
          <w:szCs w:val="48"/>
          <w:highlight w:val="none"/>
        </w:rPr>
        <w:t>月</w:t>
      </w: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    录</w:t>
      </w:r>
    </w:p>
    <w:p>
      <w:pPr>
        <w:rPr>
          <w:rFonts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第一部分  部门概况</w:t>
      </w:r>
    </w:p>
    <w:p>
      <w:pPr>
        <w:spacing w:line="640" w:lineRule="exact"/>
        <w:ind w:firstLine="1564" w:firstLineChars="489"/>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 xml:space="preserve"> </w:t>
      </w:r>
      <w:r>
        <w:rPr>
          <w:rFonts w:hint="eastAsia" w:ascii="仿宋_GB2312" w:hAnsi="宋体" w:eastAsia="仿宋_GB2312" w:cs="宋体"/>
          <w:kern w:val="0"/>
          <w:sz w:val="32"/>
          <w:szCs w:val="32"/>
          <w:highlight w:val="none"/>
        </w:rPr>
        <w:t>七）完成教育主管部门和上级政府委托的各项工作任务。</w:t>
      </w:r>
    </w:p>
    <w:p>
      <w:pPr>
        <w:numPr>
          <w:ilvl w:val="0"/>
          <w:numId w:val="1"/>
        </w:numPr>
        <w:spacing w:line="640" w:lineRule="exact"/>
        <w:ind w:firstLine="1590" w:firstLineChars="497"/>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机构设置</w:t>
      </w:r>
      <w:bookmarkStart w:id="0" w:name="_GoBack"/>
      <w:bookmarkEnd w:id="0"/>
    </w:p>
    <w:p>
      <w:pPr>
        <w:spacing w:line="840" w:lineRule="exact"/>
        <w:ind w:firstLine="640" w:firstLineChars="200"/>
        <w:rPr>
          <w:rFonts w:hint="eastAsia" w:ascii="仿宋_GB2312" w:hAnsi="黑体" w:eastAsia="仿宋_GB2312"/>
          <w:b w:val="0"/>
          <w:bCs/>
          <w:sz w:val="32"/>
          <w:szCs w:val="32"/>
        </w:rPr>
      </w:pPr>
      <w:r>
        <w:rPr>
          <w:rFonts w:hint="eastAsia" w:ascii="仿宋_GB2312" w:hAnsi="宋体" w:eastAsia="仿宋_GB2312" w:cs="宋体"/>
          <w:kern w:val="0"/>
          <w:sz w:val="32"/>
          <w:szCs w:val="32"/>
          <w:highlight w:val="none"/>
        </w:rPr>
        <w:t>根据上述职责，东乡族自治县</w:t>
      </w:r>
      <w:r>
        <w:rPr>
          <w:rFonts w:hint="eastAsia" w:ascii="仿宋_GB2312" w:hAnsi="宋体" w:eastAsia="仿宋_GB2312" w:cs="宋体"/>
          <w:kern w:val="0"/>
          <w:sz w:val="32"/>
          <w:szCs w:val="32"/>
          <w:highlight w:val="none"/>
          <w:lang w:val="en-US" w:eastAsia="zh-CN"/>
        </w:rPr>
        <w:t>东塬学校</w:t>
      </w:r>
      <w:r>
        <w:rPr>
          <w:rFonts w:hint="eastAsia" w:ascii="仿宋_GB2312" w:hAnsi="宋体" w:eastAsia="仿宋_GB2312" w:cs="宋体"/>
          <w:kern w:val="0"/>
          <w:sz w:val="32"/>
          <w:szCs w:val="32"/>
          <w:highlight w:val="none"/>
        </w:rPr>
        <w:t>内设7个职能处（委、</w:t>
      </w:r>
      <w:r>
        <w:rPr>
          <w:rFonts w:hint="eastAsia" w:ascii="仿宋_GB2312" w:hAnsi="黑体" w:eastAsia="仿宋_GB2312"/>
          <w:b w:val="0"/>
          <w:bCs/>
          <w:sz w:val="32"/>
          <w:szCs w:val="32"/>
          <w:highlight w:val="none"/>
        </w:rPr>
        <w:t>室</w:t>
      </w:r>
      <w:r>
        <w:rPr>
          <w:rFonts w:hint="eastAsia" w:ascii="仿宋_GB2312" w:hAnsi="黑体" w:eastAsia="仿宋_GB2312"/>
          <w:b w:val="0"/>
          <w:bCs/>
          <w:sz w:val="32"/>
          <w:szCs w:val="32"/>
        </w:rPr>
        <w:t>）：</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（一）办公室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文件、材料的拟定、收发、呈阅、催办和保管及学校印章的使用和保管；负责会议的通知、记录及教职工考勤工作；协调联络各校长、各处室、各年级组、教研组工作，负责教职工量化考核和年度考核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（二）教务处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制定学校教学工作计划、检查及总结，安排课程、制定校历，组织召开学生、家长座谈会；加强教学常规管理，会同教研室组织教学工作检查和教学质量评估并提出指导性意见和建议；负责招生工作；做好学籍管理工作，依据有关规定做好各种档案的搜集整理归档工作；督促制定完善年级组计划，并按期检查落实。</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（三）教研室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教研工作计划的研讨、制定和修订工作；定期组织任课教师分析教学情况，研究改进措施，以不断提高教学水平和教学质量；加强对教师的业务指导，经常深入课堂，掌握教学进程和教师授课情况，听取学生对教学的反映和意见；统筹安排各教研组教研活动计划，组织教师进行互听、互评课活动。积极开展校际交流、教学教研活动；负责编班工作，组织好各类考试。</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政教处</w:t>
      </w:r>
    </w:p>
    <w:p>
      <w:pPr>
        <w:numPr>
          <w:ilvl w:val="0"/>
          <w:numId w:val="2"/>
        </w:num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协助学校党支部具体工作的落实，组织教职工政治学习，制定相应的学习制度，做好相关记录；帮助班主任搞好学生思想教育和管理工作；负责学生的纪律管理，对学生违纪事件的处理，并做好因违纪给予处分学生的登记建档工作；负责贫困生救助方面的各项工作；负责优秀学生干部、三好学生及先进班集体的评定工作。</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（五）纪检室</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主要职责：负责学校党务、校务、财务公开和相关决策制度执行情况的监督；对师生、家长反映的热点问题进行协调和反馈。</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（六）团委</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传达学习党组织和上级团组织的决议，负责学校团委日常工作；制定团委工作计划，健全基层组织，完善有关规章制度；了解和掌握团员的思想动态和学习情况、针对性的做好思想政治工作；组织开展各种竞赛和文体活动及其他社会实践活动；组织开播校园广播，负责组织升国旗仪式。</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（七）总务处</w:t>
      </w:r>
    </w:p>
    <w:p>
      <w:pPr>
        <w:spacing w:line="840" w:lineRule="exact"/>
        <w:ind w:firstLine="640" w:firstLineChars="200"/>
        <w:rPr>
          <w:rFonts w:hint="eastAsia" w:ascii="仿宋_GB2312" w:hAnsi="黑体" w:eastAsia="仿宋_GB2312"/>
          <w:b w:val="0"/>
          <w:bCs/>
          <w:sz w:val="32"/>
          <w:szCs w:val="32"/>
        </w:rPr>
      </w:pPr>
      <w:r>
        <w:rPr>
          <w:rFonts w:hint="eastAsia" w:ascii="仿宋_GB2312" w:hAnsi="黑体" w:eastAsia="仿宋_GB2312"/>
          <w:b w:val="0"/>
          <w:bCs/>
          <w:sz w:val="32"/>
          <w:szCs w:val="32"/>
        </w:rPr>
        <w:t>主要职责：负责学校后勤工作；负责各类校产的登记、使用及管理工作；负责办公及教学用品的购置、发放和管理工作；抓好后勤人员的管理工作，以不断提高后勤服务工作水平；管理和维护好水、电、暖等的供给维修工作，保障各项工作高效运转。</w:t>
      </w:r>
    </w:p>
    <w:p>
      <w:pPr>
        <w:numPr>
          <w:numId w:val="0"/>
        </w:numPr>
        <w:spacing w:line="640" w:lineRule="exact"/>
        <w:rPr>
          <w:rFonts w:hint="eastAsia"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第二部分  202</w:t>
      </w:r>
      <w:r>
        <w:rPr>
          <w:rFonts w:hint="eastAsia" w:ascii="仿宋_GB2312" w:hAnsi="黑体" w:eastAsia="仿宋_GB2312"/>
          <w:b/>
          <w:color w:val="auto"/>
          <w:sz w:val="32"/>
          <w:szCs w:val="32"/>
          <w:highlight w:val="none"/>
          <w:lang w:val="en-US" w:eastAsia="zh-CN"/>
        </w:rPr>
        <w:t>3</w:t>
      </w:r>
      <w:r>
        <w:rPr>
          <w:rFonts w:hint="eastAsia" w:ascii="仿宋_GB2312" w:hAnsi="黑体" w:eastAsia="仿宋_GB2312"/>
          <w:b/>
          <w:color w:val="auto"/>
          <w:sz w:val="32"/>
          <w:szCs w:val="32"/>
          <w:highlight w:val="none"/>
        </w:rPr>
        <w:t>年部门预算表格</w:t>
      </w:r>
    </w:p>
    <w:p>
      <w:pPr>
        <w:spacing w:line="640" w:lineRule="exact"/>
        <w:ind w:firstLine="1600" w:firstLineChars="50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年部门收支总表</w:t>
      </w:r>
    </w:p>
    <w:p>
      <w:pPr>
        <w:spacing w:line="640" w:lineRule="exact"/>
        <w:ind w:firstLine="1600" w:firstLineChars="5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二、202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年部门收入总表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年部门支出总表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年部门财政拨款收支总表</w:t>
      </w:r>
    </w:p>
    <w:p>
      <w:pPr>
        <w:spacing w:line="640" w:lineRule="exact"/>
        <w:ind w:firstLine="1600" w:firstLineChars="5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五、202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年部门一般公共预算支出表</w:t>
      </w:r>
    </w:p>
    <w:p>
      <w:pPr>
        <w:spacing w:line="640" w:lineRule="exact"/>
        <w:ind w:firstLine="1600" w:firstLineChars="500"/>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六、202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年部门政府性基金预算支出表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七、202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年部门预算经济分类和对应的政府预算经济分类基本支出预算明细表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八、202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年部门预算经济分类和对应的政府预算经济分类项目支出预算明细表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九、202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年部门政府采购预算表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十、202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年部门“三公”经费预算财政拨款情况表</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第三部分  部门预算情况说明</w:t>
      </w:r>
    </w:p>
    <w:p>
      <w:pPr>
        <w:spacing w:line="640" w:lineRule="exact"/>
        <w:ind w:firstLine="1285" w:firstLineChars="400"/>
        <w:rPr>
          <w:rFonts w:ascii="仿宋_GB2312" w:hAnsi="黑体" w:eastAsia="仿宋_GB2312"/>
          <w:color w:val="auto"/>
          <w:sz w:val="32"/>
          <w:szCs w:val="32"/>
          <w:highlight w:val="none"/>
        </w:rPr>
      </w:pPr>
      <w:r>
        <w:rPr>
          <w:rFonts w:hint="eastAsia" w:ascii="仿宋_GB2312" w:hAnsi="黑体" w:eastAsia="仿宋_GB2312"/>
          <w:b/>
          <w:color w:val="auto"/>
          <w:sz w:val="32"/>
          <w:szCs w:val="32"/>
          <w:highlight w:val="none"/>
        </w:rPr>
        <w:t xml:space="preserve">  </w:t>
      </w:r>
      <w:r>
        <w:rPr>
          <w:rFonts w:hint="eastAsia" w:ascii="仿宋_GB2312" w:hAnsi="黑体" w:eastAsia="仿宋_GB2312"/>
          <w:color w:val="auto"/>
          <w:sz w:val="32"/>
          <w:szCs w:val="32"/>
          <w:highlight w:val="none"/>
        </w:rPr>
        <w:t>一、部门预算总体说明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二、部门一般公共预算支出情况说明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三、部门一般公共预算基本支出情况说明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四、部门“三公”经费情况说明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五、部门机关运行经费及政府采购预算情况说明</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第四部分  名词解释</w:t>
      </w: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52"/>
          <w:szCs w:val="52"/>
          <w:highlight w:val="none"/>
        </w:rPr>
      </w:pPr>
      <w:r>
        <w:rPr>
          <w:rFonts w:hint="eastAsia" w:ascii="仿宋_GB2312" w:hAnsi="黑体" w:eastAsia="仿宋_GB2312"/>
          <w:b/>
          <w:color w:val="auto"/>
          <w:sz w:val="52"/>
          <w:szCs w:val="52"/>
          <w:highlight w:val="none"/>
        </w:rPr>
        <w:t>第一部分  部门概况</w:t>
      </w:r>
    </w:p>
    <w:p>
      <w:pPr>
        <w:spacing w:line="640" w:lineRule="exact"/>
        <w:rPr>
          <w:rFonts w:ascii="黑体" w:hAnsi="黑体" w:eastAsia="黑体"/>
          <w:color w:val="auto"/>
          <w:sz w:val="32"/>
          <w:szCs w:val="32"/>
          <w:highlight w:val="none"/>
        </w:rPr>
      </w:pPr>
      <w:r>
        <w:rPr>
          <w:rFonts w:hint="eastAsia" w:ascii="仿宋_GB2312" w:hAnsi="黑体" w:eastAsia="仿宋_GB2312"/>
          <w:color w:val="auto"/>
          <w:sz w:val="32"/>
          <w:szCs w:val="32"/>
          <w:highlight w:val="none"/>
        </w:rPr>
        <w:t xml:space="preserve">  </w:t>
      </w:r>
    </w:p>
    <w:p>
      <w:pPr>
        <w:numPr>
          <w:ilvl w:val="0"/>
          <w:numId w:val="3"/>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spacing w:line="640" w:lineRule="exact"/>
        <w:ind w:firstLine="645"/>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lang w:val="en-US" w:eastAsia="zh-CN"/>
        </w:rPr>
        <w:t>东乡族自治县东塬学校</w:t>
      </w:r>
      <w:r>
        <w:rPr>
          <w:rFonts w:hint="eastAsia" w:ascii="仿宋_GB2312" w:hAnsi="宋体" w:eastAsia="仿宋_GB2312" w:cs="宋体"/>
          <w:color w:val="auto"/>
          <w:kern w:val="0"/>
          <w:sz w:val="32"/>
          <w:szCs w:val="32"/>
          <w:highlight w:val="none"/>
        </w:rPr>
        <w:t>（按照部门“三定”方案填写）</w:t>
      </w: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spacing w:line="840" w:lineRule="exact"/>
        <w:ind w:firstLine="640" w:firstLineChars="200"/>
        <w:rPr>
          <w:rFonts w:ascii="仿宋_GB2312" w:hAnsi="黑体" w:eastAsia="仿宋_GB2312"/>
          <w:b/>
          <w:color w:val="auto"/>
          <w:sz w:val="44"/>
          <w:szCs w:val="44"/>
          <w:highlight w:val="none"/>
        </w:rPr>
      </w:pPr>
      <w:r>
        <w:rPr>
          <w:rFonts w:hint="eastAsia" w:ascii="仿宋_GB2312" w:hAnsi="宋体" w:eastAsia="仿宋_GB2312" w:cs="宋体"/>
          <w:color w:val="auto"/>
          <w:kern w:val="0"/>
          <w:sz w:val="32"/>
          <w:szCs w:val="32"/>
          <w:highlight w:val="none"/>
          <w:lang w:val="en-US" w:eastAsia="zh-CN"/>
        </w:rPr>
        <w:t>东乡族自治县东塬学校</w:t>
      </w:r>
      <w:r>
        <w:rPr>
          <w:rFonts w:hint="eastAsia" w:ascii="仿宋_GB2312" w:hAnsi="宋体" w:eastAsia="仿宋_GB2312" w:cs="宋体"/>
          <w:color w:val="auto"/>
          <w:kern w:val="0"/>
          <w:sz w:val="32"/>
          <w:szCs w:val="32"/>
          <w:highlight w:val="none"/>
        </w:rPr>
        <w:t>（按照部门“三定”方案填写）</w:t>
      </w:r>
    </w:p>
    <w:p>
      <w:pPr>
        <w:spacing w:line="840" w:lineRule="exact"/>
        <w:ind w:left="1767"/>
        <w:rPr>
          <w:rFonts w:ascii="仿宋_GB2312" w:hAnsi="黑体" w:eastAsia="仿宋_GB2312"/>
          <w:b/>
          <w:color w:val="auto"/>
          <w:sz w:val="44"/>
          <w:szCs w:val="44"/>
          <w:highlight w:val="none"/>
        </w:rPr>
      </w:pPr>
    </w:p>
    <w:p>
      <w:pPr>
        <w:spacing w:line="840" w:lineRule="exact"/>
        <w:ind w:left="1767"/>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第二部分  202</w:t>
      </w:r>
      <w:r>
        <w:rPr>
          <w:rFonts w:hint="eastAsia" w:ascii="仿宋_GB2312" w:hAnsi="黑体" w:eastAsia="仿宋_GB2312"/>
          <w:b/>
          <w:color w:val="auto"/>
          <w:sz w:val="52"/>
          <w:szCs w:val="52"/>
          <w:highlight w:val="none"/>
          <w:lang w:val="en-US" w:eastAsia="zh-CN"/>
        </w:rPr>
        <w:t>3</w:t>
      </w:r>
      <w:r>
        <w:rPr>
          <w:rFonts w:hint="eastAsia" w:ascii="仿宋_GB2312" w:hAnsi="黑体" w:eastAsia="仿宋_GB2312"/>
          <w:b/>
          <w:color w:val="auto"/>
          <w:sz w:val="52"/>
          <w:szCs w:val="52"/>
          <w:highlight w:val="none"/>
        </w:rPr>
        <w:t xml:space="preserve">年部门预算表格  </w:t>
      </w:r>
      <w:r>
        <w:rPr>
          <w:rFonts w:hint="eastAsia" w:ascii="仿宋_GB2312" w:hAnsi="黑体" w:eastAsia="仿宋_GB2312"/>
          <w:color w:val="auto"/>
          <w:sz w:val="32"/>
          <w:szCs w:val="32"/>
          <w:highlight w:val="none"/>
        </w:rPr>
        <w:t xml:space="preserve">  </w:t>
      </w: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640" w:lineRule="exact"/>
        <w:ind w:left="640"/>
        <w:rPr>
          <w:rFonts w:ascii="黑体" w:hAnsi="黑体" w:eastAsia="黑体"/>
          <w:color w:val="auto"/>
          <w:sz w:val="32"/>
          <w:szCs w:val="32"/>
          <w:highlight w:val="none"/>
        </w:rPr>
      </w:pPr>
    </w:p>
    <w:p>
      <w:pPr>
        <w:spacing w:line="840" w:lineRule="exact"/>
        <w:jc w:val="center"/>
        <w:rPr>
          <w:rFonts w:ascii="仿宋_GB2312" w:hAnsi="黑体" w:eastAsia="仿宋_GB2312"/>
          <w:b/>
          <w:color w:val="auto"/>
          <w:sz w:val="52"/>
          <w:szCs w:val="52"/>
          <w:highlight w:val="none"/>
        </w:rPr>
      </w:pPr>
      <w:r>
        <w:rPr>
          <w:rFonts w:hint="eastAsia" w:ascii="仿宋_GB2312" w:eastAsia="仿宋_GB2312"/>
          <w:color w:val="auto"/>
          <w:sz w:val="32"/>
          <w:szCs w:val="32"/>
          <w:highlight w:val="none"/>
        </w:rPr>
        <w:t>(本部分共公开</w:t>
      </w:r>
      <w:r>
        <w:rPr>
          <w:rFonts w:ascii="仿宋_GB2312" w:eastAsia="仿宋_GB2312"/>
          <w:color w:val="auto"/>
          <w:sz w:val="32"/>
          <w:szCs w:val="32"/>
          <w:highlight w:val="none"/>
        </w:rPr>
        <w:t>10</w:t>
      </w:r>
      <w:r>
        <w:rPr>
          <w:rFonts w:hint="eastAsia" w:ascii="仿宋_GB2312" w:eastAsia="仿宋_GB2312"/>
          <w:color w:val="auto"/>
          <w:sz w:val="32"/>
          <w:szCs w:val="32"/>
          <w:highlight w:val="none"/>
        </w:rPr>
        <w:t>张表，具体按通知要求公开，注意表格顺序和连续性)</w:t>
      </w: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both"/>
        <w:rPr>
          <w:rFonts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第三部分  部门预算情况说明</w:t>
      </w:r>
      <w:r>
        <w:rPr>
          <w:rFonts w:hint="eastAsia" w:ascii="仿宋_GB2312" w:hAnsi="黑体" w:eastAsia="仿宋_GB2312"/>
          <w:color w:val="auto"/>
          <w:sz w:val="32"/>
          <w:szCs w:val="32"/>
          <w:highlight w:val="none"/>
        </w:rPr>
        <w:t xml:space="preserve">  </w:t>
      </w:r>
    </w:p>
    <w:p>
      <w:pPr>
        <w:spacing w:line="640" w:lineRule="exact"/>
        <w:ind w:firstLine="640" w:firstLineChars="200"/>
        <w:rPr>
          <w:rFonts w:hint="default" w:ascii="黑体" w:hAnsi="黑体" w:eastAsia="黑体"/>
          <w:color w:val="auto"/>
          <w:sz w:val="32"/>
          <w:szCs w:val="32"/>
          <w:highlight w:val="none"/>
          <w:lang w:val="en-US" w:eastAsia="zh-CN"/>
        </w:rPr>
      </w:pPr>
      <w:r>
        <w:rPr>
          <w:rFonts w:hint="eastAsia" w:ascii="黑体" w:hAnsi="黑体" w:eastAsia="黑体"/>
          <w:color w:val="auto"/>
          <w:sz w:val="32"/>
          <w:szCs w:val="32"/>
          <w:highlight w:val="none"/>
        </w:rPr>
        <w:t>一、部门预算总体说明</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数据按照表1、表4）</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年预算收入26060034.03元，比上年预算减少</w:t>
      </w:r>
      <w:r>
        <w:rPr>
          <w:rFonts w:hint="eastAsia" w:ascii="仿宋_GB2312" w:hAnsi="黑体" w:eastAsia="仿宋_GB2312"/>
          <w:color w:val="auto"/>
          <w:sz w:val="32"/>
          <w:szCs w:val="32"/>
          <w:highlight w:val="none"/>
          <w:lang w:val="en-US" w:eastAsia="zh-CN"/>
        </w:rPr>
        <w:t>4025546.53</w:t>
      </w:r>
      <w:r>
        <w:rPr>
          <w:rFonts w:hint="eastAsia" w:ascii="仿宋_GB2312" w:hAnsi="黑体" w:eastAsia="仿宋_GB2312"/>
          <w:color w:val="auto"/>
          <w:sz w:val="32"/>
          <w:szCs w:val="32"/>
          <w:highlight w:val="none"/>
        </w:rPr>
        <w:t>元，其中：一般公共预算财政拨款收入26060034.03元，政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26060034.03</w:t>
      </w:r>
      <w:r>
        <w:rPr>
          <w:rFonts w:hint="eastAsia" w:ascii="仿宋_GB2312" w:hAnsi="宋体" w:eastAsia="仿宋_GB2312"/>
          <w:color w:val="auto"/>
          <w:sz w:val="32"/>
          <w:szCs w:val="32"/>
          <w:highlight w:val="none"/>
        </w:rPr>
        <w:t>元，相应比上年预算数减少</w:t>
      </w:r>
      <w:r>
        <w:rPr>
          <w:rFonts w:hint="eastAsia" w:ascii="仿宋_GB2312" w:hAnsi="黑体" w:eastAsia="仿宋_GB2312"/>
          <w:color w:val="auto"/>
          <w:sz w:val="32"/>
          <w:szCs w:val="32"/>
          <w:highlight w:val="none"/>
          <w:lang w:val="en-US" w:eastAsia="zh-CN"/>
        </w:rPr>
        <w:t>15</w:t>
      </w:r>
      <w:r>
        <w:rPr>
          <w:rFonts w:hint="eastAsia" w:ascii="仿宋_GB2312" w:hAnsi="宋体" w:eastAsia="仿宋_GB2312"/>
          <w:color w:val="auto"/>
          <w:sz w:val="32"/>
          <w:szCs w:val="32"/>
          <w:highlight w:val="none"/>
        </w:rPr>
        <w:t>%。减少的主要原因是：</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lang w:val="en-US" w:eastAsia="zh-CN"/>
        </w:rPr>
        <w:t>经费结余跨年度支付）</w:t>
      </w:r>
    </w:p>
    <w:p>
      <w:pPr>
        <w:spacing w:line="640" w:lineRule="exact"/>
        <w:ind w:firstLine="643" w:firstLineChars="200"/>
        <w:rPr>
          <w:rFonts w:hint="eastAsia" w:ascii="仿宋_GB2312" w:hAnsi="宋体" w:eastAsia="仿宋_GB2312"/>
          <w:color w:val="auto"/>
          <w:sz w:val="32"/>
          <w:szCs w:val="32"/>
          <w:highlight w:val="none"/>
          <w:lang w:eastAsia="zh-CN"/>
        </w:rPr>
      </w:pPr>
      <w:r>
        <w:rPr>
          <w:rFonts w:hint="eastAsia" w:ascii="仿宋_GB2312" w:hAnsi="黑体" w:eastAsia="仿宋_GB2312"/>
          <w:b/>
          <w:color w:val="auto"/>
          <w:sz w:val="32"/>
          <w:szCs w:val="32"/>
          <w:highlight w:val="none"/>
        </w:rPr>
        <w:t>支出按功能分类科目安排为：</w:t>
      </w:r>
      <w:r>
        <w:rPr>
          <w:rFonts w:hint="eastAsia" w:ascii="仿宋_GB2312" w:hAnsi="宋体" w:eastAsia="仿宋_GB2312"/>
          <w:color w:val="auto"/>
          <w:sz w:val="32"/>
          <w:szCs w:val="32"/>
          <w:highlight w:val="none"/>
          <w:lang w:eastAsia="zh-CN"/>
        </w:rPr>
        <w:t>（</w:t>
      </w:r>
      <w:r>
        <w:rPr>
          <w:rFonts w:hint="eastAsia" w:ascii="黑体" w:hAnsi="黑体" w:eastAsia="黑体"/>
          <w:color w:val="auto"/>
          <w:sz w:val="32"/>
          <w:szCs w:val="32"/>
          <w:highlight w:val="none"/>
          <w:lang w:val="en-US" w:eastAsia="zh-CN"/>
        </w:rPr>
        <w:t>数据按照表1、表4，按支出科目填写完整）</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319104.72</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319104.72</w:t>
      </w:r>
      <w:r>
        <w:rPr>
          <w:rFonts w:hint="eastAsia" w:ascii="仿宋_GB2312" w:hAnsi="宋体" w:eastAsia="仿宋_GB2312"/>
          <w:color w:val="auto"/>
          <w:sz w:val="32"/>
          <w:szCs w:val="32"/>
          <w:highlight w:val="none"/>
        </w:rPr>
        <w:t>元，比上年预算数减少</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w:t>
      </w:r>
    </w:p>
    <w:p>
      <w:pPr>
        <w:spacing w:line="640" w:lineRule="exact"/>
        <w:ind w:firstLine="640" w:firstLineChars="200"/>
        <w:rPr>
          <w:rFonts w:hint="eastAsia" w:ascii="仿宋_GB2312" w:hAnsi="黑体" w:eastAsia="仿宋_GB2312"/>
          <w:color w:val="auto"/>
          <w:sz w:val="32"/>
          <w:szCs w:val="32"/>
          <w:highlight w:val="none"/>
        </w:rPr>
      </w:pP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2831019.46元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69</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rPr>
        <w:t>卫生健康支出</w:t>
      </w:r>
      <w:r>
        <w:rPr>
          <w:rFonts w:hint="eastAsia" w:ascii="仿宋_GB2312" w:hAnsi="黑体" w:eastAsia="仿宋_GB2312"/>
          <w:color w:val="auto"/>
          <w:sz w:val="32"/>
          <w:szCs w:val="32"/>
          <w:highlight w:val="none"/>
        </w:rPr>
        <w:t>1077054.7元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9</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住房保障支出</w:t>
      </w:r>
      <w:r>
        <w:rPr>
          <w:rFonts w:hint="eastAsia" w:ascii="仿宋_GB2312" w:hAnsi="黑体" w:eastAsia="仿宋_GB2312"/>
          <w:color w:val="auto"/>
          <w:sz w:val="32"/>
          <w:szCs w:val="32"/>
          <w:highlight w:val="none"/>
        </w:rPr>
        <w:t>1943347.74元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9</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val="en-US" w:eastAsia="zh-CN"/>
        </w:rPr>
        <w:t>工会支出（涉及本单位科目逐项说明）：</w:t>
      </w:r>
      <w:r>
        <w:rPr>
          <w:rFonts w:hint="eastAsia" w:ascii="仿宋_GB2312" w:hAnsi="宋体" w:eastAsia="仿宋_GB2312"/>
          <w:color w:val="auto"/>
          <w:sz w:val="32"/>
          <w:szCs w:val="32"/>
          <w:highlight w:val="none"/>
          <w:lang w:eastAsia="zh-CN"/>
        </w:rPr>
        <w:t>支出</w:t>
      </w:r>
      <w:r>
        <w:rPr>
          <w:rFonts w:hint="eastAsia" w:ascii="仿宋_GB2312" w:hAnsi="黑体" w:eastAsia="仿宋_GB2312"/>
          <w:color w:val="auto"/>
          <w:sz w:val="32"/>
          <w:szCs w:val="32"/>
          <w:highlight w:val="none"/>
        </w:rPr>
        <w:t>319104.72元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少年宫科目（涉及本单位科目逐项说明）：</w:t>
      </w:r>
      <w:r>
        <w:rPr>
          <w:rFonts w:hint="eastAsia" w:ascii="仿宋_GB2312" w:hAnsi="宋体" w:eastAsia="仿宋_GB2312"/>
          <w:color w:val="auto"/>
          <w:sz w:val="32"/>
          <w:szCs w:val="32"/>
          <w:highlight w:val="none"/>
          <w:lang w:eastAsia="zh-CN"/>
        </w:rPr>
        <w:t>支出</w:t>
      </w:r>
      <w:r>
        <w:rPr>
          <w:rFonts w:hint="eastAsia" w:ascii="仿宋_GB2312" w:hAnsi="宋体" w:eastAsia="仿宋_GB2312"/>
          <w:color w:val="auto"/>
          <w:sz w:val="32"/>
          <w:szCs w:val="32"/>
          <w:highlight w:val="none"/>
          <w:lang w:val="en-US" w:eastAsia="zh-CN"/>
        </w:rPr>
        <w:t>28000</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lang w:eastAsia="zh-CN"/>
        </w:rPr>
        <w:t>。</w:t>
      </w:r>
    </w:p>
    <w:p>
      <w:pPr>
        <w:spacing w:line="640" w:lineRule="exact"/>
        <w:ind w:firstLine="643" w:firstLineChars="200"/>
        <w:rPr>
          <w:rFonts w:hint="default" w:ascii="仿宋_GB2312" w:hAnsi="黑体" w:eastAsia="仿宋_GB2312"/>
          <w:b/>
          <w:color w:val="auto"/>
          <w:sz w:val="32"/>
          <w:szCs w:val="32"/>
          <w:highlight w:val="none"/>
          <w:lang w:val="en-US" w:eastAsia="zh-CN"/>
        </w:rPr>
      </w:pPr>
      <w:r>
        <w:rPr>
          <w:rFonts w:hint="eastAsia" w:ascii="仿宋_GB2312" w:hAnsi="黑体" w:eastAsia="仿宋_GB2312"/>
          <w:b/>
          <w:color w:val="auto"/>
          <w:sz w:val="32"/>
          <w:szCs w:val="32"/>
          <w:highlight w:val="none"/>
        </w:rPr>
        <w:t>支出按经济分类科目安排为：</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数据按照表7）</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工资福利支出</w:t>
      </w:r>
      <w:r>
        <w:rPr>
          <w:rFonts w:hint="eastAsia" w:ascii="仿宋_GB2312" w:hAnsi="黑体" w:eastAsia="仿宋_GB2312"/>
          <w:color w:val="auto"/>
          <w:sz w:val="32"/>
          <w:szCs w:val="32"/>
          <w:highlight w:val="none"/>
        </w:rPr>
        <w:t>25533429.31</w:t>
      </w:r>
      <w:r>
        <w:rPr>
          <w:rFonts w:hint="eastAsia" w:ascii="仿宋_GB2312" w:hAnsi="宋体" w:eastAsia="仿宋_GB2312"/>
          <w:color w:val="auto"/>
          <w:sz w:val="32"/>
          <w:szCs w:val="32"/>
          <w:highlight w:val="none"/>
        </w:rPr>
        <w:t>元，商品和服务</w:t>
      </w:r>
      <w:r>
        <w:rPr>
          <w:rFonts w:hint="eastAsia" w:ascii="仿宋_GB2312" w:hAnsi="黑体" w:eastAsia="仿宋_GB2312"/>
          <w:color w:val="auto"/>
          <w:sz w:val="32"/>
          <w:szCs w:val="32"/>
          <w:highlight w:val="none"/>
        </w:rPr>
        <w:t>319104.72</w:t>
      </w:r>
      <w:r>
        <w:rPr>
          <w:rFonts w:hint="eastAsia" w:ascii="仿宋_GB2312" w:hAnsi="宋体" w:eastAsia="仿宋_GB2312"/>
          <w:color w:val="auto"/>
          <w:sz w:val="32"/>
          <w:szCs w:val="32"/>
          <w:highlight w:val="none"/>
        </w:rPr>
        <w:t>元，对个人和家庭的补助</w:t>
      </w:r>
      <w:r>
        <w:rPr>
          <w:rFonts w:hint="eastAsia" w:ascii="仿宋_GB2312" w:hAnsi="黑体" w:eastAsia="仿宋_GB2312"/>
          <w:color w:val="auto"/>
          <w:sz w:val="32"/>
          <w:szCs w:val="32"/>
          <w:highlight w:val="none"/>
        </w:rPr>
        <w:t>207500</w:t>
      </w:r>
      <w:r>
        <w:rPr>
          <w:rFonts w:hint="eastAsia" w:ascii="仿宋_GB2312" w:hAnsi="宋体" w:eastAsia="仿宋_GB2312"/>
          <w:color w:val="auto"/>
          <w:sz w:val="32"/>
          <w:szCs w:val="32"/>
          <w:highlight w:val="none"/>
        </w:rPr>
        <w:t>元。</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数据按照表6）</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（一）一般公共服务支出</w:t>
      </w:r>
      <w:r>
        <w:rPr>
          <w:rFonts w:hint="eastAsia" w:ascii="楷体_GB2312" w:hAnsi="黑体" w:eastAsia="楷体_GB2312"/>
          <w:b/>
          <w:color w:val="auto"/>
          <w:sz w:val="32"/>
          <w:szCs w:val="32"/>
          <w:highlight w:val="none"/>
          <w:lang w:val="en-US" w:eastAsia="zh-CN"/>
        </w:rPr>
        <w:t>第一</w:t>
      </w:r>
      <w:r>
        <w:rPr>
          <w:rFonts w:hint="eastAsia" w:ascii="楷体_GB2312" w:hAnsi="黑体" w:eastAsia="楷体_GB2312"/>
          <w:b/>
          <w:color w:val="auto"/>
          <w:sz w:val="32"/>
          <w:szCs w:val="32"/>
          <w:highlight w:val="none"/>
        </w:rPr>
        <w:t>（类</w:t>
      </w:r>
      <w:r>
        <w:rPr>
          <w:rFonts w:hint="eastAsia" w:ascii="楷体_GB2312" w:hAnsi="黑体" w:eastAsia="楷体_GB2312"/>
          <w:b/>
          <w:color w:val="auto"/>
          <w:sz w:val="32"/>
          <w:szCs w:val="32"/>
          <w:highlight w:val="none"/>
          <w:lang w:eastAsia="zh-CN"/>
        </w:rPr>
        <w:t>）</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年预算支出319104.72元，比上年预算数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。其中：</w:t>
      </w:r>
      <w:r>
        <w:rPr>
          <w:rFonts w:hint="eastAsia" w:ascii="仿宋_GB2312" w:hAnsi="黑体" w:eastAsia="仿宋_GB2312"/>
          <w:color w:val="auto"/>
          <w:sz w:val="32"/>
          <w:szCs w:val="32"/>
          <w:highlight w:val="none"/>
          <w:lang w:val="en-US" w:eastAsia="zh-CN"/>
        </w:rPr>
        <w:t>1</w:t>
      </w:r>
      <w:r>
        <w:rPr>
          <w:rFonts w:hint="eastAsia" w:ascii="仿宋_GB2312" w:hAnsi="黑体" w:eastAsia="仿宋_GB2312"/>
          <w:color w:val="auto"/>
          <w:sz w:val="32"/>
          <w:szCs w:val="32"/>
          <w:highlight w:val="none"/>
        </w:rPr>
        <w:t>（项）202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年预算支出319104.72元，比上年预算数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（二）社会保障和就业支出（类）</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年预算支出2831019.46元，变化情况：</w:t>
      </w:r>
      <w:r>
        <w:rPr>
          <w:rFonts w:hint="eastAsia" w:ascii="仿宋_GB2312" w:hAnsi="黑体" w:eastAsia="仿宋_GB2312"/>
          <w:color w:val="auto"/>
          <w:sz w:val="32"/>
          <w:szCs w:val="32"/>
          <w:highlight w:val="none"/>
          <w:lang w:val="en-US" w:eastAsia="zh-CN"/>
        </w:rPr>
        <w:t>1961393.57</w:t>
      </w:r>
      <w:r>
        <w:rPr>
          <w:rFonts w:hint="eastAsia" w:ascii="仿宋_GB2312" w:hAnsi="黑体" w:eastAsia="仿宋_GB2312"/>
          <w:color w:val="auto"/>
          <w:sz w:val="32"/>
          <w:szCs w:val="32"/>
          <w:highlight w:val="none"/>
        </w:rPr>
        <w:t>。其中：</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val="en-US" w:eastAsia="zh-CN"/>
        </w:rPr>
        <w:t>5</w:t>
      </w:r>
      <w:r>
        <w:rPr>
          <w:rFonts w:hint="eastAsia" w:ascii="仿宋_GB2312" w:hAnsi="黑体" w:eastAsia="仿宋_GB2312"/>
          <w:color w:val="auto"/>
          <w:sz w:val="32"/>
          <w:szCs w:val="32"/>
          <w:highlight w:val="none"/>
        </w:rPr>
        <w:t>（项）202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年预算支出2798630.33元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rPr>
        <w:t>2798630.33</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p>
    <w:p>
      <w:pPr>
        <w:numPr>
          <w:ilvl w:val="0"/>
          <w:numId w:val="4"/>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卫生健康支出（类）</w:t>
      </w:r>
      <w:r>
        <w:rPr>
          <w:rFonts w:hint="eastAsia" w:ascii="楷体_GB2312" w:hAnsi="黑体" w:eastAsia="楷体_GB2312"/>
          <w:b/>
          <w:color w:val="auto"/>
          <w:sz w:val="32"/>
          <w:szCs w:val="32"/>
          <w:highlight w:val="none"/>
          <w:lang w:val="en-US" w:eastAsia="zh-CN"/>
        </w:rPr>
        <w:t>12</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年预算支出1077054.7元，比上年预算数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9</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w:t>
      </w:r>
    </w:p>
    <w:p>
      <w:pPr>
        <w:numPr>
          <w:ilvl w:val="0"/>
          <w:numId w:val="4"/>
        </w:num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四）</w:t>
      </w:r>
      <w:r>
        <w:rPr>
          <w:rFonts w:hint="eastAsia" w:ascii="楷体_GB2312" w:hAnsi="黑体" w:eastAsia="楷体_GB2312"/>
          <w:b/>
          <w:color w:val="auto"/>
          <w:sz w:val="32"/>
          <w:szCs w:val="32"/>
          <w:highlight w:val="none"/>
          <w:lang w:eastAsia="zh-CN"/>
        </w:rPr>
        <w:t>住房保障支出（</w:t>
      </w:r>
      <w:r>
        <w:rPr>
          <w:rFonts w:hint="eastAsia" w:ascii="楷体_GB2312" w:hAnsi="黑体" w:eastAsia="楷体_GB2312"/>
          <w:b/>
          <w:color w:val="auto"/>
          <w:sz w:val="32"/>
          <w:szCs w:val="32"/>
          <w:highlight w:val="none"/>
        </w:rPr>
        <w:t>类）</w:t>
      </w:r>
      <w:r>
        <w:rPr>
          <w:rFonts w:hint="eastAsia" w:ascii="楷体_GB2312" w:hAnsi="黑体" w:eastAsia="楷体_GB2312"/>
          <w:b/>
          <w:color w:val="auto"/>
          <w:sz w:val="32"/>
          <w:szCs w:val="32"/>
          <w:highlight w:val="none"/>
          <w:lang w:val="en-US" w:eastAsia="zh-CN"/>
        </w:rPr>
        <w:t>02</w:t>
      </w:r>
      <w:r>
        <w:rPr>
          <w:rFonts w:hint="eastAsia" w:ascii="楷体_GB2312" w:hAnsi="黑体" w:eastAsia="楷体_GB2312"/>
          <w:b/>
          <w:color w:val="auto"/>
          <w:sz w:val="32"/>
          <w:szCs w:val="32"/>
          <w:highlight w:val="none"/>
        </w:rPr>
        <w:t>（款）</w:t>
      </w: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年预算支出1943347.74元，比上年预算数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9</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w:t>
      </w:r>
    </w:p>
    <w:p>
      <w:pPr>
        <w:spacing w:line="640" w:lineRule="exact"/>
        <w:ind w:firstLine="640" w:firstLineChars="20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三、部门一般公共预算基本支出情况说明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数据按照表7）</w:t>
      </w:r>
    </w:p>
    <w:p>
      <w:pPr>
        <w:ind w:firstLine="640" w:firstLineChars="200"/>
        <w:rPr>
          <w:color w:val="auto"/>
          <w:highlight w:val="none"/>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年一般公共预算基本支出26060034.03元，其中：人员经费</w:t>
      </w:r>
      <w:r>
        <w:rPr>
          <w:rFonts w:hint="eastAsia" w:ascii="仿宋_GB2312" w:hAnsi="黑体" w:eastAsia="仿宋_GB2312"/>
          <w:color w:val="auto"/>
          <w:sz w:val="32"/>
          <w:szCs w:val="32"/>
          <w:highlight w:val="none"/>
          <w:lang w:val="en-US" w:eastAsia="zh-CN"/>
        </w:rPr>
        <w:t>25740929.31</w:t>
      </w:r>
      <w:r>
        <w:rPr>
          <w:rFonts w:hint="eastAsia" w:ascii="仿宋_GB2312" w:hAnsi="黑体" w:eastAsia="仿宋_GB2312"/>
          <w:color w:val="auto"/>
          <w:sz w:val="32"/>
          <w:szCs w:val="32"/>
          <w:highlight w:val="none"/>
        </w:rPr>
        <w:t>元，单位运转经费319104.72元，比上年预算数</w:t>
      </w:r>
      <w:r>
        <w:rPr>
          <w:rFonts w:hint="eastAsia" w:ascii="仿宋_GB2312" w:hAnsi="宋体" w:eastAsia="仿宋_GB2312"/>
          <w:color w:val="auto"/>
          <w:sz w:val="32"/>
          <w:szCs w:val="32"/>
          <w:highlight w:val="none"/>
          <w:lang w:val="en-US" w:eastAsia="zh-CN"/>
        </w:rPr>
        <w:t>增加</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四、部门“三公”经费情况说明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数据按照表8）</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（一）因公出国（境）费</w:t>
      </w:r>
      <w:r>
        <w:rPr>
          <w:rFonts w:hint="eastAsia" w:ascii="楷体_GB2312" w:hAnsi="黑体" w:eastAsia="楷体_GB2312"/>
          <w:b/>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无</w:t>
      </w:r>
      <w:r>
        <w:rPr>
          <w:rFonts w:hint="eastAsia" w:ascii="仿宋_GB2312" w:hAnsi="黑体" w:eastAsia="仿宋_GB2312"/>
          <w:color w:val="auto"/>
          <w:sz w:val="32"/>
          <w:szCs w:val="32"/>
          <w:highlight w:val="none"/>
        </w:rPr>
        <w:t>变化情况。</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于</w:t>
      </w:r>
      <w:r>
        <w:rPr>
          <w:rFonts w:hint="eastAsia" w:ascii="仿宋_GB2312" w:hAnsi="黑体" w:eastAsia="仿宋_GB2312"/>
          <w:color w:val="auto"/>
          <w:sz w:val="32"/>
          <w:szCs w:val="32"/>
          <w:highlight w:val="none"/>
        </w:rPr>
        <w:t>上年预算数</w:t>
      </w:r>
      <w:r>
        <w:rPr>
          <w:rFonts w:hint="eastAsia" w:ascii="仿宋_GB2312" w:hAnsi="宋体" w:eastAsia="仿宋_GB2312"/>
          <w:color w:val="auto"/>
          <w:sz w:val="32"/>
          <w:szCs w:val="32"/>
          <w:highlight w:val="none"/>
          <w:lang w:val="en-US"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五、部门机关运行经费及政府采购预算情况说明</w:t>
      </w:r>
      <w:r>
        <w:rPr>
          <w:rFonts w:hint="eastAsia" w:ascii="仿宋_GB2312" w:hAnsi="黑体" w:eastAsia="仿宋_GB2312"/>
          <w:b/>
          <w:color w:val="auto"/>
          <w:sz w:val="32"/>
          <w:szCs w:val="32"/>
          <w:highlight w:val="none"/>
          <w:lang w:eastAsia="zh-CN"/>
        </w:rPr>
        <w:t>（</w:t>
      </w:r>
      <w:r>
        <w:rPr>
          <w:rFonts w:hint="eastAsia" w:ascii="黑体" w:hAnsi="黑体" w:eastAsia="黑体"/>
          <w:color w:val="auto"/>
          <w:sz w:val="32"/>
          <w:szCs w:val="32"/>
          <w:highlight w:val="none"/>
          <w:lang w:val="en-US" w:eastAsia="zh-CN"/>
        </w:rPr>
        <w:t>数据按照表9）</w:t>
      </w:r>
    </w:p>
    <w:p>
      <w:pPr>
        <w:spacing w:line="640" w:lineRule="exact"/>
        <w:ind w:firstLine="640" w:firstLineChars="200"/>
        <w:rPr>
          <w:rFonts w:hint="eastAsia" w:ascii="仿宋_GB2312" w:hAnsi="黑体" w:eastAsia="仿宋_GB2312"/>
          <w:b/>
          <w:color w:val="auto"/>
          <w:sz w:val="52"/>
          <w:szCs w:val="52"/>
          <w:highlight w:val="none"/>
        </w:rPr>
      </w:pPr>
      <w:r>
        <w:rPr>
          <w:rFonts w:hint="eastAsia" w:ascii="仿宋_GB2312" w:hAnsi="黑体" w:eastAsia="仿宋_GB2312"/>
          <w:color w:val="auto"/>
          <w:sz w:val="32"/>
          <w:szCs w:val="32"/>
          <w:highlight w:val="none"/>
        </w:rPr>
        <w:t>202</w:t>
      </w: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年机关运行经费预算319104.72元，比上年预算数增加319104.72元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lang w:val="en-US" w:eastAsia="zh-CN"/>
        </w:rPr>
        <w:t>主要为新成立工会运行经费</w:t>
      </w:r>
      <w:r>
        <w:rPr>
          <w:rFonts w:hint="eastAsia" w:ascii="仿宋_GB2312" w:hAnsi="黑体" w:eastAsia="仿宋_GB2312"/>
          <w:color w:val="auto"/>
          <w:sz w:val="32"/>
          <w:szCs w:val="32"/>
          <w:highlight w:val="none"/>
        </w:rPr>
        <w:t>。</w:t>
      </w: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第四部分  名词解释</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（一）财政拨款收入：</w:t>
      </w:r>
      <w:r>
        <w:rPr>
          <w:rFonts w:ascii="仿宋_GB2312" w:hAnsi="黑体" w:eastAsia="仿宋_GB2312"/>
          <w:color w:val="auto"/>
          <w:sz w:val="32"/>
          <w:szCs w:val="32"/>
          <w:highlight w:val="none"/>
        </w:rPr>
        <w:t>指由</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财政拨款形成的部门收入。按照现行预算管理制度，</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（二）上年结转：</w:t>
      </w:r>
      <w:r>
        <w:rPr>
          <w:rFonts w:ascii="仿宋_GB2312" w:hAnsi="黑体" w:eastAsia="仿宋_GB2312"/>
          <w:color w:val="auto"/>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（三）基本支出：</w:t>
      </w:r>
      <w:r>
        <w:rPr>
          <w:rFonts w:ascii="仿宋_GB2312" w:hAnsi="黑体" w:eastAsia="仿宋_GB2312"/>
          <w:color w:val="auto"/>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（四）项目支出：</w:t>
      </w:r>
      <w:r>
        <w:rPr>
          <w:rFonts w:ascii="仿宋_GB2312" w:hAnsi="黑体" w:eastAsia="仿宋_GB2312"/>
          <w:color w:val="auto"/>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（五）三公经费：</w:t>
      </w:r>
      <w:r>
        <w:rPr>
          <w:rFonts w:ascii="仿宋_GB2312" w:hAnsi="黑体" w:eastAsia="仿宋_GB2312"/>
          <w:color w:val="auto"/>
          <w:sz w:val="32"/>
          <w:szCs w:val="32"/>
          <w:highlight w:val="none"/>
        </w:rPr>
        <w:t>是指</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部门用财政拨款安排的因公出国（境）费，公务接待费</w:t>
      </w:r>
      <w:r>
        <w:rPr>
          <w:rFonts w:hint="eastAsia" w:ascii="仿宋_GB2312" w:hAnsi="黑体" w:eastAsia="仿宋_GB2312"/>
          <w:color w:val="auto"/>
          <w:sz w:val="32"/>
          <w:szCs w:val="32"/>
          <w:highlight w:val="none"/>
        </w:rPr>
        <w:t>，</w:t>
      </w:r>
      <w:r>
        <w:rPr>
          <w:rFonts w:ascii="仿宋_GB2312" w:hAnsi="黑体" w:eastAsia="仿宋_GB2312"/>
          <w:color w:val="auto"/>
          <w:sz w:val="32"/>
          <w:szCs w:val="32"/>
          <w:highlight w:val="none"/>
        </w:rPr>
        <w:t>公务用车购置及运行费。</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（六）机关运行经费：</w:t>
      </w:r>
      <w:r>
        <w:rPr>
          <w:rFonts w:ascii="仿宋_GB2312" w:hAnsi="黑体"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olor w:val="auto"/>
          <w:sz w:val="32"/>
          <w:szCs w:val="32"/>
          <w:highlight w:val="none"/>
        </w:rPr>
      </w:pPr>
    </w:p>
    <w:p>
      <w:pPr>
        <w:ind w:firstLine="643" w:firstLineChars="200"/>
        <w:jc w:val="center"/>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填表说明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E396E"/>
    <w:multiLevelType w:val="singleLevel"/>
    <w:tmpl w:val="90EE396E"/>
    <w:lvl w:ilvl="0" w:tentative="0">
      <w:start w:val="4"/>
      <w:numFmt w:val="chineseCounting"/>
      <w:suff w:val="nothing"/>
      <w:lvlText w:val="（%1）"/>
      <w:lvlJc w:val="left"/>
      <w:rPr>
        <w:rFonts w:hint="eastAsia"/>
      </w:rPr>
    </w:lvl>
  </w:abstractNum>
  <w:abstractNum w:abstractNumId="1">
    <w:nsid w:val="FB6C6E07"/>
    <w:multiLevelType w:val="singleLevel"/>
    <w:tmpl w:val="FB6C6E07"/>
    <w:lvl w:ilvl="0" w:tentative="0">
      <w:start w:val="3"/>
      <w:numFmt w:val="chineseCounting"/>
      <w:suff w:val="nothing"/>
      <w:lvlText w:val="（%1）"/>
      <w:lvlJc w:val="left"/>
      <w:rPr>
        <w:rFonts w:hint="eastAsia"/>
      </w:rPr>
    </w:lvl>
  </w:abstractNum>
  <w:abstractNum w:abstractNumId="2">
    <w:nsid w:val="337F5EE2"/>
    <w:multiLevelType w:val="singleLevel"/>
    <w:tmpl w:val="337F5EE2"/>
    <w:lvl w:ilvl="0" w:tentative="0">
      <w:start w:val="2"/>
      <w:numFmt w:val="chineseCounting"/>
      <w:suff w:val="nothing"/>
      <w:lvlText w:val="%1、"/>
      <w:lvlJc w:val="left"/>
      <w:rPr>
        <w:rFonts w:hint="eastAsia"/>
      </w:rPr>
    </w:lvl>
  </w:abstractNum>
  <w:abstractNum w:abstractNumId="3">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kNjBjMTYxMTVjN2IyYWZlYzg5MDFlYTA1YzNiNjk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5A34EF"/>
    <w:rsid w:val="047D2F82"/>
    <w:rsid w:val="060021DC"/>
    <w:rsid w:val="064D410C"/>
    <w:rsid w:val="06746E88"/>
    <w:rsid w:val="06821B95"/>
    <w:rsid w:val="0689383B"/>
    <w:rsid w:val="07EA6CFD"/>
    <w:rsid w:val="097F724C"/>
    <w:rsid w:val="0A116753"/>
    <w:rsid w:val="0B896034"/>
    <w:rsid w:val="0D824E94"/>
    <w:rsid w:val="0E6F37D9"/>
    <w:rsid w:val="112936A0"/>
    <w:rsid w:val="1250416D"/>
    <w:rsid w:val="127B3B2F"/>
    <w:rsid w:val="13B82E0D"/>
    <w:rsid w:val="141D039C"/>
    <w:rsid w:val="17432B85"/>
    <w:rsid w:val="17AC7EF2"/>
    <w:rsid w:val="1909264A"/>
    <w:rsid w:val="198119BE"/>
    <w:rsid w:val="19A075E2"/>
    <w:rsid w:val="1B143B5A"/>
    <w:rsid w:val="1B78482C"/>
    <w:rsid w:val="1C6D1D31"/>
    <w:rsid w:val="1D654F62"/>
    <w:rsid w:val="204B1966"/>
    <w:rsid w:val="205A7194"/>
    <w:rsid w:val="210F4887"/>
    <w:rsid w:val="21BE3F87"/>
    <w:rsid w:val="22273516"/>
    <w:rsid w:val="2233056C"/>
    <w:rsid w:val="23513756"/>
    <w:rsid w:val="250F1490"/>
    <w:rsid w:val="25662E27"/>
    <w:rsid w:val="29183639"/>
    <w:rsid w:val="292A0545"/>
    <w:rsid w:val="29EC23D0"/>
    <w:rsid w:val="2B26350E"/>
    <w:rsid w:val="2B5C1C56"/>
    <w:rsid w:val="2BCF3D4E"/>
    <w:rsid w:val="2D550DF7"/>
    <w:rsid w:val="2DBA0562"/>
    <w:rsid w:val="31352995"/>
    <w:rsid w:val="322E1FC9"/>
    <w:rsid w:val="32A96D1A"/>
    <w:rsid w:val="339E2D01"/>
    <w:rsid w:val="34032DB0"/>
    <w:rsid w:val="34B82D6F"/>
    <w:rsid w:val="373703E1"/>
    <w:rsid w:val="37580FE7"/>
    <w:rsid w:val="39276F80"/>
    <w:rsid w:val="396616D2"/>
    <w:rsid w:val="39A71DAE"/>
    <w:rsid w:val="3D8C4411"/>
    <w:rsid w:val="3FB86B84"/>
    <w:rsid w:val="40465DD0"/>
    <w:rsid w:val="40CC1D5D"/>
    <w:rsid w:val="416268DB"/>
    <w:rsid w:val="42B07FE6"/>
    <w:rsid w:val="43365961"/>
    <w:rsid w:val="4407632C"/>
    <w:rsid w:val="452F6292"/>
    <w:rsid w:val="46AC58DB"/>
    <w:rsid w:val="47AF499B"/>
    <w:rsid w:val="484D612A"/>
    <w:rsid w:val="48A9072C"/>
    <w:rsid w:val="4C7C718B"/>
    <w:rsid w:val="4D903B41"/>
    <w:rsid w:val="4DA8126D"/>
    <w:rsid w:val="4DD72226"/>
    <w:rsid w:val="4E4A12EF"/>
    <w:rsid w:val="4EA300AE"/>
    <w:rsid w:val="4F97680F"/>
    <w:rsid w:val="50185588"/>
    <w:rsid w:val="50622DD8"/>
    <w:rsid w:val="51C77E42"/>
    <w:rsid w:val="535B5E3F"/>
    <w:rsid w:val="53F114F8"/>
    <w:rsid w:val="54B1376D"/>
    <w:rsid w:val="56311F34"/>
    <w:rsid w:val="564548F7"/>
    <w:rsid w:val="565305B1"/>
    <w:rsid w:val="56C73340"/>
    <w:rsid w:val="59441D15"/>
    <w:rsid w:val="5A3206F2"/>
    <w:rsid w:val="5A625C12"/>
    <w:rsid w:val="5EF024F4"/>
    <w:rsid w:val="61EF1B1B"/>
    <w:rsid w:val="621A3658"/>
    <w:rsid w:val="62B62979"/>
    <w:rsid w:val="633E7AAA"/>
    <w:rsid w:val="63584057"/>
    <w:rsid w:val="64252B6E"/>
    <w:rsid w:val="651520BC"/>
    <w:rsid w:val="65923509"/>
    <w:rsid w:val="661A6258"/>
    <w:rsid w:val="6A136FDE"/>
    <w:rsid w:val="6A752B54"/>
    <w:rsid w:val="6EA6456E"/>
    <w:rsid w:val="74517818"/>
    <w:rsid w:val="75840CDB"/>
    <w:rsid w:val="759F5F29"/>
    <w:rsid w:val="75FA50B5"/>
    <w:rsid w:val="77781E83"/>
    <w:rsid w:val="78062181"/>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2522</Words>
  <Characters>2891</Characters>
  <Lines>16</Lines>
  <Paragraphs>4</Paragraphs>
  <TotalTime>0</TotalTime>
  <ScaleCrop>false</ScaleCrop>
  <LinksUpToDate>false</LinksUpToDate>
  <CharactersWithSpaces>2941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123</cp:lastModifiedBy>
  <cp:lastPrinted>2022-04-13T10:13:00Z</cp:lastPrinted>
  <dcterms:modified xsi:type="dcterms:W3CDTF">2023-04-28T02:23:47Z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CA347A355A5249F6A23FDE401FC5EDCA_13</vt:lpwstr>
  </property>
</Properties>
</file>