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东乡族自治县果园镇</w:t>
      </w:r>
      <w:r>
        <w:rPr>
          <w:rFonts w:hint="eastAsia" w:ascii="仿宋_GB2312" w:hAnsi="仿宋_GB2312" w:eastAsia="仿宋_GB2312" w:cs="仿宋_GB2312"/>
          <w:sz w:val="32"/>
          <w:szCs w:val="32"/>
          <w:lang w:val="en-US" w:eastAsia="zh-CN"/>
        </w:rPr>
        <w:t>卫生院</w:t>
      </w:r>
      <w:r>
        <w:rPr>
          <w:rFonts w:hint="eastAsia" w:ascii="仿宋_GB2312" w:hAnsi="仿宋_GB2312" w:eastAsia="仿宋_GB2312" w:cs="仿宋_GB2312"/>
          <w:sz w:val="32"/>
          <w:szCs w:val="32"/>
          <w:lang w:val="zh-CN"/>
        </w:rPr>
        <w:t>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rPr>
          <w:rFonts w:hint="eastAsia" w:ascii="仿宋_GB2312" w:eastAsia="仿宋_GB2312" w:cs="Times New Roman"/>
          <w:color w:val="auto"/>
          <w:sz w:val="30"/>
          <w:szCs w:val="30"/>
          <w:highlight w:val="none"/>
          <w:lang w:eastAsia="zh-CN"/>
        </w:rPr>
      </w:pPr>
      <w:r>
        <w:rPr>
          <w:rFonts w:hint="eastAsia" w:ascii="方正仿宋_GB2312" w:hAnsi="方正仿宋_GB2312" w:eastAsia="方正仿宋_GB2312" w:cs="方正仿宋_GB2312"/>
          <w:sz w:val="28"/>
          <w:szCs w:val="28"/>
          <w:lang w:val="en-US" w:eastAsia="zh-CN"/>
        </w:rPr>
        <w:t>我卫生院位于东乡族自治县果园镇陈何村牟家二社101号，辖区内共有村卫生室10所，均配有合格的村医开展基本医疗和公共卫生服务项目。共有床位14张，职工共有41人，医生25人，护士3人，其中正式在编人员18人，财政招聘12人，特岗全科医生1人，三支一扶0人，同工同酬3人，院聘7人。</w:t>
      </w:r>
      <w:r>
        <w:rPr>
          <w:rFonts w:hint="eastAsia" w:ascii="仿宋_GB2312" w:eastAsia="仿宋_GB2312" w:cs="Times New Roman"/>
          <w:color w:val="auto"/>
          <w:sz w:val="30"/>
          <w:szCs w:val="30"/>
          <w:highlight w:val="none"/>
          <w:lang w:eastAsia="zh-CN"/>
        </w:rPr>
        <w:t>开设有全科门诊、治疗室、检验室、B超室及心电图室等</w:t>
      </w:r>
      <w:r>
        <w:rPr>
          <w:rFonts w:hint="eastAsia" w:ascii="仿宋_GB2312" w:eastAsia="仿宋_GB2312" w:cs="Times New Roman"/>
          <w:color w:val="auto"/>
          <w:sz w:val="30"/>
          <w:szCs w:val="30"/>
          <w:highlight w:val="none"/>
          <w:lang w:val="en-US" w:eastAsia="zh-CN"/>
        </w:rPr>
        <w:t>5</w:t>
      </w:r>
      <w:r>
        <w:rPr>
          <w:rFonts w:hint="eastAsia" w:ascii="仿宋_GB2312" w:eastAsia="仿宋_GB2312" w:cs="Times New Roman"/>
          <w:color w:val="auto"/>
          <w:sz w:val="30"/>
          <w:szCs w:val="30"/>
          <w:highlight w:val="none"/>
          <w:lang w:eastAsia="zh-CN"/>
        </w:rPr>
        <w:t>临床科室，设有公卫科、财务室、医保办、计划免疫室、健康扶贫办公室、计划生育科等</w:t>
      </w:r>
      <w:r>
        <w:rPr>
          <w:rFonts w:hint="eastAsia" w:ascii="仿宋_GB2312" w:eastAsia="仿宋_GB2312" w:cs="Times New Roman"/>
          <w:color w:val="auto"/>
          <w:sz w:val="30"/>
          <w:szCs w:val="30"/>
          <w:highlight w:val="none"/>
          <w:lang w:val="en-US" w:eastAsia="zh-CN"/>
        </w:rPr>
        <w:t>6</w:t>
      </w:r>
      <w:r>
        <w:rPr>
          <w:rFonts w:hint="eastAsia" w:ascii="仿宋_GB2312" w:eastAsia="仿宋_GB2312" w:cs="Times New Roman"/>
          <w:color w:val="auto"/>
          <w:sz w:val="30"/>
          <w:szCs w:val="30"/>
          <w:highlight w:val="none"/>
          <w:lang w:eastAsia="zh-CN"/>
        </w:rPr>
        <w:t>个辅助科室。</w:t>
      </w:r>
    </w:p>
    <w:p>
      <w:pPr>
        <w:spacing w:line="640" w:lineRule="exact"/>
        <w:rPr>
          <w:rFonts w:hint="eastAsia" w:ascii="仿宋_GB2312" w:hAnsi="黑体" w:eastAsia="仿宋_GB2312"/>
          <w:b/>
          <w:sz w:val="44"/>
          <w:szCs w:val="44"/>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收入总计5049230.04元，支出总计5531891.32元，与2021年决算数相比，收入增加1313144.85元，增长35.15%，支出增加1973838.08元，增长55.48%。主要原因是2022年公卫资金、药物制度等项目资金下达、支出较2021年增多，同时2022年将事业收入滚存结余全部用于偿还欠款，导致支出增加比例大。</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504.92</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449.17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88.96</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55.75</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11.04</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553.18</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346.01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62.55</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207.17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37.45</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highlight w:val="none"/>
          <w:lang w:val="zh-CN"/>
        </w:rPr>
      </w:pPr>
      <w:r>
        <w:rPr>
          <w:rFonts w:hint="eastAsia" w:ascii="仿宋_GB2312" w:hAnsi="仿宋_GB2312" w:eastAsia="仿宋_GB2312" w:cs="仿宋_GB2312"/>
          <w:b/>
          <w:sz w:val="32"/>
          <w:szCs w:val="32"/>
          <w:highlight w:val="none"/>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年度财政拨款收入</w:t>
      </w:r>
      <w:r>
        <w:rPr>
          <w:rFonts w:hint="eastAsia" w:ascii="仿宋_GB2312" w:hAnsi="仿宋_GB2312" w:eastAsia="仿宋_GB2312" w:cs="仿宋_GB2312"/>
          <w:color w:val="000000"/>
          <w:spacing w:val="0"/>
          <w:w w:val="100"/>
          <w:position w:val="0"/>
          <w:sz w:val="32"/>
          <w:szCs w:val="32"/>
          <w:highlight w:val="none"/>
          <w:lang w:val="en-US" w:eastAsia="zh-CN"/>
        </w:rPr>
        <w:t>4491775.86</w:t>
      </w:r>
      <w:r>
        <w:rPr>
          <w:rFonts w:hint="eastAsia" w:ascii="仿宋_GB2312" w:hAnsi="仿宋_GB2312" w:eastAsia="仿宋_GB2312" w:cs="仿宋_GB2312"/>
          <w:color w:val="000000"/>
          <w:spacing w:val="0"/>
          <w:w w:val="100"/>
          <w:position w:val="0"/>
          <w:sz w:val="32"/>
          <w:szCs w:val="32"/>
          <w:highlight w:val="none"/>
        </w:rPr>
        <w:t>元，较上年决算数增加</w:t>
      </w:r>
      <w:r>
        <w:rPr>
          <w:rFonts w:hint="eastAsia" w:ascii="仿宋_GB2312" w:hAnsi="仿宋_GB2312" w:eastAsia="仿宋_GB2312" w:cs="仿宋_GB2312"/>
          <w:color w:val="000000"/>
          <w:spacing w:val="0"/>
          <w:w w:val="100"/>
          <w:position w:val="0"/>
          <w:sz w:val="32"/>
          <w:szCs w:val="32"/>
          <w:highlight w:val="none"/>
          <w:lang w:val="en-US" w:eastAsia="zh-CN"/>
        </w:rPr>
        <w:t>1204842.84</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36.66</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lang w:val="en-US" w:eastAsia="zh-CN"/>
        </w:rPr>
        <w:t>主要原因工资调整，养老医疗、公积金配套有增加，2022年公卫资金、药物制度等项目资金下达、支出较2021年增多。</w:t>
      </w:r>
      <w:r>
        <w:rPr>
          <w:rFonts w:hint="eastAsia" w:ascii="仿宋_GB2312" w:hAnsi="仿宋_GB2312" w:eastAsia="仿宋_GB2312" w:cs="仿宋_GB2312"/>
          <w:color w:val="000000"/>
          <w:spacing w:val="0"/>
          <w:w w:val="100"/>
          <w:position w:val="0"/>
          <w:sz w:val="32"/>
          <w:szCs w:val="32"/>
          <w:highlight w:val="none"/>
          <w:lang w:val="en-US" w:eastAsia="zh-CN"/>
        </w:rPr>
        <w:t xml:space="preserve">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年度财政拨款支出</w:t>
      </w:r>
      <w:r>
        <w:rPr>
          <w:rFonts w:hint="eastAsia" w:ascii="仿宋_GB2312" w:hAnsi="仿宋_GB2312" w:eastAsia="仿宋_GB2312" w:cs="仿宋_GB2312"/>
          <w:color w:val="000000"/>
          <w:spacing w:val="0"/>
          <w:w w:val="100"/>
          <w:position w:val="0"/>
          <w:sz w:val="32"/>
          <w:szCs w:val="32"/>
          <w:highlight w:val="none"/>
          <w:lang w:val="en-US" w:eastAsia="zh-CN"/>
        </w:rPr>
        <w:t>4491775.86</w:t>
      </w:r>
      <w:r>
        <w:rPr>
          <w:rFonts w:hint="eastAsia" w:ascii="仿宋_GB2312" w:hAnsi="仿宋_GB2312" w:eastAsia="仿宋_GB2312" w:cs="仿宋_GB2312"/>
          <w:color w:val="000000"/>
          <w:spacing w:val="0"/>
          <w:w w:val="100"/>
          <w:position w:val="0"/>
          <w:sz w:val="32"/>
          <w:szCs w:val="32"/>
          <w:highlight w:val="none"/>
        </w:rPr>
        <w:t>元，较上年决算数增加</w:t>
      </w:r>
      <w:r>
        <w:rPr>
          <w:rFonts w:hint="eastAsia" w:ascii="仿宋_GB2312" w:hAnsi="仿宋_GB2312" w:eastAsia="仿宋_GB2312" w:cs="仿宋_GB2312"/>
          <w:color w:val="000000"/>
          <w:spacing w:val="0"/>
          <w:w w:val="100"/>
          <w:position w:val="0"/>
          <w:sz w:val="32"/>
          <w:szCs w:val="32"/>
          <w:highlight w:val="none"/>
          <w:lang w:val="en-US" w:eastAsia="zh-CN"/>
        </w:rPr>
        <w:t>1204842.84</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增长</w:t>
      </w:r>
      <w:r>
        <w:rPr>
          <w:rFonts w:hint="eastAsia" w:ascii="仿宋_GB2312" w:hAnsi="仿宋_GB2312" w:eastAsia="仿宋_GB2312" w:cs="仿宋_GB2312"/>
          <w:color w:val="000000"/>
          <w:spacing w:val="0"/>
          <w:w w:val="100"/>
          <w:position w:val="0"/>
          <w:sz w:val="32"/>
          <w:szCs w:val="32"/>
          <w:highlight w:val="none"/>
          <w:lang w:val="en-US" w:eastAsia="zh-CN"/>
        </w:rPr>
        <w:t>36.66</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lang w:val="en-US" w:eastAsia="zh-CN"/>
        </w:rPr>
        <w:t>主要原因是022年公卫资金、药物制度等项目资金下达、支出较2021年增多。</w:t>
      </w:r>
    </w:p>
    <w:p>
      <w:pPr>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FF0000"/>
          <w:sz w:val="32"/>
          <w:szCs w:val="32"/>
          <w:highlight w:val="none"/>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449.17</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120.48</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36.66</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val="en-US" w:eastAsia="zh-CN"/>
        </w:rPr>
        <w:t>主要原因是工资调整，导致医疗养老、公积金的增加，2022年公卫资金、药物制度等项目资金下达、支出较2021年增多。</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18.05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18.05</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415.61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415.61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15.51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15.51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242</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241.9</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增加46.11</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增加23.56</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工资调整，导致医疗养老、公积金的增加，2022年公共卫生量增加，发绩效增加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val="zh-CN"/>
        </w:rPr>
        <w:t>万元,增加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增加的主要原因为</w:t>
      </w:r>
      <w:r>
        <w:rPr>
          <w:rFonts w:hint="eastAsia" w:ascii="仿宋_GB2312" w:hAnsi="仿宋_GB2312" w:eastAsia="仿宋_GB2312" w:cs="仿宋_GB2312"/>
          <w:color w:val="auto"/>
          <w:sz w:val="32"/>
          <w:szCs w:val="32"/>
          <w:lang w:val="en-US" w:eastAsia="zh-CN"/>
        </w:rPr>
        <w:t>2022办公经费有所增加。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2</w:t>
      </w:r>
      <w:bookmarkStart w:id="0" w:name="_GoBack"/>
      <w:bookmarkEnd w:id="0"/>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减少1.2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减少100</w:t>
      </w:r>
      <w:r>
        <w:rPr>
          <w:rFonts w:hint="eastAsia" w:ascii="仿宋_GB2312" w:hAnsi="仿宋_GB2312" w:eastAsia="仿宋_GB2312" w:cs="仿宋_GB2312"/>
          <w:color w:val="auto"/>
          <w:sz w:val="32"/>
          <w:szCs w:val="32"/>
          <w:lang w:val="zh-CN"/>
        </w:rPr>
        <w:t>%，减少的主要原因为</w:t>
      </w:r>
      <w:r>
        <w:rPr>
          <w:rFonts w:hint="eastAsia" w:ascii="仿宋_GB2312" w:hAnsi="仿宋_GB2312" w:eastAsia="仿宋_GB2312" w:cs="仿宋_GB2312"/>
          <w:color w:val="auto"/>
          <w:sz w:val="32"/>
          <w:szCs w:val="32"/>
          <w:lang w:val="en-US" w:eastAsia="zh-CN"/>
        </w:rPr>
        <w:t>2021年救护车有维修，2022年无维修。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减少1.2</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减少1.2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减少100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_GB2312">
    <w:altName w:val="仿宋"/>
    <w:panose1 w:val="020000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08C6C96"/>
    <w:rsid w:val="0208149D"/>
    <w:rsid w:val="026779BA"/>
    <w:rsid w:val="02AA4B1F"/>
    <w:rsid w:val="042E23C8"/>
    <w:rsid w:val="05964489"/>
    <w:rsid w:val="05EB7C7D"/>
    <w:rsid w:val="06EC4D27"/>
    <w:rsid w:val="07292279"/>
    <w:rsid w:val="079C66F3"/>
    <w:rsid w:val="08FF396E"/>
    <w:rsid w:val="09061F52"/>
    <w:rsid w:val="094F16E5"/>
    <w:rsid w:val="0B191D61"/>
    <w:rsid w:val="0BD2242A"/>
    <w:rsid w:val="0D386A9E"/>
    <w:rsid w:val="0F124408"/>
    <w:rsid w:val="11451A7E"/>
    <w:rsid w:val="118F1B21"/>
    <w:rsid w:val="11B25539"/>
    <w:rsid w:val="12A34BDD"/>
    <w:rsid w:val="13F2739B"/>
    <w:rsid w:val="152C4EC6"/>
    <w:rsid w:val="16770DEC"/>
    <w:rsid w:val="17B00335"/>
    <w:rsid w:val="18C74101"/>
    <w:rsid w:val="19E37A7A"/>
    <w:rsid w:val="1AD863F9"/>
    <w:rsid w:val="1DA027A1"/>
    <w:rsid w:val="20F47E45"/>
    <w:rsid w:val="2131416B"/>
    <w:rsid w:val="22716FF0"/>
    <w:rsid w:val="228D2DB6"/>
    <w:rsid w:val="22F47D0F"/>
    <w:rsid w:val="23250B58"/>
    <w:rsid w:val="24FB24D8"/>
    <w:rsid w:val="26C17D6B"/>
    <w:rsid w:val="296D45C8"/>
    <w:rsid w:val="29A22ED3"/>
    <w:rsid w:val="2BE94E19"/>
    <w:rsid w:val="2C286950"/>
    <w:rsid w:val="2CCA02D3"/>
    <w:rsid w:val="2CED26E7"/>
    <w:rsid w:val="2D3465DE"/>
    <w:rsid w:val="2FB3764F"/>
    <w:rsid w:val="2FB73533"/>
    <w:rsid w:val="302D2CFD"/>
    <w:rsid w:val="30B3410D"/>
    <w:rsid w:val="30DD7BD3"/>
    <w:rsid w:val="32364B30"/>
    <w:rsid w:val="34115A88"/>
    <w:rsid w:val="347831DE"/>
    <w:rsid w:val="37EA043A"/>
    <w:rsid w:val="39601186"/>
    <w:rsid w:val="3AE7330E"/>
    <w:rsid w:val="3BE06C83"/>
    <w:rsid w:val="3C593F1C"/>
    <w:rsid w:val="3DAF681C"/>
    <w:rsid w:val="3E014B14"/>
    <w:rsid w:val="42D426D5"/>
    <w:rsid w:val="43C07555"/>
    <w:rsid w:val="44107B5E"/>
    <w:rsid w:val="446157FA"/>
    <w:rsid w:val="470E7B71"/>
    <w:rsid w:val="483B1A2C"/>
    <w:rsid w:val="496E016C"/>
    <w:rsid w:val="4C9830DA"/>
    <w:rsid w:val="4DA644C0"/>
    <w:rsid w:val="51503E9C"/>
    <w:rsid w:val="53A94FC6"/>
    <w:rsid w:val="54237CF8"/>
    <w:rsid w:val="54A5281C"/>
    <w:rsid w:val="56754ADE"/>
    <w:rsid w:val="592F3172"/>
    <w:rsid w:val="59FD5DAF"/>
    <w:rsid w:val="5AF30F60"/>
    <w:rsid w:val="5BE2313E"/>
    <w:rsid w:val="5BEE108D"/>
    <w:rsid w:val="5C1D760C"/>
    <w:rsid w:val="5C847877"/>
    <w:rsid w:val="5D387615"/>
    <w:rsid w:val="5E037804"/>
    <w:rsid w:val="5EA76C4F"/>
    <w:rsid w:val="64E379F8"/>
    <w:rsid w:val="65E52B0F"/>
    <w:rsid w:val="66B221A6"/>
    <w:rsid w:val="67014A03"/>
    <w:rsid w:val="67731D96"/>
    <w:rsid w:val="688A4D77"/>
    <w:rsid w:val="69724A37"/>
    <w:rsid w:val="69AA14E4"/>
    <w:rsid w:val="69F505BB"/>
    <w:rsid w:val="6A696B49"/>
    <w:rsid w:val="6C2F176C"/>
    <w:rsid w:val="6EFE0F5A"/>
    <w:rsid w:val="6F0B0A19"/>
    <w:rsid w:val="6F9277B6"/>
    <w:rsid w:val="6FA147DF"/>
    <w:rsid w:val="6FE631E5"/>
    <w:rsid w:val="71F31B1A"/>
    <w:rsid w:val="74130252"/>
    <w:rsid w:val="749018A2"/>
    <w:rsid w:val="74E078D2"/>
    <w:rsid w:val="776C2BD5"/>
    <w:rsid w:val="77925050"/>
    <w:rsid w:val="7C2C1CA8"/>
    <w:rsid w:val="7E4A7BEF"/>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2.xml><?xml version="1.0" encoding="utf-8"?>
<ds:datastoreItem xmlns:ds="http://schemas.openxmlformats.org/officeDocument/2006/customXml" ds:itemID="{dd9736f0-b4da-40c5-bb91-cccf845c036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1942c3e6-50fa-42e3-afb2-c9ca37f9532b}">
  <ds:schemaRefs/>
</ds:datastoreItem>
</file>

<file path=customXml/itemProps5.xml><?xml version="1.0" encoding="utf-8"?>
<ds:datastoreItem xmlns:ds="http://schemas.openxmlformats.org/officeDocument/2006/customXml" ds:itemID="{9f816721-a34c-4b38-8df9-8940ce05977f}">
  <ds:schemaRefs/>
</ds:datastoreItem>
</file>

<file path=customXml/itemProps6.xml><?xml version="1.0" encoding="utf-8"?>
<ds:datastoreItem xmlns:ds="http://schemas.openxmlformats.org/officeDocument/2006/customXml" ds:itemID="{abd899ba-6e03-4791-9897-a1bbba214d3e}">
  <ds:schemaRefs/>
</ds:datastoreItem>
</file>

<file path=customXml/itemProps7.xml><?xml version="1.0" encoding="utf-8"?>
<ds:datastoreItem xmlns:ds="http://schemas.openxmlformats.org/officeDocument/2006/customXml" ds:itemID="{9ebdd679-4610-4a7d-99c1-8a4128f5cebc}">
  <ds:schemaRefs/>
</ds:datastoreItem>
</file>

<file path=customXml/itemProps8.xml><?xml version="1.0" encoding="utf-8"?>
<ds:datastoreItem xmlns:ds="http://schemas.openxmlformats.org/officeDocument/2006/customXml" ds:itemID="{65f361dc-07a0-4362-b527-b3db1c437bbe}">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4085</Words>
  <Characters>4375</Characters>
  <Lines>0</Lines>
  <Paragraphs>0</Paragraphs>
  <TotalTime>14</TotalTime>
  <ScaleCrop>false</ScaleCrop>
  <LinksUpToDate>false</LinksUpToDate>
  <CharactersWithSpaces>4386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2023-09-20T05:18:15Z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5B6385A7B46F483B86BE93C606BF86D0_12</vt:lpwstr>
  </property>
</Properties>
</file>