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地震局</w:t>
      </w:r>
      <w:r>
        <w:rPr>
          <w:rFonts w:hint="eastAsia" w:ascii="仿宋_GB2312" w:hAnsi="仿宋_GB2312" w:eastAsia="仿宋_GB2312" w:cs="仿宋_GB2312"/>
          <w:color w:val="000000" w:themeColor="text1"/>
          <w:sz w:val="32"/>
          <w:szCs w:val="32"/>
          <w:lang w:val="zh-CN"/>
          <w14:textFill>
            <w14:solidFill>
              <w14:schemeClr w14:val="tx1"/>
            </w14:solidFill>
          </w14:textFill>
        </w:rPr>
        <w:t>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keepNext w:val="0"/>
        <w:keepLines w:val="0"/>
        <w:widowControl/>
        <w:suppressLineNumbers w:val="0"/>
        <w:ind w:firstLine="680" w:firstLineChars="200"/>
        <w:jc w:val="left"/>
        <w:rPr>
          <w:color w:val="000000" w:themeColor="text1"/>
          <w:highlight w:val="none"/>
          <w14:textFill>
            <w14:solidFill>
              <w14:schemeClr w14:val="tx1"/>
            </w14:solidFill>
          </w14:textFill>
        </w:rPr>
      </w:pPr>
      <w:r>
        <w:rPr>
          <w:rFonts w:ascii="仿宋" w:hAnsi="仿宋" w:eastAsia="仿宋" w:cs="仿宋"/>
          <w:color w:val="000000" w:themeColor="text1"/>
          <w:kern w:val="0"/>
          <w:sz w:val="34"/>
          <w:szCs w:val="34"/>
          <w:highlight w:val="none"/>
          <w:lang w:val="en-US" w:eastAsia="zh-CN" w:bidi="ar"/>
          <w14:textFill>
            <w14:solidFill>
              <w14:schemeClr w14:val="tx1"/>
            </w14:solidFill>
          </w14:textFill>
        </w:rPr>
        <w:t xml:space="preserve">抗震设防审批、防震减灾知识的宣传、动物宏观观测异常情况.负责震情和灾情速报、震情 </w:t>
      </w:r>
    </w:p>
    <w:p>
      <w:pPr>
        <w:keepNext w:val="0"/>
        <w:keepLines w:val="0"/>
        <w:widowControl/>
        <w:suppressLineNumbers w:val="0"/>
        <w:jc w:val="left"/>
        <w:rPr>
          <w:color w:val="000000" w:themeColor="text1"/>
          <w:highlight w:val="none"/>
          <w14:textFill>
            <w14:solidFill>
              <w14:schemeClr w14:val="tx1"/>
            </w14:solidFill>
          </w14:textFill>
        </w:rPr>
      </w:pPr>
      <w:r>
        <w:rPr>
          <w:rFonts w:hint="eastAsia" w:ascii="仿宋" w:hAnsi="仿宋" w:eastAsia="仿宋" w:cs="仿宋"/>
          <w:color w:val="000000" w:themeColor="text1"/>
          <w:kern w:val="0"/>
          <w:sz w:val="34"/>
          <w:szCs w:val="34"/>
          <w:highlight w:val="none"/>
          <w:lang w:val="en-US" w:eastAsia="zh-CN" w:bidi="ar"/>
          <w14:textFill>
            <w14:solidFill>
              <w14:schemeClr w14:val="tx1"/>
            </w14:solidFill>
          </w14:textFill>
        </w:rPr>
        <w:t xml:space="preserve">考察等工作。 </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keepNext w:val="0"/>
        <w:keepLines w:val="0"/>
        <w:widowControl/>
        <w:suppressLineNumbers w:val="0"/>
        <w:ind w:firstLine="680" w:firstLineChars="200"/>
        <w:jc w:val="left"/>
        <w:rPr>
          <w:color w:val="000000" w:themeColor="text1"/>
          <w:highlight w:val="none"/>
          <w14:textFill>
            <w14:solidFill>
              <w14:schemeClr w14:val="tx1"/>
            </w14:solidFill>
          </w14:textFill>
        </w:rPr>
      </w:pPr>
      <w:r>
        <w:rPr>
          <w:rFonts w:ascii="仿宋" w:hAnsi="仿宋" w:eastAsia="仿宋" w:cs="仿宋"/>
          <w:color w:val="000000" w:themeColor="text1"/>
          <w:kern w:val="0"/>
          <w:sz w:val="34"/>
          <w:szCs w:val="34"/>
          <w:highlight w:val="none"/>
          <w:lang w:val="en-US" w:eastAsia="zh-CN" w:bidi="ar"/>
          <w14:textFill>
            <w14:solidFill>
              <w14:schemeClr w14:val="tx1"/>
            </w14:solidFill>
          </w14:textFill>
        </w:rPr>
        <w:t>人秘股、监测预报室。震灾预防股.安评所</w:t>
      </w:r>
      <w:r>
        <w:rPr>
          <w:rFonts w:hint="eastAsia" w:ascii="仿宋" w:hAnsi="仿宋" w:eastAsia="仿宋" w:cs="仿宋"/>
          <w:color w:val="000000" w:themeColor="text1"/>
          <w:kern w:val="0"/>
          <w:sz w:val="34"/>
          <w:szCs w:val="34"/>
          <w:highlight w:val="none"/>
          <w:lang w:val="en-US" w:eastAsia="zh-CN" w:bidi="ar"/>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(请插入具体报表,若无法插入,请标明见附件)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keepNext w:val="0"/>
        <w:keepLines w:val="0"/>
        <w:widowControl/>
        <w:suppressLineNumbers w:val="0"/>
        <w:ind w:firstLine="960" w:firstLineChars="300"/>
        <w:jc w:val="left"/>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w:t>
      </w:r>
      <w:r>
        <w:rPr>
          <w:rFonts w:hint="eastAsia" w:ascii="仿宋_GB2312" w:hAnsi="黑体" w:eastAsia="仿宋_GB2312"/>
          <w:color w:val="000000" w:themeColor="text1"/>
          <w:sz w:val="32"/>
          <w:szCs w:val="32"/>
          <w:highlight w:val="none"/>
          <w14:textFill>
            <w14:solidFill>
              <w14:schemeClr w14:val="tx1"/>
            </w14:solidFill>
          </w14:textFill>
        </w:rPr>
        <w:t>2814096.65</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元，支出总计</w:t>
      </w:r>
      <w:r>
        <w:rPr>
          <w:rFonts w:hint="eastAsia" w:ascii="仿宋_GB2312" w:hAnsi="黑体" w:eastAsia="仿宋_GB2312"/>
          <w:color w:val="000000" w:themeColor="text1"/>
          <w:sz w:val="32"/>
          <w:szCs w:val="32"/>
          <w:highlight w:val="none"/>
          <w14:textFill>
            <w14:solidFill>
              <w14:schemeClr w14:val="tx1"/>
            </w14:solidFill>
          </w14:textFill>
        </w:rPr>
        <w:t>2814096.65</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元，与2021年决算数相比，收入增加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708830.05</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元，增长</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33.67</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%，支出增加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708830.05</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元，增长</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33.67</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%。主要原因是</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人员正常晋升及人数变动人员经费开支增加。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keepNext w:val="0"/>
        <w:keepLines w:val="0"/>
        <w:widowControl/>
        <w:suppressLineNumbers w:val="0"/>
        <w:ind w:firstLine="960" w:firstLineChars="300"/>
        <w:jc w:val="left"/>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708830.05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33.67</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人员正常晋升及人数变动人员经费开支增加。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2814096.65元</w:t>
      </w:r>
      <w:r>
        <w:rPr>
          <w:rFonts w:hint="eastAsia" w:ascii="仿宋_GB2312" w:hAnsi="仿宋_GB2312" w:eastAsia="仿宋_GB2312" w:cs="仿宋_GB2312"/>
          <w:color w:val="000000" w:themeColor="text1"/>
          <w:sz w:val="32"/>
          <w:szCs w:val="32"/>
          <w:lang w:val="zh-CN"/>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708830.05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33.67</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人员正常晋升及人数变动人员经费开支增加.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2.6112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1.2703</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%,决算数小于预算数的主要原因是开支结转至下年。</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2.外交支出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3.国防支出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4.公共安全支出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5.教育支出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6.科学技术支出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7.文化旅游体育与传媒支出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8.社会保障和就业支出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21.15072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13.252356</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62.66</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%，决算数小于预算数的主要原因是年初预算养老未及时开支结转至下年。</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9.卫生健康支出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8.7024</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9.506688</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109.24</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10.节能环保支出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11.城乡社区支出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12.农林水支出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%,决算数大于预算数的主要原因是驻村工作队生活补助增加。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13.交通运输支出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14.资源勘探工业信息等支出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15.商业服务业等支出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16.金融支出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17.援助其他地区支出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red"/>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18.自然资源海洋气象等支出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19.住房保障支出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15.6672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18.0954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115.49</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t>主要原因是人员变动基数增加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20.粮油物资储备支出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21.国有资本经营预算支出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22.灾害防治及应急管理支出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196.8842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226.084921</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114.83</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%，决算数大于预算数的主要原因是人员基数变动和上年结转开支。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23.其他支出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24.债务还本支出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25.债务付息支出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26.抗疫特别国债安排的支出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ind w:firstLine="960" w:firstLineChars="3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281.409665</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231.56572</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万元,较上年决算数增加75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617442万元,增长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71.51</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人员及工资开支增加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人员经费用途主要包括基本工资、津贴补贴、</w:t>
      </w:r>
      <w:r>
        <w:rPr>
          <w:rFonts w:hint="eastAsia" w:ascii="仿宋_GB2312" w:eastAsia="仿宋_GB2312"/>
          <w:color w:val="000000" w:themeColor="text1"/>
          <w:sz w:val="30"/>
          <w:szCs w:val="30"/>
          <w:lang w:eastAsia="zh-CN"/>
          <w14:textFill>
            <w14:solidFill>
              <w14:schemeClr w14:val="tx1"/>
            </w14:solidFill>
          </w14:textFill>
        </w:rPr>
        <w:t>奖</w:t>
      </w:r>
      <w:r>
        <w:rPr>
          <w:rFonts w:hint="eastAsia" w:ascii="仿宋_GB2312" w:eastAsia="仿宋_GB2312"/>
          <w:color w:val="000000" w:themeColor="text1"/>
          <w:sz w:val="30"/>
          <w:szCs w:val="30"/>
          <w14:textFill>
            <w14:solidFill>
              <w14:schemeClr w14:val="tx1"/>
            </w14:solidFill>
          </w14:textFill>
        </w:rPr>
        <w:t>金</w:t>
      </w:r>
      <w:r>
        <w:rPr>
          <w:rFonts w:hint="eastAsia" w:ascii="仿宋_GB2312" w:eastAsia="仿宋_GB2312"/>
          <w:color w:val="000000" w:themeColor="text1"/>
          <w:sz w:val="30"/>
          <w:szCs w:val="30"/>
          <w:lang w:val="en-US" w:eastAsia="zh-CN"/>
          <w14:textFill>
            <w14:solidFill>
              <w14:schemeClr w14:val="tx1"/>
            </w14:solidFill>
          </w14:textFill>
        </w:rPr>
        <w:t>，机关事业单位基本养老保险缴费，职工基本医疗保险缴费，对个人和家庭的补助，奖励金</w:t>
      </w:r>
      <w:r>
        <w:rPr>
          <w:rFonts w:hint="eastAsia" w:ascii="仿宋_GB2312" w:eastAsia="仿宋_GB2312"/>
          <w:color w:val="000000" w:themeColor="text1"/>
          <w:sz w:val="30"/>
          <w:szCs w:val="30"/>
          <w14:textFill>
            <w14:solidFill>
              <w14:schemeClr w14:val="tx1"/>
            </w14:solidFill>
          </w14:textFill>
        </w:rPr>
        <w:t>。</w:t>
      </w: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eastAsia="仿宋_GB2312"/>
          <w:color w:val="000000" w:themeColor="text1"/>
          <w:sz w:val="30"/>
          <w:szCs w:val="30"/>
          <w:lang w:val="zh-CN" w:eastAsia="zh-CN"/>
          <w14:textFill>
            <w14:solidFill>
              <w14:schemeClr w14:val="tx1"/>
            </w14:solidFill>
          </w14:textFill>
        </w:rPr>
        <w:t>15</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lang w:val="zh-CN" w:eastAsia="zh-CN"/>
          <w14:textFill>
            <w14:solidFill>
              <w14:schemeClr w14:val="tx1"/>
            </w14:solidFill>
          </w14:textFill>
        </w:rPr>
        <w:t>949871</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734437万元,下降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22.88%</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经费开支年初预算调整，</w:t>
      </w:r>
      <w:r>
        <w:rPr>
          <w:rFonts w:hint="eastAsia" w:ascii="仿宋_GB2312" w:eastAsia="仿宋_GB2312"/>
          <w:color w:val="000000" w:themeColor="text1"/>
          <w:sz w:val="30"/>
          <w:szCs w:val="30"/>
          <w14:textFill>
            <w14:solidFill>
              <w14:schemeClr w14:val="tx1"/>
            </w14:solidFill>
          </w14:textFill>
        </w:rPr>
        <w:t>公用经费用途主要包括办公费、印刷费、</w:t>
      </w:r>
      <w:r>
        <w:rPr>
          <w:rFonts w:hint="eastAsia" w:ascii="仿宋_GB2312" w:eastAsia="仿宋_GB2312"/>
          <w:color w:val="000000" w:themeColor="text1"/>
          <w:sz w:val="30"/>
          <w:szCs w:val="30"/>
          <w:lang w:eastAsia="zh-CN"/>
          <w14:textFill>
            <w14:solidFill>
              <w14:schemeClr w14:val="tx1"/>
            </w14:solidFill>
          </w14:textFill>
        </w:rPr>
        <w:t>电费，</w:t>
      </w:r>
      <w:r>
        <w:rPr>
          <w:rFonts w:hint="eastAsia" w:ascii="仿宋_GB2312" w:eastAsia="仿宋_GB2312"/>
          <w:color w:val="000000" w:themeColor="text1"/>
          <w:sz w:val="30"/>
          <w:szCs w:val="30"/>
          <w:lang w:val="en-US" w:eastAsia="zh-CN"/>
          <w14:textFill>
            <w14:solidFill>
              <w14:schemeClr w14:val="tx1"/>
            </w14:solidFill>
          </w14:textFill>
        </w:rPr>
        <w:t>取暖费、差旅费、维修维护费，劳务费、工会经费。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eastAsia="仿宋_GB2312"/>
          <w:color w:val="000000" w:themeColor="text1"/>
          <w:sz w:val="30"/>
          <w:szCs w:val="30"/>
          <w:lang w:val="zh-CN" w:eastAsia="zh-CN"/>
          <w14:textFill>
            <w14:solidFill>
              <w14:schemeClr w14:val="tx1"/>
            </w14:solidFill>
          </w14:textFill>
        </w:rPr>
        <w:t>15</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lang w:val="zh-CN" w:eastAsia="zh-CN"/>
          <w14:textFill>
            <w14:solidFill>
              <w14:schemeClr w14:val="tx1"/>
            </w14:solidFill>
          </w14:textFill>
        </w:rPr>
        <w:t>949871</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万元,机关运行经费主要用于开支</w:t>
      </w:r>
      <w:r>
        <w:rPr>
          <w:rFonts w:hint="eastAsia" w:ascii="仿宋_GB2312" w:eastAsia="仿宋_GB2312"/>
          <w:color w:val="000000" w:themeColor="text1"/>
          <w:sz w:val="30"/>
          <w:szCs w:val="30"/>
          <w14:textFill>
            <w14:solidFill>
              <w14:schemeClr w14:val="tx1"/>
            </w14:solidFill>
          </w14:textFill>
        </w:rPr>
        <w:t>办公费、印刷费、</w:t>
      </w:r>
      <w:r>
        <w:rPr>
          <w:rFonts w:hint="eastAsia" w:ascii="仿宋_GB2312" w:eastAsia="仿宋_GB2312"/>
          <w:color w:val="000000" w:themeColor="text1"/>
          <w:sz w:val="30"/>
          <w:szCs w:val="30"/>
          <w:lang w:eastAsia="zh-CN"/>
          <w14:textFill>
            <w14:solidFill>
              <w14:schemeClr w14:val="tx1"/>
            </w14:solidFill>
          </w14:textFill>
        </w:rPr>
        <w:t>电费，</w:t>
      </w:r>
      <w:r>
        <w:rPr>
          <w:rFonts w:hint="eastAsia" w:ascii="仿宋_GB2312" w:eastAsia="仿宋_GB2312"/>
          <w:color w:val="000000" w:themeColor="text1"/>
          <w:sz w:val="30"/>
          <w:szCs w:val="30"/>
          <w:lang w:val="en-US" w:eastAsia="zh-CN"/>
          <w14:textFill>
            <w14:solidFill>
              <w14:schemeClr w14:val="tx1"/>
            </w14:solidFill>
          </w14:textFill>
        </w:rPr>
        <w:t>取暖费、差旅费</w:t>
      </w:r>
      <w:r>
        <w:rPr>
          <w:rFonts w:hint="eastAsia" w:ascii="仿宋_GB2312" w:hAnsi="仿宋_GB2312" w:eastAsia="仿宋_GB2312" w:cs="仿宋_GB2312"/>
          <w:color w:val="000000" w:themeColor="text1"/>
          <w:sz w:val="32"/>
          <w:szCs w:val="32"/>
          <w:lang w:val="zh-CN"/>
          <w14:textFill>
            <w14:solidFill>
              <w14:schemeClr w14:val="tx1"/>
            </w14:solidFill>
          </w14:textFill>
        </w:rPr>
        <w:t>。机关运行经费较上年决算数减少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人员变动</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本年度会议费支出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%。本年度培训费支出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(部分单位无政府采购支出的,说明如下类似内容：“我单位2022年度无政府采购相关经费。”)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万元,其中：政府采购货物支出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万元、政府采购工程支出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万元。授予中小企业合同金额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%,其中：授予小微企业合同金额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辆,其中,副部(省)级及以上领导用车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2022年度政府性基金预算财政拨款年初结转结余0万元，本年收入0万元，本年支出0万元，年末结转和结余0</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2022年度国有资本经营预算财政拨款本年支出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bookmarkStart w:id="0" w:name="_GoBack"/>
      <w:bookmarkEnd w:id="0"/>
      <w:r>
        <w:rPr>
          <w:rFonts w:hint="eastAsia" w:ascii="仿宋_GB2312" w:hAnsi="仿宋_GB2312" w:eastAsia="仿宋_GB2312" w:cs="仿宋_GB2312"/>
          <w:b/>
          <w:color w:val="000000" w:themeColor="text1"/>
          <w:sz w:val="32"/>
          <w:szCs w:val="32"/>
          <w:lang w:val="zh-CN"/>
          <w14:textFill>
            <w14:solidFill>
              <w14:schemeClr w14:val="tx1"/>
            </w14:solidFill>
          </w14:textFill>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根据预算绩效管理要求,本部门对2022年度一般公共预算项目支出全面开展绩效自评,其中,一级项目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个,二级项目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个政府性基金预算项目开展绩效自评,共涉及资金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个国有资本经营预算项目开展绩效自评,共涉及资金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万元,政府性基金预算支出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万元,国有资本经营预算支出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1.绩效目标自评表(分项目进行综述)</w:t>
      </w:r>
    </w:p>
    <w:p>
      <w:pPr>
        <w:tabs>
          <w:tab w:val="left" w:pos="1327"/>
        </w:tabs>
        <w:bidi w:val="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我部门在2022年度部门决算中反映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个项目绩效自评结果。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项目绩效自评情况：根据年初设定的绩效目标,项目绩效自评得分为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分。项目全年预算数为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万元,执行数为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ZTNiOTdiYTdmNWNjZGMxNzE3MWVjNTQ0YTU5NDIifQ=="/>
  </w:docVars>
  <w:rsids>
    <w:rsidRoot w:val="00000000"/>
    <w:rsid w:val="02AA4B1F"/>
    <w:rsid w:val="0D386A9E"/>
    <w:rsid w:val="11B25539"/>
    <w:rsid w:val="12A34BDD"/>
    <w:rsid w:val="1AD863F9"/>
    <w:rsid w:val="243204F5"/>
    <w:rsid w:val="24E2778E"/>
    <w:rsid w:val="302D2CFD"/>
    <w:rsid w:val="44156839"/>
    <w:rsid w:val="4623311D"/>
    <w:rsid w:val="470E7B71"/>
    <w:rsid w:val="472D7E58"/>
    <w:rsid w:val="538F49C1"/>
    <w:rsid w:val="5D387615"/>
    <w:rsid w:val="5DB46785"/>
    <w:rsid w:val="64471EC9"/>
    <w:rsid w:val="66F41E2F"/>
    <w:rsid w:val="69AA14E4"/>
    <w:rsid w:val="6F9277B6"/>
    <w:rsid w:val="776C2BD5"/>
    <w:rsid w:val="77925050"/>
    <w:rsid w:val="7BB168F4"/>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6084</Words>
  <Characters>6621</Characters>
  <Lines>0</Lines>
  <Paragraphs>0</Paragraphs>
  <TotalTime>9</TotalTime>
  <ScaleCrop>false</ScaleCrop>
  <LinksUpToDate>false</LinksUpToDate>
  <CharactersWithSpaces>6623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2023-09-20T06:27:59Z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E8B485D6ED7844B4B094CCEDB1F5F40E_13</vt:lpwstr>
  </property>
</Properties>
</file>