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东乡族自治县果园学区</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一</w:t>
      </w:r>
      <w:r>
        <w:rPr>
          <w:rFonts w:hint="eastAsia" w:ascii="仿宋_GB2312" w:hAnsi="宋体" w:eastAsia="仿宋_GB2312" w:cs="宋体"/>
          <w:kern w:val="0"/>
          <w:sz w:val="32"/>
          <w:szCs w:val="32"/>
          <w:highlight w:val="none"/>
        </w:rPr>
        <w:t>)制定符合党的教育方针和国家教育法律法规的小学数育发展规划并抓好组织实施和落实工作。</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(二)贯彻、执行教育法律法规和政策规定,坚持依法治教、依法治学。巩固提高“两基”工作成果和整体水平,配合教育局依法动员、组织适龄儿童少年入学,严格控制辍学,巩固两基成果</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(三)指导、管理、检查、评价学区内学校的教育教学工作,提高办学质量和办学效益</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(五)协助上级教育主管部门做好学区教师考核工作,负责教师管理、继续教育、考核考评等工作。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(六)负责财务管理,筹措资金,改善办学条件等工作</w:t>
      </w:r>
      <w:r>
        <w:rPr>
          <w:rFonts w:hint="eastAsia" w:ascii="仿宋_GB2312" w:hAnsi="宋体" w:eastAsia="仿宋_GB2312" w:cs="宋体"/>
          <w:kern w:val="0"/>
          <w:sz w:val="32"/>
          <w:szCs w:val="32"/>
          <w:highlight w:val="none"/>
          <w:lang w:eastAsia="zh-CN"/>
        </w:rPr>
        <w:t>。</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(七)完成当地政府和教育部门安排的各项工作任务。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根据上述职责,东乡族自治县果园学校及下设</w:t>
      </w:r>
      <w:r>
        <w:rPr>
          <w:rFonts w:hint="eastAsia" w:ascii="仿宋_GB2312" w:hAnsi="宋体" w:eastAsia="仿宋_GB2312" w:cs="宋体"/>
          <w:kern w:val="0"/>
          <w:sz w:val="32"/>
          <w:szCs w:val="32"/>
          <w:highlight w:val="none"/>
          <w:lang w:val="en-US" w:eastAsia="zh-CN"/>
        </w:rPr>
        <w:t>7</w:t>
      </w:r>
      <w:r>
        <w:rPr>
          <w:rFonts w:hint="eastAsia" w:ascii="仿宋_GB2312" w:hAnsi="宋体" w:eastAsia="仿宋_GB2312" w:cs="宋体"/>
          <w:kern w:val="0"/>
          <w:sz w:val="32"/>
          <w:szCs w:val="32"/>
          <w:highlight w:val="none"/>
        </w:rPr>
        <w:t>个村校:李坪小学、洒</w:t>
      </w:r>
      <w:r>
        <w:rPr>
          <w:rFonts w:hint="eastAsia" w:ascii="仿宋_GB2312" w:hAnsi="宋体" w:eastAsia="仿宋_GB2312" w:cs="宋体"/>
          <w:kern w:val="0"/>
          <w:sz w:val="32"/>
          <w:szCs w:val="32"/>
          <w:highlight w:val="none"/>
          <w:lang w:val="en-US" w:eastAsia="zh-CN"/>
        </w:rPr>
        <w:t>勒</w:t>
      </w:r>
      <w:r>
        <w:rPr>
          <w:rFonts w:hint="eastAsia" w:ascii="仿宋_GB2312" w:hAnsi="宋体" w:eastAsia="仿宋_GB2312" w:cs="宋体"/>
          <w:kern w:val="0"/>
          <w:sz w:val="32"/>
          <w:szCs w:val="32"/>
          <w:highlight w:val="none"/>
        </w:rPr>
        <w:t>学校、八拉城学校、石山小学、王山小学、奴拉芒小学、康家小学均内设3个职能处(组、室):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1.办公室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配合教育局制定符合党的教育方针和国家教育法律法规的教育发展规划并抓好组织实施和落实工作;贯彻、执行教育法律法规和政策规定,坚持依法治教、依法治学。巩固提高“两基”工作成果和整体水平,配合教育局依法动员、组织适龄儿童少年入学,严格控制辍学,推进普及九年义务教育;指导管理、检查、评价学校的教育教学工作,提高办学质量和办学效益;负责教育教学管理及教研教改工作,全力推进素质教育实施协助上级教育主管部门做好学校教师考核工作,负责教师管理继续教育、考核考评等工作;负责财务管理,筹措资金,改善办学条件等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2.教务处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主要职责:协助校长制定并实施教育、教学工作计划;检查并总结学校的数育教学工作;组织管理教学工作,指导各科教师贯彻课程标准,执行教学计划,开展各种教学、教研活动,提高教学质量;协助校长室、党支部、少先队对学生进行思想政治教育,有针对性的开展教育活动,向学生进行劳动教育,组织校外活动和家长会;组织安排学生的体育卫生和生活管理工作,抓好“两课”、“两操”(体育课、活动课、课间操、眼保健操和大课间活动)和学校体育运动会。搞好卫生保健工作,关心师生的身心健康;组织有关人员搞好招生、编班、学籍管理、考勤考绩课程表编排、资料以及资料室、图书室、实验室、电教室的有关工作;每学期末对教学工作,思想教育工作和体育卫生工作,进行一次书面总结,向校长汇报。组织教师总结教学经验,积极开展期末或学年末的评优奖励活动</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教研组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主要职责:领导并定期召开教研组会议,指导教研组制订具体教学工作计划,指导教研组的研究活动,帮助教研组总结交流教学经验;深入课堂听课,定期召开部分教师和学生的座谈会;组织好“三课”(示范课、公开课,优质课),对外公开课的赛教活动;组织开展学科竞赛和各科课外科技活动;负责科研课题的实施;与教导处共同负贵“教坛新秀”、“教学能手”、“学科带头人”的评选推荐工作</w:t>
      </w:r>
      <w:r>
        <w:rPr>
          <w:rFonts w:hint="eastAsia" w:ascii="仿宋_GB2312" w:hAnsi="宋体" w:eastAsia="仿宋_GB2312" w:cs="宋体"/>
          <w:kern w:val="0"/>
          <w:sz w:val="32"/>
          <w:szCs w:val="32"/>
          <w:highlight w:val="none"/>
          <w:lang w:eastAsia="zh-CN"/>
        </w:rPr>
        <w:t>。</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both"/>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9941164.00</w:t>
      </w:r>
      <w:r>
        <w:rPr>
          <w:rFonts w:hint="eastAsia" w:ascii="仿宋_GB2312" w:hAnsi="黑体" w:eastAsia="仿宋_GB2312"/>
          <w:sz w:val="32"/>
          <w:szCs w:val="32"/>
          <w:highlight w:val="none"/>
        </w:rPr>
        <w:t>元，其中：一般公共预算财政拨款收入9941164.00元，政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9941164.00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112728.12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112728.12</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913097.77</w:t>
      </w:r>
      <w:r>
        <w:rPr>
          <w:rFonts w:hint="eastAsia" w:ascii="仿宋_GB2312" w:hAnsi="黑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：376086.39</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住房保障支出：676368.72</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教育支出：7862883.00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9836125.00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112728.12</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112728.12</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（款）2022年预算支出901824.96元，其中：机关事业单位基本养老保险缴费支出（项）2022年预算支出901824.96元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（款）2022年预算支出11272.81元。其中：财政对工伤保险基金的补助（项）2022年预算支出11272.81元。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）财政对基本医疗保险基金的补助（款）2022年预算支出</w:t>
      </w:r>
      <w:r>
        <w:rPr>
          <w:rFonts w:hint="eastAsia" w:ascii="仿宋_GB2312" w:hAnsi="黑体" w:eastAsia="仿宋_GB2312"/>
          <w:sz w:val="32"/>
          <w:szCs w:val="32"/>
          <w:highlight w:val="none"/>
        </w:rPr>
        <w:t>376086.39</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376086.39</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）住房保障支出（类</w:t>
      </w:r>
      <w:r>
        <w:rPr>
          <w:rFonts w:hint="eastAsia" w:ascii="仿宋_GB2312" w:hAnsi="黑体" w:eastAsia="仿宋_GB2312"/>
          <w:sz w:val="32"/>
          <w:szCs w:val="32"/>
          <w:highlight w:val="none"/>
        </w:rPr>
        <w:t>）住房改革支出（款）2022年预算支出</w:t>
      </w:r>
      <w:r>
        <w:rPr>
          <w:rFonts w:hint="eastAsia" w:ascii="仿宋_GB2312" w:hAnsi="黑体" w:eastAsia="仿宋_GB2312"/>
          <w:sz w:val="32"/>
          <w:szCs w:val="32"/>
          <w:highlight w:val="none"/>
        </w:rPr>
        <w:t>676368.72</w:t>
      </w:r>
      <w:r>
        <w:rPr>
          <w:rFonts w:hint="eastAsia" w:ascii="仿宋_GB2312" w:hAnsi="黑体" w:eastAsia="仿宋_GB2312"/>
          <w:sz w:val="32"/>
          <w:szCs w:val="32"/>
          <w:highlight w:val="none"/>
        </w:rPr>
        <w:t>元，其中：住房公积金（项）2022年预算支出</w:t>
      </w:r>
      <w:r>
        <w:rPr>
          <w:rFonts w:hint="eastAsia" w:ascii="仿宋_GB2312" w:hAnsi="黑体" w:eastAsia="仿宋_GB2312"/>
          <w:sz w:val="32"/>
          <w:szCs w:val="32"/>
          <w:highlight w:val="none"/>
        </w:rPr>
        <w:t>676368.72</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）普通教育（款）2022年预算支出</w:t>
      </w:r>
      <w:r>
        <w:rPr>
          <w:rFonts w:hint="eastAsia" w:ascii="仿宋_GB2312" w:hAnsi="黑体" w:eastAsia="仿宋_GB2312"/>
          <w:sz w:val="32"/>
          <w:szCs w:val="32"/>
          <w:highlight w:val="none"/>
        </w:rPr>
        <w:t>7862883.00</w:t>
      </w:r>
      <w:r>
        <w:rPr>
          <w:rFonts w:hint="eastAsia" w:ascii="仿宋_GB2312" w:hAnsi="黑体" w:eastAsia="仿宋_GB2312"/>
          <w:sz w:val="32"/>
          <w:szCs w:val="32"/>
          <w:highlight w:val="none"/>
        </w:rPr>
        <w:t>元，其中：小学教育（项）2022年预算支出</w:t>
      </w:r>
      <w:r>
        <w:rPr>
          <w:rFonts w:hint="eastAsia" w:ascii="仿宋_GB2312" w:hAnsi="黑体" w:eastAsia="仿宋_GB2312"/>
          <w:sz w:val="32"/>
          <w:szCs w:val="32"/>
          <w:highlight w:val="none"/>
        </w:rPr>
        <w:t>7862883.00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i w:val="0"/>
          <w:iCs w:val="0"/>
          <w:sz w:val="32"/>
          <w:szCs w:val="32"/>
          <w:highlight w:val="none"/>
          <w:lang w:val="en-US" w:eastAsia="zh-CN"/>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预算基本支出9836125.00元，其中：人员经费9836125.00元，单位运转经费0元，专项资金105039.00元，比上年预算数减少0%。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bookmarkStart w:id="0" w:name="_GoBack"/>
      <w:bookmarkEnd w:id="0"/>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4F0B62"/>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963EF9"/>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6FB790B"/>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3330</Words>
  <Characters>3684</Characters>
  <Lines>16</Lines>
  <Paragraphs>4</Paragraphs>
  <TotalTime>0</TotalTime>
  <ScaleCrop>false</ScaleCrop>
  <LinksUpToDate>false</LinksUpToDate>
  <CharactersWithSpaces>3738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2023-06-05T08:20:33Z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