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商务局20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1"/>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1"/>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ascii="仿宋_GB2312" w:eastAsia="仿宋_GB2312"/>
          <w:sz w:val="30"/>
          <w:szCs w:val="30"/>
        </w:rPr>
      </w:pPr>
    </w:p>
    <w:p>
      <w:pPr>
        <w:ind w:firstLine="640" w:firstLineChars="200"/>
        <w:rPr>
          <w:rFonts w:ascii="黑体" w:hAnsi="黑体" w:eastAsia="黑体"/>
          <w:sz w:val="32"/>
          <w:szCs w:val="32"/>
        </w:rPr>
      </w:pPr>
      <w:r>
        <w:rPr>
          <w:rFonts w:hint="eastAsia" w:ascii="黑体" w:hAnsi="黑体" w:eastAsia="黑体"/>
          <w:sz w:val="32"/>
          <w:szCs w:val="32"/>
        </w:rPr>
        <w:t>一、部门基本情况</w:t>
      </w:r>
    </w:p>
    <w:p>
      <w:pPr>
        <w:ind w:firstLine="643" w:firstLineChars="200"/>
        <w:rPr>
          <w:rFonts w:ascii="楷体_GB2312" w:eastAsia="楷体_GB2312"/>
          <w:b/>
          <w:sz w:val="32"/>
          <w:szCs w:val="32"/>
        </w:rPr>
      </w:pPr>
      <w:r>
        <w:rPr>
          <w:rFonts w:hint="eastAsia" w:ascii="楷体_GB2312" w:eastAsia="楷体_GB2312"/>
          <w:b/>
          <w:sz w:val="32"/>
          <w:szCs w:val="32"/>
        </w:rPr>
        <w:t>（一）职能职责</w:t>
      </w:r>
    </w:p>
    <w:p>
      <w:pPr>
        <w:ind w:left="640" w:leftChars="305"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（一）贯彻落实国家有关内外贸易、国际经济合作、经济协作和境外招商引资的发展战略、方针政策；制订全县商务领域规章、制度、标准和发展规划。</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二）研究制订全县规范流通领域市场体系及流通秩序的政策，促进内外贸易结合，建立健全统一、开放、竞争、有序的市场体系；监测分析市场运行和商品供求状况，组织实施重要消费品市场流通管理；研究提出流通体制改革意见，培育发展城乡市场，推进流通产业结构调整及现代流通方式和组织形式现代化，加强本系统的安全生产管理。</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三）调查研究流通行业重大问题，提出政策建议；负责对酒类重要商品的流通管理；负责拍卖、典当、租赁、汽车、旧货流通活动的监督管理；负责石油成品油市场管理及批发、仓储、零售经营资格的审核报批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（四）执行国家制定的进出商品管理办法、进出口商品目标和进出口商品配额政策；负责进出口配额计划的编报、下达和组织实施及配额、许可证的审报工作。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（五）负责推动商贸流通科技信息化建设和电子商务的发展，会同有关部门管理商贸流通各类业务资金、专项基金，组织、指导商贸流通业职工技能培训和有关特有工种职业技能鉴定。</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（六）负责全县商务系统涉及世贸组织相关事务的研究、指导和服务工作；组织协调反倾销、反补贴、保障措施及其他与进出口公平交易相关的工作；组织全县产业损害调查；组织科技兴贸战略在全县的实施。</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七）负责全县对外经济合作工作；指导和监督对外承包工程、劳务合作、设计咨询、境外投资等业务的管理；负责争取和接受联合国及其他国际组织或国外政府、民间组织对我县的多边、双边无偿援助项目及赠款的申报、组织和协调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（八）负责组织开展全县区域内外贸易专业批发市场和大型营销设施项目的规划、布局、论证、立项和物资配套供应，并负责监督管理各类专业市场的规范运营。</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（九）负责国家、省、州、县投资及划拨的调控资金、专项资金的管理，承担政府授权流通范围内的国有资产的管理，依法行使国有股权。</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（十）负责中国·兰州投资贸易洽谈会等节会的组织和实施工作；归口管理各类涉外商务交易会、展览会、展销会等活动；制订并实施赴境外举办上述活动的管理办法。</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（十一）负责全县商务新闻发布会、宣传工作和提供信息咨询服务，指导全县流通领域信息网络和电子商务建设。</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（十二）负责全县经济协作和驻外机构的协调管理工作。</w:t>
      </w:r>
    </w:p>
    <w:p>
      <w:pPr>
        <w:ind w:left="640"/>
        <w:rPr>
          <w:rFonts w:hint="eastAsia" w:ascii="仿宋_GB2312" w:hAnsi="仿宋" w:eastAsia="仿宋_GB2312" w:cs="仿宋"/>
          <w:sz w:val="32"/>
          <w:szCs w:val="32"/>
        </w:rPr>
      </w:pPr>
      <w:r>
        <w:rPr>
          <w:rFonts w:hint="eastAsia" w:ascii="仿宋_GB2312" w:hAnsi="仿宋" w:eastAsia="仿宋_GB2312" w:cs="仿宋"/>
          <w:sz w:val="32"/>
          <w:szCs w:val="32"/>
        </w:rPr>
        <w:t xml:space="preserve">    （十三）指导全县商贸流通行业协会、学会等社团组织工作。</w:t>
      </w:r>
    </w:p>
    <w:p>
      <w:pPr>
        <w:spacing w:line="640" w:lineRule="exact"/>
        <w:ind w:left="640" w:leftChars="305" w:firstLine="640" w:firstLineChars="200"/>
        <w:rPr>
          <w:rFonts w:hint="eastAsia" w:ascii="仿宋_GB2312" w:hAnsi="黑体" w:eastAsia="仿宋_GB2312"/>
          <w:b/>
          <w:bCs/>
          <w:color w:val="FF0000"/>
          <w:sz w:val="32"/>
          <w:szCs w:val="32"/>
        </w:rPr>
      </w:pPr>
      <w:r>
        <w:rPr>
          <w:rFonts w:hint="eastAsia" w:ascii="仿宋_GB2312" w:hAnsi="仿宋" w:eastAsia="仿宋_GB2312" w:cs="仿宋"/>
          <w:sz w:val="32"/>
          <w:szCs w:val="32"/>
        </w:rPr>
        <w:t>（十四）承办县委、县政府交办的其他事项。</w:t>
      </w:r>
    </w:p>
    <w:p>
      <w:pPr>
        <w:ind w:firstLine="643" w:firstLineChars="200"/>
        <w:rPr>
          <w:rFonts w:ascii="楷体_GB2312" w:eastAsia="楷体_GB2312"/>
          <w:b/>
          <w:sz w:val="32"/>
          <w:szCs w:val="32"/>
        </w:rPr>
      </w:pPr>
      <w:r>
        <w:rPr>
          <w:rFonts w:hint="eastAsia" w:ascii="楷体_GB2312" w:eastAsia="楷体_GB2312"/>
          <w:b/>
          <w:sz w:val="32"/>
          <w:szCs w:val="32"/>
        </w:rPr>
        <w:t>（二）机构设置</w:t>
      </w:r>
    </w:p>
    <w:p>
      <w:pPr>
        <w:spacing w:line="640" w:lineRule="exact"/>
        <w:ind w:firstLine="645"/>
        <w:rPr>
          <w:rFonts w:hint="default" w:ascii="仿宋_GB2312" w:hAnsi="黑体" w:eastAsia="仿宋_GB2312"/>
          <w:b/>
          <w:bCs/>
          <w:sz w:val="32"/>
          <w:szCs w:val="32"/>
          <w:lang w:val="en-US" w:eastAsia="zh-CN"/>
        </w:rPr>
      </w:pPr>
      <w:r>
        <w:rPr>
          <w:rFonts w:hint="eastAsia" w:ascii="仿宋_GB2312" w:hAnsi="Times New Roman" w:eastAsia="仿宋_GB2312" w:cs="Times New Roman"/>
          <w:b w:val="0"/>
          <w:bCs w:val="0"/>
          <w:sz w:val="32"/>
          <w:szCs w:val="32"/>
          <w:lang w:eastAsia="zh-CN"/>
        </w:rPr>
        <w:t>东乡县商务局内设</w:t>
      </w:r>
      <w:r>
        <w:rPr>
          <w:rFonts w:hint="eastAsia" w:ascii="仿宋_GB2312" w:hAnsi="Times New Roman" w:eastAsia="仿宋_GB2312" w:cs="Times New Roman"/>
          <w:b w:val="0"/>
          <w:bCs w:val="0"/>
          <w:sz w:val="32"/>
          <w:szCs w:val="32"/>
          <w:lang w:val="en-US" w:eastAsia="zh-CN"/>
        </w:rPr>
        <w:t>10业务股室，2个</w:t>
      </w:r>
      <w:r>
        <w:rPr>
          <w:rFonts w:hint="eastAsia" w:ascii="仿宋_GB2312" w:hAnsi="Times New Roman" w:eastAsia="仿宋_GB2312" w:cs="Times New Roman"/>
          <w:b w:val="0"/>
          <w:bCs w:val="0"/>
          <w:sz w:val="32"/>
          <w:szCs w:val="32"/>
          <w:lang w:eastAsia="zh-CN"/>
        </w:rPr>
        <w:t>副科级事业单位。</w:t>
      </w:r>
    </w:p>
    <w:p>
      <w:pPr>
        <w:ind w:firstLine="630" w:firstLineChars="196"/>
        <w:rPr>
          <w:rFonts w:hint="eastAsia" w:ascii="仿宋_GB2312" w:hAnsi="仿宋" w:eastAsia="仿宋_GB2312" w:cs="仿宋"/>
          <w:sz w:val="32"/>
        </w:rPr>
      </w:pPr>
      <w:r>
        <w:rPr>
          <w:rFonts w:hint="eastAsia" w:ascii="仿宋_GB2312" w:hAnsi="仿宋" w:eastAsia="仿宋_GB2312" w:cs="仿宋"/>
          <w:b/>
          <w:bCs/>
          <w:sz w:val="32"/>
        </w:rPr>
        <w:t>（一）办公室</w:t>
      </w:r>
    </w:p>
    <w:p>
      <w:pPr>
        <w:rPr>
          <w:rFonts w:hint="eastAsia" w:ascii="仿宋_GB2312" w:hAnsi="仿宋" w:eastAsia="仿宋_GB2312" w:cs="仿宋"/>
          <w:sz w:val="32"/>
        </w:rPr>
      </w:pPr>
      <w:r>
        <w:rPr>
          <w:rFonts w:hint="eastAsia" w:ascii="仿宋_GB2312" w:hAnsi="仿宋" w:eastAsia="仿宋_GB2312" w:cs="仿宋"/>
          <w:sz w:val="32"/>
        </w:rPr>
        <w:t xml:space="preserve">    拟订局机关工作规章制度，负责局机关公务运转的组织协调工作；负责文电运转、会议组织、新闻发布、政务信息、秘书事务等日常政务，管理机关行政事务工作；负责局机关保密、档案管理、信访和安全保卫工作；负责局机关公务员、后勤服务人员的培训、考勤、考核和奖罚；负责局机关普法、来信来访综合治理、政治业务学习、精神文明建设、计划生育等工作；负责机关接待外事礼宾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（二）财务计划股</w:t>
      </w:r>
    </w:p>
    <w:p>
      <w:pPr>
        <w:rPr>
          <w:rFonts w:hint="eastAsia" w:ascii="仿宋_GB2312" w:hAnsi="仿宋" w:eastAsia="仿宋_GB2312" w:cs="仿宋"/>
          <w:sz w:val="32"/>
        </w:rPr>
      </w:pPr>
      <w:r>
        <w:rPr>
          <w:rFonts w:hint="eastAsia" w:ascii="仿宋_GB2312" w:hAnsi="仿宋" w:eastAsia="仿宋_GB2312" w:cs="仿宋"/>
          <w:sz w:val="32"/>
        </w:rPr>
        <w:t xml:space="preserve">    拟订财务管理制度，负责本系统财务监督管理工作；对授权范围内的国有资产进行监管、考核、年度审验、资产报废审核等工作；定期统计上报全县商贸流通、市场运行报表，并进行业务指导；负责州内外、省内外、国外各种洽谈会、交易会、展览会等资金管理和财务清算工作；负责局机关行政经费的收支审核及日常会计核算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(三)市场管理股</w:t>
      </w:r>
    </w:p>
    <w:p>
      <w:pPr>
        <w:rPr>
          <w:rFonts w:hint="eastAsia" w:ascii="仿宋_GB2312" w:hAnsi="仿宋" w:eastAsia="仿宋_GB2312" w:cs="仿宋"/>
          <w:sz w:val="32"/>
        </w:rPr>
      </w:pPr>
      <w:r>
        <w:rPr>
          <w:rFonts w:hint="eastAsia" w:ascii="仿宋_GB2312" w:hAnsi="仿宋" w:eastAsia="仿宋_GB2312" w:cs="仿宋"/>
          <w:sz w:val="32"/>
        </w:rPr>
        <w:t xml:space="preserve">    负责组织实施深化流通体制改革、市场体系建设，拍卖、典当、租赁、旧货等特殊流通行业市场准入等方面的法规、政策、规章、标准并指导专业技术人员的培训；负责组织实施大商贸、大流通、大市场工作；研究提出连锁经营、物流配送、电子商务等现代流通方式的发展规划并组织实施；负责汽车市场、旧机动车市场、石油成品油市场等监督管理；指导城乡商业网点规划、布局；监测、分析市场运行和重要商品供求状况；负责市场预测、预警和信息发布；组织实施重要消费品市场的调控工作，负责重要商品储备、监督和管理。</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（四）服务行业监管股</w:t>
      </w:r>
    </w:p>
    <w:p>
      <w:pPr>
        <w:rPr>
          <w:rFonts w:hint="eastAsia" w:ascii="仿宋_GB2312" w:hAnsi="仿宋" w:eastAsia="仿宋_GB2312" w:cs="仿宋"/>
          <w:sz w:val="32"/>
        </w:rPr>
      </w:pPr>
      <w:r>
        <w:rPr>
          <w:rFonts w:hint="eastAsia" w:ascii="仿宋_GB2312" w:hAnsi="仿宋" w:eastAsia="仿宋_GB2312" w:cs="仿宋"/>
          <w:sz w:val="32"/>
        </w:rPr>
        <w:t xml:space="preserve">    拟订全县饮食服务业发展规划、行业规章、市场规划、技术服务质量和等级标准；负责对全县餐饮、宾馆饭店、洗浴、美发美容、洗染、人像摄影等行业的监督管理；负责组织全县酒店、洗浴、美发美容、洗染、人像摄影营业等级评定，指导专业技术人员的业务培训和认定发证、归口管理全县商贸流通行业协会、学会等社团组织工作；贯彻落实国家、省州上有关食品放心工程、绿色工程等法规和政策；负责全县流通领域食品安全检测体系的建立、食品准入制度的贯彻执行；负责全县流通领域食品加工行业专业技术人员的业务技术培训。</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（五）外贸股</w:t>
      </w:r>
    </w:p>
    <w:p>
      <w:pPr>
        <w:rPr>
          <w:rFonts w:hint="eastAsia" w:ascii="仿宋_GB2312" w:hAnsi="仿宋" w:eastAsia="仿宋_GB2312" w:cs="仿宋"/>
          <w:sz w:val="32"/>
        </w:rPr>
      </w:pPr>
      <w:r>
        <w:rPr>
          <w:rFonts w:hint="eastAsia" w:ascii="仿宋_GB2312" w:hAnsi="仿宋" w:eastAsia="仿宋_GB2312" w:cs="仿宋"/>
          <w:sz w:val="32"/>
        </w:rPr>
        <w:t xml:space="preserve">    拟订和落实全县对外贸发展规划、组织年度出口商品计划的实施，负责重要工业品、原材料、农产品的进出口管理工作；协调审报进出口商品许可证发放及申请各类配额；承办企业外贸经营资格及进出口商品经营范围的审核、申报；指导和扶持出口商品基地建设；负责机电产品进出口管理工作；负责组织科技兴贸战略在全县的实施，拟订鼓励高新技术产品出口的政策措施，归口管理高新技术产品的出口、技术贸易及涉及到进出口管制的商品管理，负责进出口统计工作；负责外商投资企业在当地或境外发生的经济纠纷和案件的调解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（六）外资外经股</w:t>
      </w:r>
    </w:p>
    <w:p>
      <w:pPr>
        <w:rPr>
          <w:rFonts w:hint="eastAsia" w:ascii="仿宋_GB2312" w:hAnsi="仿宋" w:eastAsia="仿宋_GB2312" w:cs="仿宋"/>
          <w:b/>
          <w:sz w:val="32"/>
        </w:rPr>
      </w:pPr>
      <w:r>
        <w:rPr>
          <w:rFonts w:hint="eastAsia" w:ascii="仿宋_GB2312" w:hAnsi="仿宋" w:eastAsia="仿宋_GB2312" w:cs="仿宋"/>
          <w:sz w:val="32"/>
        </w:rPr>
        <w:t xml:space="preserve">    拟订外商投资、对外经济技术合作、承包工程、劳务合作及政策法规和中长期规划；负责全县外商投资企业合同、章程和各项重大变更事项的审核审批；负责审核各类进出口及“三来一补”项目；监督检查外商投资企业合同、章程履行情况；会同有关部门征集、筛选外商投资项目及外资企业的后期管理工人；负责承办全县对外经济合作工作；负责争取接受联合国、友好国家、国际民间组织无偿援助和赠款项目的实施和管理工作；编报项目中长期规划和年度执行方案；审查、申报、争取无偿援助和赠款项目，跟踪监督检查受援项目的执行情况和资金的使用情况及贷款归还情况；负责受援资金和设备的审批、管理与使用；负责对外谈判，接待项目来访官员和专家；负责组织“走出去”战略的贯彻实施；负责对直接投资、对外承包工程和对外劳务合作的监测、分析及统计工作；负责对外经济合作企业经营资格的审核、报批；负责全县境外投资项目的审批和管理工作；归口管理外派劳务人员出国前的培训工作，负责组织外经企业管理人员的业务培训；负责外商长驻我县机构的审批、管理。</w:t>
      </w:r>
    </w:p>
    <w:p>
      <w:pPr>
        <w:rPr>
          <w:rFonts w:hint="eastAsia" w:ascii="仿宋_GB2312" w:hAnsi="仿宋" w:eastAsia="仿宋_GB2312" w:cs="仿宋"/>
          <w:b/>
          <w:bCs/>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（七）电子商务股</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rPr>
        <w:t>帮助县域相关企业从事电子商务活动；</w:t>
      </w:r>
      <w:r>
        <w:rPr>
          <w:rFonts w:hint="eastAsia" w:ascii="仿宋_GB2312" w:hAnsi="仿宋" w:eastAsia="仿宋_GB2312" w:cs="仿宋"/>
          <w:sz w:val="32"/>
          <w:szCs w:val="32"/>
        </w:rPr>
        <w:t>建立健全与电子商务相配套的支付和信用体系；完善物流配送体系；落实政府出台关于电子商务的扶持政策和相关的法律法规；倡导成立电商协会，帮助完成了内部的自律、信息的对接、对外的宣传和标准的制订等工作</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（八）打击侵犯知识产权和制售假冒伪劣商品办公室</w:t>
      </w:r>
    </w:p>
    <w:p>
      <w:pPr>
        <w:widowControl/>
        <w:spacing w:before="225" w:after="75" w:line="360" w:lineRule="atLeast"/>
        <w:jc w:val="left"/>
        <w:rPr>
          <w:rFonts w:hint="eastAsia" w:ascii="仿宋_GB2312" w:hAnsi="仿宋" w:eastAsia="仿宋_GB2312" w:cs="仿宋"/>
          <w:sz w:val="32"/>
          <w:szCs w:val="32"/>
        </w:rPr>
      </w:pPr>
      <w:r>
        <w:rPr>
          <w:rFonts w:hint="eastAsia" w:ascii="仿宋_GB2312" w:hAnsi="仿宋" w:eastAsia="仿宋_GB2312" w:cs="仿宋"/>
          <w:sz w:val="32"/>
          <w:szCs w:val="32"/>
        </w:rPr>
        <w:t xml:space="preserve">    负责县域打击侵犯</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"http://baike.baidu.com/view/18255.htm" \t "http://baike.baidu.com/_blank"</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知识产权</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和制售</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"http://baike.baidu.com/view/4653445.htm" \t "http://baike.baidu.com/_blank"</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假冒伪劣</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商品专项行动，推动建立长效工作机制；督促检查各乡镇、各部门专项行动落实情况；督办侵犯知识产权和制售假冒伪劣商品重大案件。</w:t>
      </w:r>
    </w:p>
    <w:p>
      <w:pPr>
        <w:rPr>
          <w:rFonts w:hint="eastAsia" w:ascii="仿宋_GB2312" w:hAnsi="仿宋" w:eastAsia="仿宋_GB2312" w:cs="仿宋"/>
          <w:sz w:val="32"/>
        </w:rPr>
      </w:pPr>
      <w:r>
        <w:rPr>
          <w:rFonts w:hint="eastAsia" w:ascii="仿宋_GB2312" w:hAnsi="仿宋" w:eastAsia="仿宋_GB2312" w:cs="仿宋"/>
          <w:sz w:val="32"/>
        </w:rPr>
        <w:t xml:space="preserve">   </w:t>
      </w:r>
      <w:r>
        <w:rPr>
          <w:rFonts w:hint="eastAsia" w:ascii="仿宋_GB2312" w:hAnsi="仿宋" w:eastAsia="仿宋_GB2312" w:cs="仿宋"/>
          <w:b/>
          <w:bCs/>
          <w:sz w:val="32"/>
        </w:rPr>
        <w:t>（九）投资贸易促进中心</w:t>
      </w:r>
    </w:p>
    <w:p>
      <w:pPr>
        <w:ind w:firstLine="640" w:firstLineChars="200"/>
        <w:rPr>
          <w:rFonts w:hint="eastAsia" w:ascii="仿宋_GB2312" w:hAnsi="仿宋" w:eastAsia="仿宋_GB2312" w:cs="仿宋"/>
          <w:sz w:val="32"/>
        </w:rPr>
      </w:pPr>
      <w:r>
        <w:rPr>
          <w:rFonts w:hint="eastAsia" w:ascii="仿宋_GB2312" w:hAnsi="仿宋" w:eastAsia="仿宋_GB2312" w:cs="仿宋"/>
          <w:sz w:val="32"/>
        </w:rPr>
        <w:t>负责兰洽会的组织和实施工作；归口管理各类涉外商务交易会、展览会、展销会等活动，制定并实施开展上述活动的管理办法。</w:t>
      </w:r>
    </w:p>
    <w:p>
      <w:pPr>
        <w:rPr>
          <w:rFonts w:hint="eastAsia" w:ascii="仿宋_GB2312" w:hAnsi="仿宋" w:eastAsia="仿宋_GB2312" w:cs="仿宋"/>
          <w:sz w:val="32"/>
        </w:rPr>
      </w:pPr>
      <w:r>
        <w:rPr>
          <w:rFonts w:hint="eastAsia" w:ascii="仿宋_GB2312" w:hAnsi="仿宋" w:eastAsia="仿宋_GB2312" w:cs="仿宋"/>
          <w:b/>
          <w:bCs/>
          <w:sz w:val="32"/>
        </w:rPr>
        <w:t xml:space="preserve">   （十）商务综合行政执法大队</w:t>
      </w:r>
      <w:r>
        <w:rPr>
          <w:rFonts w:hint="eastAsia" w:ascii="仿宋_GB2312" w:hAnsi="仿宋" w:eastAsia="仿宋_GB2312" w:cs="仿宋"/>
          <w:sz w:val="32"/>
        </w:rPr>
        <w:t xml:space="preserve">   </w:t>
      </w:r>
    </w:p>
    <w:p>
      <w:pPr>
        <w:ind w:firstLine="640" w:firstLineChars="200"/>
        <w:rPr>
          <w:rFonts w:hint="eastAsia" w:ascii="仿宋_GB2312" w:hAnsi="Times New Roman" w:eastAsia="仿宋_GB2312" w:cs="Times New Roman"/>
          <w:b w:val="0"/>
          <w:bCs w:val="0"/>
          <w:sz w:val="32"/>
          <w:szCs w:val="32"/>
        </w:rPr>
      </w:pPr>
      <w:r>
        <w:rPr>
          <w:rFonts w:hint="eastAsia" w:ascii="仿宋_GB2312" w:hAnsi="仿宋" w:eastAsia="仿宋_GB2312" w:cs="仿宋"/>
          <w:sz w:val="32"/>
        </w:rPr>
        <w:t>贯彻执行国家、省有关法律、法规、规章赋予县级商务主管部门履行的行政执法职能；负责全县酒类商品流通、服务行业、再生资源回收、成品油市场监管及商贸流通领域的行政执法工作；接受并查处社会公众对商务领域扰乱市场秩序行为的举报投诉；面向社会公众和企业提供商务领域有关法律、法规、规章、规范性文件，以及行政审批和办事程序等方面的咨询、指导服务；负责全县商务行政执法的综合协调，接受上级商务行政执法机构的监督指导。</w:t>
      </w:r>
      <w:r>
        <w:rPr>
          <w:rFonts w:hint="eastAsia" w:ascii="仿宋_GB2312" w:eastAsia="仿宋_GB2312"/>
          <w:b w:val="0"/>
          <w:bCs w:val="0"/>
          <w:sz w:val="32"/>
          <w:szCs w:val="32"/>
        </w:rPr>
        <w:t>1</w:t>
      </w:r>
      <w:r>
        <w:rPr>
          <w:rFonts w:hint="eastAsia" w:ascii="仿宋_GB2312" w:hAnsi="Times New Roman" w:eastAsia="仿宋_GB2312" w:cs="Times New Roman"/>
          <w:b w:val="0"/>
          <w:bCs w:val="0"/>
          <w:sz w:val="32"/>
          <w:szCs w:val="32"/>
        </w:rPr>
        <w:t>、</w:t>
      </w:r>
      <w:r>
        <w:rPr>
          <w:rFonts w:hint="eastAsia" w:ascii="仿宋_GB2312" w:hAnsi="Times New Roman" w:eastAsia="仿宋_GB2312" w:cs="Times New Roman"/>
          <w:b w:val="0"/>
          <w:bCs w:val="0"/>
          <w:sz w:val="32"/>
          <w:szCs w:val="32"/>
          <w:lang w:val="en-US" w:eastAsia="zh-CN"/>
        </w:rPr>
        <w:t>东乡族自治县商务信息中心，县商务局下设股级事业单位，主要负责编制全县对外贸易发展的规划；负责对外引进技术项目、技术跟踪服务；负责“兰洽会”的组织实施</w:t>
      </w:r>
      <w:r>
        <w:rPr>
          <w:rFonts w:hint="eastAsia" w:ascii="仿宋_GB2312" w:hAnsi="Times New Roman" w:eastAsia="仿宋_GB2312" w:cs="Times New Roman"/>
          <w:b w:val="0"/>
          <w:bCs w:val="0"/>
          <w:sz w:val="32"/>
          <w:szCs w:val="32"/>
          <w:lang w:eastAsia="zh-CN"/>
        </w:rPr>
        <w:t>工作</w:t>
      </w:r>
      <w:r>
        <w:rPr>
          <w:rFonts w:hint="eastAsia" w:ascii="仿宋_GB2312" w:hAnsi="Times New Roman" w:eastAsia="仿宋_GB2312" w:cs="Times New Roman"/>
          <w:b w:val="0"/>
          <w:bCs w:val="0"/>
          <w:sz w:val="32"/>
          <w:szCs w:val="32"/>
        </w:rPr>
        <w:t>。</w:t>
      </w:r>
    </w:p>
    <w:p>
      <w:pPr>
        <w:numPr>
          <w:ilvl w:val="0"/>
          <w:numId w:val="1"/>
        </w:numPr>
        <w:ind w:firstLine="643" w:firstLineChars="200"/>
        <w:rPr>
          <w:rFonts w:hint="eastAsia" w:ascii="仿宋_GB2312" w:hAnsi="Times New Roman" w:eastAsia="仿宋_GB2312" w:cs="Times New Roman"/>
          <w:b w:val="0"/>
          <w:bCs w:val="0"/>
          <w:sz w:val="32"/>
          <w:szCs w:val="32"/>
        </w:rPr>
      </w:pPr>
      <w:r>
        <w:rPr>
          <w:rFonts w:hint="eastAsia" w:ascii="仿宋_GB2312" w:hAnsi="仿宋" w:eastAsia="仿宋_GB2312" w:cs="仿宋"/>
          <w:b/>
          <w:bCs/>
          <w:sz w:val="32"/>
          <w:lang w:eastAsia="zh-CN"/>
        </w:rPr>
        <w:t>东乡族自治县电子商务中心</w:t>
      </w:r>
    </w:p>
    <w:p>
      <w:pPr>
        <w:numPr>
          <w:ilvl w:val="0"/>
          <w:numId w:val="0"/>
        </w:numPr>
        <w:ind w:firstLine="960" w:firstLineChars="300"/>
        <w:rPr>
          <w:rFonts w:hint="eastAsia" w:ascii="仿宋_GB2312" w:hAnsi="Times New Roman" w:eastAsia="仿宋_GB2312" w:cs="Times New Roman"/>
          <w:b w:val="0"/>
          <w:bCs w:val="0"/>
          <w:sz w:val="32"/>
          <w:szCs w:val="32"/>
        </w:rPr>
      </w:pPr>
      <w:r>
        <w:rPr>
          <w:rFonts w:hint="eastAsia" w:ascii="仿宋_GB2312" w:hAnsi="Times New Roman" w:eastAsia="仿宋_GB2312" w:cs="Times New Roman"/>
          <w:b w:val="0"/>
          <w:bCs w:val="0"/>
          <w:sz w:val="32"/>
          <w:szCs w:val="32"/>
          <w:lang w:eastAsia="zh-CN"/>
        </w:rPr>
        <w:t>县商务局下设的副科级事业单位，主要负责指导电子商务建设，制定全县电子商务发展规划，推动电子商务信用法规和标准体系建设，建设电子商务统计和评价体系等工作</w:t>
      </w:r>
      <w:r>
        <w:rPr>
          <w:rFonts w:hint="eastAsia" w:ascii="仿宋_GB2312" w:hAnsi="Times New Roman" w:eastAsia="仿宋_GB2312" w:cs="Times New Roman"/>
          <w:b w:val="0"/>
          <w:bCs w:val="0"/>
          <w:sz w:val="32"/>
          <w:szCs w:val="32"/>
        </w:rPr>
        <w:t>。</w:t>
      </w:r>
    </w:p>
    <w:p>
      <w:pPr>
        <w:numPr>
          <w:ilvl w:val="0"/>
          <w:numId w:val="1"/>
        </w:numPr>
        <w:spacing w:line="600" w:lineRule="exact"/>
        <w:ind w:left="0" w:leftChars="0" w:firstLine="643" w:firstLineChars="200"/>
        <w:rPr>
          <w:rFonts w:hint="eastAsia" w:ascii="仿宋_GB2312" w:hAnsi="Times New Roman" w:eastAsia="仿宋_GB2312" w:cs="Times New Roman"/>
          <w:b w:val="0"/>
          <w:bCs w:val="0"/>
          <w:sz w:val="32"/>
          <w:szCs w:val="32"/>
          <w:lang w:eastAsia="zh-CN"/>
        </w:rPr>
      </w:pPr>
      <w:r>
        <w:rPr>
          <w:rFonts w:hint="eastAsia" w:ascii="仿宋_GB2312" w:hAnsi="仿宋" w:eastAsia="仿宋_GB2312" w:cs="仿宋"/>
          <w:b/>
          <w:bCs/>
          <w:sz w:val="32"/>
          <w:lang w:eastAsia="zh-CN"/>
        </w:rPr>
        <w:t>东乡族自治县美食产业发展中心</w:t>
      </w:r>
    </w:p>
    <w:p>
      <w:pPr>
        <w:numPr>
          <w:ilvl w:val="0"/>
          <w:numId w:val="0"/>
        </w:numPr>
        <w:spacing w:line="600" w:lineRule="exact"/>
        <w:ind w:leftChars="200" w:firstLine="960" w:firstLineChars="300"/>
        <w:rPr>
          <w:rFonts w:hint="eastAsia" w:ascii="仿宋_GB2312" w:eastAsia="仿宋_GB2312"/>
          <w:sz w:val="32"/>
        </w:rPr>
      </w:pPr>
      <w:r>
        <w:rPr>
          <w:rFonts w:hint="eastAsia" w:ascii="仿宋_GB2312" w:hAnsi="Times New Roman" w:eastAsia="仿宋_GB2312" w:cs="Times New Roman"/>
          <w:b w:val="0"/>
          <w:bCs w:val="0"/>
          <w:sz w:val="32"/>
          <w:szCs w:val="32"/>
          <w:lang w:eastAsia="zh-CN"/>
        </w:rPr>
        <w:t>县商务局下设的副科级事业单位，主要负责全县美食产业发展的规划和统计工作。</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720" w:firstLineChars="225"/>
        <w:jc w:val="both"/>
        <w:textAlignment w:val="baseline"/>
        <w:outlineLvl w:val="9"/>
        <w:rPr>
          <w:rFonts w:hint="eastAsia" w:ascii="仿宋_GB2312" w:hAnsi="黑体" w:eastAsia="仿宋_GB2312"/>
          <w:b w:val="0"/>
          <w:bCs w:val="0"/>
          <w:sz w:val="32"/>
          <w:szCs w:val="32"/>
          <w:lang w:eastAsia="zh-CN"/>
        </w:rPr>
      </w:pPr>
      <w:r>
        <w:rPr>
          <w:rFonts w:hint="eastAsia" w:ascii="仿宋_GB2312" w:hAnsi="黑体" w:eastAsia="仿宋_GB2312"/>
          <w:b w:val="0"/>
          <w:bCs w:val="0"/>
          <w:sz w:val="32"/>
          <w:szCs w:val="32"/>
          <w:lang w:eastAsia="zh-CN"/>
        </w:rPr>
        <w:t>人员情况。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现有</w:t>
      </w:r>
      <w:r>
        <w:rPr>
          <w:rFonts w:hint="eastAsia" w:ascii="仿宋_GB2312" w:eastAsia="仿宋_GB2312"/>
          <w:sz w:val="30"/>
          <w:szCs w:val="30"/>
          <w:lang w:val="en-US" w:eastAsia="zh-CN"/>
        </w:rPr>
        <w:t>局长1</w:t>
      </w:r>
      <w:r>
        <w:rPr>
          <w:rFonts w:hint="eastAsia" w:ascii="仿宋_GB2312" w:eastAsia="仿宋_GB2312"/>
          <w:sz w:val="30"/>
          <w:szCs w:val="30"/>
          <w:lang w:eastAsia="zh-CN"/>
        </w:rPr>
        <w:t>名，副</w:t>
      </w:r>
      <w:r>
        <w:rPr>
          <w:rFonts w:hint="eastAsia" w:ascii="仿宋_GB2312" w:eastAsia="仿宋_GB2312"/>
          <w:sz w:val="30"/>
          <w:szCs w:val="30"/>
          <w:lang w:val="en-US" w:eastAsia="zh-CN"/>
        </w:rPr>
        <w:t>局长2</w:t>
      </w:r>
      <w:r>
        <w:rPr>
          <w:rFonts w:hint="eastAsia" w:ascii="仿宋_GB2312" w:eastAsia="仿宋_GB2312"/>
          <w:sz w:val="30"/>
          <w:szCs w:val="30"/>
          <w:lang w:eastAsia="zh-CN"/>
        </w:rPr>
        <w:t>名，行政编制</w:t>
      </w:r>
      <w:r>
        <w:rPr>
          <w:rFonts w:hint="eastAsia" w:ascii="仿宋_GB2312" w:eastAsia="仿宋_GB2312"/>
          <w:sz w:val="30"/>
          <w:szCs w:val="30"/>
          <w:lang w:val="en-US" w:eastAsia="zh-CN"/>
        </w:rPr>
        <w:t>6名，事业编制27名，行政工勤编制1名，事业工勤编制5名。</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年年末总人数为</w:t>
      </w:r>
      <w:r>
        <w:rPr>
          <w:rFonts w:hint="eastAsia" w:ascii="仿宋_GB2312" w:eastAsia="仿宋_GB2312"/>
          <w:sz w:val="30"/>
          <w:szCs w:val="30"/>
          <w:lang w:val="en-US" w:eastAsia="zh-CN"/>
        </w:rPr>
        <w:t>40</w:t>
      </w:r>
      <w:r>
        <w:rPr>
          <w:rFonts w:hint="eastAsia" w:ascii="仿宋_GB2312" w:eastAsia="仿宋_GB2312"/>
          <w:sz w:val="30"/>
          <w:szCs w:val="30"/>
          <w:lang w:eastAsia="zh-CN"/>
        </w:rPr>
        <w:t>人，公务员</w:t>
      </w:r>
      <w:r>
        <w:rPr>
          <w:rFonts w:hint="eastAsia" w:ascii="仿宋_GB2312" w:eastAsia="仿宋_GB2312"/>
          <w:sz w:val="30"/>
          <w:szCs w:val="30"/>
          <w:lang w:val="en-US" w:eastAsia="zh-CN"/>
        </w:rPr>
        <w:t>6人，</w:t>
      </w:r>
      <w:r>
        <w:rPr>
          <w:rFonts w:hint="eastAsia" w:ascii="仿宋_GB2312" w:eastAsia="仿宋_GB2312"/>
          <w:sz w:val="30"/>
          <w:szCs w:val="30"/>
          <w:lang w:eastAsia="zh-CN"/>
        </w:rPr>
        <w:t>管理七级</w:t>
      </w:r>
      <w:r>
        <w:rPr>
          <w:rFonts w:hint="eastAsia" w:ascii="仿宋_GB2312" w:eastAsia="仿宋_GB2312"/>
          <w:sz w:val="30"/>
          <w:szCs w:val="30"/>
          <w:lang w:val="en-US" w:eastAsia="zh-CN"/>
        </w:rPr>
        <w:t>7</w:t>
      </w:r>
      <w:r>
        <w:rPr>
          <w:rFonts w:hint="eastAsia" w:ascii="仿宋_GB2312" w:eastAsia="仿宋_GB2312"/>
          <w:sz w:val="30"/>
          <w:szCs w:val="30"/>
          <w:lang w:eastAsia="zh-CN"/>
        </w:rPr>
        <w:t>人，管理八级</w:t>
      </w:r>
      <w:r>
        <w:rPr>
          <w:rFonts w:hint="eastAsia" w:ascii="仿宋_GB2312" w:eastAsia="仿宋_GB2312"/>
          <w:sz w:val="30"/>
          <w:szCs w:val="30"/>
          <w:lang w:val="en-US" w:eastAsia="zh-CN"/>
        </w:rPr>
        <w:t>5</w:t>
      </w:r>
      <w:r>
        <w:rPr>
          <w:rFonts w:hint="eastAsia" w:ascii="仿宋_GB2312" w:eastAsia="仿宋_GB2312"/>
          <w:sz w:val="30"/>
          <w:szCs w:val="30"/>
          <w:lang w:eastAsia="zh-CN"/>
        </w:rPr>
        <w:t>人</w:t>
      </w:r>
      <w:r>
        <w:rPr>
          <w:rFonts w:hint="eastAsia" w:ascii="仿宋_GB2312" w:eastAsia="仿宋_GB2312"/>
          <w:sz w:val="30"/>
          <w:szCs w:val="30"/>
          <w:lang w:val="en-US" w:eastAsia="zh-CN"/>
        </w:rPr>
        <w:t>，</w:t>
      </w:r>
      <w:r>
        <w:rPr>
          <w:rFonts w:hint="eastAsia" w:ascii="仿宋_GB2312" w:eastAsia="仿宋_GB2312"/>
          <w:sz w:val="30"/>
          <w:szCs w:val="30"/>
          <w:lang w:eastAsia="zh-CN"/>
        </w:rPr>
        <w:t>管理九级</w:t>
      </w:r>
      <w:r>
        <w:rPr>
          <w:rFonts w:hint="eastAsia" w:ascii="仿宋_GB2312" w:eastAsia="仿宋_GB2312"/>
          <w:sz w:val="30"/>
          <w:szCs w:val="30"/>
          <w:lang w:val="en-US" w:eastAsia="zh-CN"/>
        </w:rPr>
        <w:t>17</w:t>
      </w:r>
      <w:r>
        <w:rPr>
          <w:rFonts w:hint="eastAsia" w:ascii="仿宋_GB2312" w:eastAsia="仿宋_GB2312"/>
          <w:sz w:val="30"/>
          <w:szCs w:val="30"/>
          <w:lang w:eastAsia="zh-CN"/>
        </w:rPr>
        <w:t>人，工人</w:t>
      </w:r>
      <w:r>
        <w:rPr>
          <w:rFonts w:hint="eastAsia" w:ascii="仿宋_GB2312" w:eastAsia="仿宋_GB2312"/>
          <w:sz w:val="30"/>
          <w:szCs w:val="30"/>
          <w:lang w:val="en-US" w:eastAsia="zh-CN"/>
        </w:rPr>
        <w:t>6</w:t>
      </w:r>
      <w:r>
        <w:rPr>
          <w:rFonts w:hint="eastAsia" w:ascii="仿宋_GB2312" w:eastAsia="仿宋_GB2312"/>
          <w:sz w:val="30"/>
          <w:szCs w:val="30"/>
          <w:lang w:eastAsia="zh-CN"/>
        </w:rPr>
        <w:t>人。</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w:t>
      </w:r>
    </w:p>
    <w:p>
      <w:pPr>
        <w:ind w:firstLine="600" w:firstLineChars="200"/>
        <w:rPr>
          <w:rFonts w:ascii="仿宋_GB2312" w:eastAsia="仿宋_GB2312"/>
          <w:sz w:val="30"/>
          <w:szCs w:val="30"/>
        </w:rPr>
      </w:pPr>
      <w:r>
        <w:rPr>
          <w:rFonts w:hint="eastAsia" w:ascii="仿宋_GB2312" w:eastAsia="仿宋_GB2312"/>
          <w:sz w:val="30"/>
          <w:szCs w:val="30"/>
        </w:rPr>
        <w:t>表八：表政府性基金预算财政拨款收入支出决算表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5,270,388.51</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5486388.51</w:t>
      </w:r>
      <w:r>
        <w:rPr>
          <w:rFonts w:hint="eastAsia" w:ascii="仿宋_GB2312" w:eastAsia="仿宋_GB2312"/>
          <w:sz w:val="30"/>
          <w:szCs w:val="30"/>
          <w:lang w:eastAsia="zh-CN"/>
        </w:rPr>
        <w:t>元</w:t>
      </w:r>
      <w:r>
        <w:rPr>
          <w:rFonts w:hint="eastAsia" w:ascii="仿宋_GB2312" w:eastAsia="仿宋_GB2312"/>
          <w:sz w:val="30"/>
          <w:szCs w:val="30"/>
        </w:rPr>
        <w:t>。与20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减少8794099.15元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62.53</w:t>
      </w:r>
      <w:r>
        <w:rPr>
          <w:rFonts w:hint="eastAsia" w:ascii="仿宋_GB2312" w:eastAsia="仿宋_GB2312"/>
          <w:sz w:val="30"/>
          <w:szCs w:val="30"/>
        </w:rPr>
        <w:t>%，支出</w:t>
      </w:r>
      <w:r>
        <w:rPr>
          <w:rFonts w:hint="eastAsia" w:ascii="仿宋_GB2312" w:eastAsia="仿宋_GB2312"/>
          <w:sz w:val="30"/>
          <w:szCs w:val="30"/>
          <w:lang w:eastAsia="zh-CN"/>
        </w:rPr>
        <w:t>减少8960912.06元</w:t>
      </w:r>
      <w:r>
        <w:rPr>
          <w:rFonts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62.02</w:t>
      </w:r>
      <w:r>
        <w:rPr>
          <w:rFonts w:hint="eastAsia" w:ascii="仿宋_GB2312" w:eastAsia="仿宋_GB2312"/>
          <w:sz w:val="30"/>
          <w:szCs w:val="30"/>
        </w:rPr>
        <w:t>%。主要原因是</w:t>
      </w:r>
      <w:r>
        <w:rPr>
          <w:rFonts w:hint="eastAsia" w:ascii="仿宋_GB2312" w:eastAsia="仿宋_GB2312"/>
          <w:sz w:val="30"/>
          <w:szCs w:val="30"/>
          <w:lang w:eastAsia="zh-CN"/>
        </w:rPr>
        <w:t>项目支出减少。</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5,270,388.51。</w:t>
      </w:r>
      <w:r>
        <w:rPr>
          <w:rFonts w:hint="eastAsia" w:ascii="仿宋_GB2312" w:eastAsia="仿宋_GB2312"/>
          <w:sz w:val="30"/>
          <w:szCs w:val="30"/>
        </w:rPr>
        <w:t>其中：财政拨款收入</w:t>
      </w:r>
      <w:r>
        <w:rPr>
          <w:rFonts w:hint="eastAsia" w:ascii="仿宋_GB2312" w:eastAsia="仿宋_GB2312"/>
          <w:sz w:val="30"/>
          <w:szCs w:val="30"/>
          <w:lang w:val="en-US" w:eastAsia="zh-CN"/>
        </w:rPr>
        <w:t>5,270,388.51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5486388.51</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4399533.26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80.2</w:t>
      </w:r>
      <w:r>
        <w:rPr>
          <w:rFonts w:hint="eastAsia" w:ascii="仿宋_GB2312" w:eastAsia="仿宋_GB2312"/>
          <w:sz w:val="30"/>
          <w:szCs w:val="30"/>
        </w:rPr>
        <w:t>%； 项目支出</w:t>
      </w:r>
      <w:r>
        <w:rPr>
          <w:rFonts w:hint="eastAsia" w:ascii="仿宋_GB2312" w:eastAsia="仿宋_GB2312"/>
          <w:sz w:val="30"/>
          <w:szCs w:val="30"/>
          <w:lang w:val="en-US" w:eastAsia="zh-CN"/>
        </w:rPr>
        <w:t>1086855.25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19.8</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24000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216000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5270388.51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减少8794099.15元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62.53</w:t>
      </w:r>
      <w:r>
        <w:rPr>
          <w:rFonts w:hint="eastAsia" w:ascii="仿宋_GB2312" w:eastAsia="仿宋_GB2312"/>
          <w:sz w:val="30"/>
          <w:szCs w:val="30"/>
        </w:rPr>
        <w:t>%。主要原因是主要原因是</w:t>
      </w:r>
      <w:r>
        <w:rPr>
          <w:rFonts w:hint="eastAsia" w:ascii="仿宋_GB2312" w:eastAsia="仿宋_GB2312"/>
          <w:sz w:val="30"/>
          <w:szCs w:val="30"/>
          <w:lang w:eastAsia="zh-CN"/>
        </w:rPr>
        <w:t>项目支出减少。</w:t>
      </w:r>
      <w:r>
        <w:rPr>
          <w:rFonts w:hint="eastAsia" w:ascii="仿宋_GB2312" w:eastAsia="仿宋_GB2312"/>
          <w:sz w:val="30"/>
          <w:szCs w:val="30"/>
        </w:rPr>
        <w:t>较年初预算数</w:t>
      </w:r>
      <w:r>
        <w:rPr>
          <w:rFonts w:hint="eastAsia" w:ascii="仿宋_GB2312" w:eastAsia="仿宋_GB2312"/>
          <w:sz w:val="30"/>
          <w:szCs w:val="30"/>
          <w:lang w:eastAsia="zh-CN"/>
        </w:rPr>
        <w:t>增加</w:t>
      </w:r>
      <w:r>
        <w:rPr>
          <w:rFonts w:hint="eastAsia" w:ascii="仿宋_GB2312" w:eastAsia="仿宋_GB2312"/>
          <w:b w:val="0"/>
          <w:bCs w:val="0"/>
          <w:sz w:val="30"/>
          <w:szCs w:val="30"/>
          <w:lang w:eastAsia="zh-CN"/>
        </w:rPr>
        <w:t>1008238.51</w:t>
      </w:r>
      <w:r>
        <w:rPr>
          <w:rFonts w:hint="eastAsia" w:ascii="仿宋_GB2312" w:eastAsia="仿宋_GB2312"/>
          <w:sz w:val="30"/>
          <w:szCs w:val="30"/>
          <w:lang w:eastAsia="zh-CN"/>
        </w:rPr>
        <w:t>元，增加</w:t>
      </w:r>
      <w:r>
        <w:rPr>
          <w:rFonts w:hint="eastAsia" w:ascii="仿宋_GB2312" w:eastAsia="仿宋_GB2312"/>
          <w:sz w:val="30"/>
          <w:szCs w:val="30"/>
          <w:lang w:val="en-US" w:eastAsia="zh-CN"/>
        </w:rPr>
        <w:t>23.7</w:t>
      </w:r>
      <w:r>
        <w:rPr>
          <w:rFonts w:hint="eastAsia" w:ascii="仿宋_GB2312" w:eastAsia="仿宋_GB2312"/>
          <w:sz w:val="30"/>
          <w:szCs w:val="30"/>
        </w:rPr>
        <w:t>%。主要原因是</w:t>
      </w:r>
      <w:r>
        <w:rPr>
          <w:rFonts w:hint="eastAsia" w:ascii="仿宋_GB2312" w:eastAsia="仿宋_GB2312"/>
          <w:sz w:val="30"/>
          <w:szCs w:val="30"/>
          <w:lang w:eastAsia="zh-CN"/>
        </w:rPr>
        <w:t>人员支出增加。</w:t>
      </w: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度财政拨款支出5270388.51，较上年决算数</w:t>
      </w:r>
      <w:r>
        <w:rPr>
          <w:rFonts w:hint="eastAsia" w:ascii="仿宋_GB2312" w:eastAsia="仿宋_GB2312"/>
          <w:sz w:val="30"/>
          <w:szCs w:val="30"/>
          <w:lang w:eastAsia="zh-CN"/>
        </w:rPr>
        <w:t>增加</w:t>
      </w:r>
      <w:r>
        <w:rPr>
          <w:rFonts w:hint="eastAsia" w:ascii="仿宋_GB2312" w:eastAsia="仿宋_GB2312"/>
          <w:b w:val="0"/>
          <w:bCs w:val="0"/>
          <w:sz w:val="30"/>
          <w:szCs w:val="30"/>
          <w:lang w:eastAsia="zh-CN"/>
        </w:rPr>
        <w:t>1008238.51</w:t>
      </w:r>
      <w:r>
        <w:rPr>
          <w:rFonts w:hint="eastAsia" w:ascii="仿宋_GB2312" w:eastAsia="仿宋_GB2312"/>
          <w:sz w:val="30"/>
          <w:szCs w:val="30"/>
          <w:lang w:eastAsia="zh-CN"/>
        </w:rPr>
        <w:t>元，增加</w:t>
      </w:r>
      <w:r>
        <w:rPr>
          <w:rFonts w:hint="eastAsia" w:ascii="仿宋_GB2312" w:eastAsia="仿宋_GB2312"/>
          <w:sz w:val="30"/>
          <w:szCs w:val="30"/>
          <w:lang w:val="en-US" w:eastAsia="zh-CN"/>
        </w:rPr>
        <w:t>23.7</w:t>
      </w:r>
      <w:r>
        <w:rPr>
          <w:rFonts w:hint="eastAsia" w:ascii="仿宋_GB2312" w:eastAsia="仿宋_GB2312"/>
          <w:sz w:val="30"/>
          <w:szCs w:val="30"/>
        </w:rPr>
        <w:t>%。主要原因是</w:t>
      </w:r>
      <w:r>
        <w:rPr>
          <w:rFonts w:hint="eastAsia" w:ascii="仿宋_GB2312" w:eastAsia="仿宋_GB2312"/>
          <w:sz w:val="30"/>
          <w:szCs w:val="30"/>
          <w:lang w:eastAsia="zh-CN"/>
        </w:rPr>
        <w:t>人员支出增加</w:t>
      </w: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度财政拨款支出主要用于以下方面：一般公共服务支出</w:t>
      </w:r>
      <w:r>
        <w:rPr>
          <w:rFonts w:hint="eastAsia" w:ascii="仿宋_GB2312" w:eastAsia="仿宋_GB2312"/>
          <w:sz w:val="30"/>
          <w:szCs w:val="30"/>
          <w:lang w:val="en-US" w:eastAsia="zh-CN"/>
        </w:rPr>
        <w:t>3918914.46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71.43</w:t>
      </w:r>
      <w:r>
        <w:rPr>
          <w:rFonts w:hint="eastAsia" w:ascii="仿宋_GB2312" w:eastAsia="仿宋_GB2312"/>
          <w:sz w:val="30"/>
          <w:szCs w:val="30"/>
        </w:rPr>
        <w:t>%，较年初预算数3260662</w:t>
      </w:r>
      <w:r>
        <w:rPr>
          <w:rFonts w:hint="eastAsia" w:ascii="仿宋_GB2312" w:eastAsia="仿宋_GB2312"/>
          <w:sz w:val="30"/>
          <w:szCs w:val="30"/>
          <w:lang w:eastAsia="zh-CN"/>
        </w:rPr>
        <w:t>元增加</w:t>
      </w:r>
      <w:r>
        <w:rPr>
          <w:rFonts w:hint="eastAsia" w:ascii="仿宋_GB2312" w:eastAsia="仿宋_GB2312"/>
          <w:sz w:val="30"/>
          <w:szCs w:val="30"/>
          <w:lang w:val="en-US" w:eastAsia="zh-CN"/>
        </w:rPr>
        <w:t>658252.46</w:t>
      </w:r>
      <w:r>
        <w:rPr>
          <w:rFonts w:hint="eastAsia" w:ascii="仿宋_GB2312" w:eastAsia="仿宋_GB2312"/>
          <w:sz w:val="30"/>
          <w:szCs w:val="30"/>
          <w:lang w:eastAsia="zh-CN"/>
        </w:rPr>
        <w:t>元</w:t>
      </w:r>
      <w:r>
        <w:rPr>
          <w:rFonts w:hint="eastAsia" w:ascii="仿宋_GB2312" w:eastAsia="仿宋_GB2312"/>
          <w:sz w:val="30"/>
          <w:szCs w:val="30"/>
        </w:rPr>
        <w:t>，主要原因是年中</w:t>
      </w:r>
      <w:r>
        <w:rPr>
          <w:rFonts w:hint="eastAsia" w:ascii="仿宋_GB2312" w:eastAsia="仿宋_GB2312"/>
          <w:sz w:val="30"/>
          <w:szCs w:val="30"/>
          <w:lang w:eastAsia="zh-CN"/>
        </w:rPr>
        <w:t>调整</w:t>
      </w:r>
      <w:r>
        <w:rPr>
          <w:rFonts w:hint="eastAsia" w:ascii="仿宋_GB2312" w:eastAsia="仿宋_GB2312"/>
          <w:sz w:val="30"/>
          <w:szCs w:val="30"/>
        </w:rPr>
        <w:t>安排支出预算；社会保障与就业支出</w:t>
      </w:r>
      <w:r>
        <w:rPr>
          <w:rFonts w:hint="eastAsia" w:ascii="仿宋_GB2312" w:eastAsia="仿宋_GB2312"/>
          <w:sz w:val="30"/>
          <w:szCs w:val="30"/>
          <w:lang w:val="en-US" w:eastAsia="zh-CN"/>
        </w:rPr>
        <w:t>450443.24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8.21</w:t>
      </w:r>
      <w:r>
        <w:rPr>
          <w:rFonts w:hint="eastAsia" w:ascii="仿宋_GB2312" w:eastAsia="仿宋_GB2312"/>
          <w:sz w:val="30"/>
          <w:szCs w:val="30"/>
        </w:rPr>
        <w:t>%，较年初预算数421488</w:t>
      </w:r>
      <w:r>
        <w:rPr>
          <w:rFonts w:hint="eastAsia" w:ascii="仿宋_GB2312" w:eastAsia="仿宋_GB2312"/>
          <w:sz w:val="30"/>
          <w:szCs w:val="30"/>
          <w:lang w:eastAsia="zh-CN"/>
        </w:rPr>
        <w:t>元增加</w:t>
      </w:r>
      <w:r>
        <w:rPr>
          <w:rFonts w:hint="eastAsia" w:ascii="仿宋_GB2312" w:eastAsia="仿宋_GB2312"/>
          <w:sz w:val="30"/>
          <w:szCs w:val="30"/>
          <w:lang w:val="en-US" w:eastAsia="zh-CN"/>
        </w:rPr>
        <w:t>28955.24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人员增加</w:t>
      </w:r>
      <w:r>
        <w:rPr>
          <w:rFonts w:hint="eastAsia" w:ascii="仿宋_GB2312" w:eastAsia="仿宋_GB2312"/>
          <w:sz w:val="30"/>
          <w:szCs w:val="30"/>
        </w:rPr>
        <w:t>；</w:t>
      </w:r>
      <w:r>
        <w:rPr>
          <w:rFonts w:hint="eastAsia" w:ascii="仿宋_GB2312" w:eastAsia="仿宋_GB2312"/>
          <w:sz w:val="30"/>
          <w:szCs w:val="30"/>
          <w:lang w:eastAsia="zh-CN"/>
        </w:rPr>
        <w:t>卫生健康支出180175.56</w:t>
      </w:r>
      <w:r>
        <w:rPr>
          <w:rFonts w:hint="eastAsia" w:ascii="仿宋_GB2312" w:eastAsia="仿宋_GB2312"/>
          <w:sz w:val="30"/>
          <w:szCs w:val="30"/>
        </w:rPr>
        <w:t>占</w:t>
      </w:r>
      <w:r>
        <w:rPr>
          <w:rFonts w:hint="eastAsia" w:ascii="仿宋_GB2312" w:eastAsia="仿宋_GB2312"/>
          <w:sz w:val="30"/>
          <w:szCs w:val="30"/>
          <w:lang w:val="en-US" w:eastAsia="zh-CN"/>
        </w:rPr>
        <w:t>3.28</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较年初预算数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180175.56，主要原因是年初未做预算。</w:t>
      </w:r>
      <w:r>
        <w:rPr>
          <w:rFonts w:hint="eastAsia" w:ascii="仿宋_GB2312" w:eastAsia="仿宋_GB2312"/>
          <w:sz w:val="30"/>
          <w:szCs w:val="30"/>
        </w:rPr>
        <w:t>农林水支出</w:t>
      </w:r>
      <w:r>
        <w:rPr>
          <w:rFonts w:hint="eastAsia" w:ascii="仿宋_GB2312" w:eastAsia="仿宋_GB2312"/>
          <w:sz w:val="30"/>
          <w:szCs w:val="30"/>
          <w:lang w:eastAsia="zh-CN"/>
        </w:rPr>
        <w:t>66000元</w:t>
      </w:r>
      <w:r>
        <w:rPr>
          <w:rFonts w:hint="eastAsia" w:ascii="仿宋_GB2312" w:eastAsia="仿宋_GB2312"/>
          <w:sz w:val="30"/>
          <w:szCs w:val="30"/>
        </w:rPr>
        <w:t>，占</w:t>
      </w:r>
      <w:r>
        <w:rPr>
          <w:rFonts w:hint="eastAsia" w:ascii="仿宋_GB2312" w:eastAsia="仿宋_GB2312"/>
          <w:sz w:val="30"/>
          <w:szCs w:val="30"/>
          <w:lang w:val="en-US" w:eastAsia="zh-CN"/>
        </w:rPr>
        <w:t>1.2</w:t>
      </w:r>
      <w:r>
        <w:rPr>
          <w:rFonts w:hint="eastAsia" w:ascii="仿宋_GB2312" w:eastAsia="仿宋_GB2312"/>
          <w:sz w:val="30"/>
          <w:szCs w:val="30"/>
        </w:rPr>
        <w:t>%，较年初预算数</w:t>
      </w:r>
      <w:r>
        <w:rPr>
          <w:rFonts w:hint="eastAsia" w:ascii="仿宋_GB2312" w:eastAsia="仿宋_GB2312"/>
          <w:sz w:val="30"/>
          <w:szCs w:val="30"/>
          <w:lang w:eastAsia="zh-CN"/>
        </w:rPr>
        <w:t>增加66000元</w:t>
      </w:r>
      <w:r>
        <w:rPr>
          <w:rFonts w:hint="eastAsia" w:ascii="仿宋_GB2312" w:eastAsia="仿宋_GB2312"/>
          <w:sz w:val="30"/>
          <w:szCs w:val="30"/>
        </w:rPr>
        <w:t>，主要原因是</w:t>
      </w:r>
      <w:r>
        <w:rPr>
          <w:rFonts w:hint="eastAsia" w:ascii="仿宋_GB2312" w:eastAsia="仿宋_GB2312"/>
          <w:sz w:val="30"/>
          <w:szCs w:val="30"/>
          <w:lang w:eastAsia="zh-CN"/>
        </w:rPr>
        <w:t>人员经费增加增加</w:t>
      </w:r>
      <w:r>
        <w:rPr>
          <w:rFonts w:hint="eastAsia" w:ascii="仿宋_GB2312" w:eastAsia="仿宋_GB2312"/>
          <w:sz w:val="30"/>
          <w:szCs w:val="30"/>
        </w:rPr>
        <w:t>。</w:t>
      </w:r>
      <w:r>
        <w:rPr>
          <w:rFonts w:hint="eastAsia" w:ascii="仿宋_GB2312" w:eastAsia="仿宋_GB2312"/>
          <w:sz w:val="30"/>
          <w:szCs w:val="30"/>
          <w:lang w:eastAsia="zh-CN"/>
        </w:rPr>
        <w:t>商业服务业等支出</w:t>
      </w:r>
      <w:r>
        <w:rPr>
          <w:rFonts w:hint="eastAsia" w:ascii="仿宋_GB2312" w:eastAsia="仿宋_GB2312"/>
          <w:sz w:val="30"/>
          <w:szCs w:val="30"/>
          <w:lang w:val="en-US" w:eastAsia="zh-CN"/>
        </w:rPr>
        <w:t>870855.25元，占15.87%，较年初预算数增加290855.25，主要原因是年中预算调整。</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4399533.26</w:t>
      </w:r>
      <w:r>
        <w:rPr>
          <w:rFonts w:hint="eastAsia" w:ascii="仿宋_GB2312" w:eastAsia="仿宋_GB2312"/>
          <w:sz w:val="30"/>
          <w:szCs w:val="30"/>
          <w:lang w:eastAsia="zh-CN"/>
        </w:rPr>
        <w:t>元</w:t>
      </w:r>
      <w:r>
        <w:rPr>
          <w:rFonts w:hint="eastAsia" w:ascii="仿宋_GB2312" w:eastAsia="仿宋_GB2312"/>
          <w:sz w:val="30"/>
          <w:szCs w:val="30"/>
        </w:rPr>
        <w:t>。其中：人员经</w:t>
      </w:r>
      <w:r>
        <w:rPr>
          <w:rFonts w:hint="eastAsia" w:ascii="仿宋_GB2312" w:eastAsia="仿宋_GB2312"/>
          <w:sz w:val="30"/>
          <w:szCs w:val="30"/>
          <w:lang w:eastAsia="zh-CN"/>
        </w:rPr>
        <w:t>费</w:t>
      </w:r>
      <w:r>
        <w:rPr>
          <w:rFonts w:hint="eastAsia" w:ascii="仿宋_GB2312" w:eastAsia="仿宋_GB2312"/>
          <w:sz w:val="30"/>
          <w:szCs w:val="30"/>
        </w:rPr>
        <w:t>3841472.8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126686.3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奖励金减少</w:t>
      </w:r>
      <w:r>
        <w:rPr>
          <w:rFonts w:hint="eastAsia" w:ascii="仿宋_GB2312" w:eastAsia="仿宋_GB2312"/>
          <w:sz w:val="30"/>
          <w:szCs w:val="30"/>
        </w:rPr>
        <w:t>。人员经费用途主要包括基本工资</w:t>
      </w:r>
      <w:r>
        <w:rPr>
          <w:rFonts w:hint="eastAsia" w:ascii="仿宋_GB2312" w:eastAsia="仿宋_GB2312"/>
          <w:sz w:val="30"/>
          <w:szCs w:val="30"/>
          <w:lang w:val="en-US" w:eastAsia="zh-CN"/>
        </w:rPr>
        <w:t>1318956元，</w:t>
      </w:r>
      <w:r>
        <w:rPr>
          <w:rFonts w:hint="eastAsia" w:ascii="仿宋_GB2312" w:eastAsia="仿宋_GB2312"/>
          <w:sz w:val="30"/>
          <w:szCs w:val="30"/>
        </w:rPr>
        <w:t>津贴补贴</w:t>
      </w:r>
      <w:r>
        <w:rPr>
          <w:rFonts w:hint="eastAsia" w:ascii="仿宋_GB2312" w:eastAsia="仿宋_GB2312"/>
          <w:sz w:val="30"/>
          <w:szCs w:val="30"/>
          <w:lang w:val="en-US" w:eastAsia="zh-CN"/>
        </w:rPr>
        <w:t>1553255元，</w:t>
      </w:r>
      <w:r>
        <w:rPr>
          <w:rFonts w:hint="eastAsia" w:ascii="仿宋_GB2312" w:eastAsia="仿宋_GB2312"/>
          <w:sz w:val="30"/>
          <w:szCs w:val="30"/>
        </w:rPr>
        <w:t>奖金</w:t>
      </w:r>
      <w:r>
        <w:rPr>
          <w:rFonts w:hint="eastAsia" w:ascii="仿宋_GB2312" w:eastAsia="仿宋_GB2312"/>
          <w:sz w:val="30"/>
          <w:szCs w:val="30"/>
          <w:lang w:val="en-US" w:eastAsia="zh-CN"/>
        </w:rPr>
        <w:t>110809元，奖励金177334元</w:t>
      </w:r>
      <w:r>
        <w:rPr>
          <w:rFonts w:hint="eastAsia" w:ascii="仿宋_GB2312" w:eastAsia="仿宋_GB2312"/>
          <w:sz w:val="30"/>
          <w:szCs w:val="30"/>
        </w:rPr>
        <w:t>。</w:t>
      </w:r>
      <w:r>
        <w:rPr>
          <w:rFonts w:hint="eastAsia" w:ascii="仿宋_GB2312" w:eastAsia="仿宋_GB2312"/>
          <w:sz w:val="30"/>
          <w:szCs w:val="30"/>
          <w:lang w:val="en-US" w:eastAsia="zh-CN"/>
        </w:rPr>
        <w:t>养老保险取暖费426443.24元、职工基本医疗保险缴费180175.56元，生活补助66000元，退休费8500元。</w:t>
      </w:r>
      <w:r>
        <w:rPr>
          <w:rFonts w:hint="eastAsia" w:ascii="仿宋_GB2312" w:eastAsia="仿宋_GB2312"/>
          <w:sz w:val="30"/>
          <w:szCs w:val="30"/>
        </w:rPr>
        <w:t>公用经费</w:t>
      </w:r>
      <w:r>
        <w:rPr>
          <w:rFonts w:hint="eastAsia" w:ascii="仿宋_GB2312" w:eastAsia="仿宋_GB2312"/>
          <w:sz w:val="30"/>
          <w:szCs w:val="30"/>
          <w:lang w:val="en-US" w:eastAsia="zh-CN"/>
        </w:rPr>
        <w:t>558060.46</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，公用经费用途主要包括办公费</w:t>
      </w:r>
      <w:r>
        <w:rPr>
          <w:rFonts w:hint="eastAsia" w:ascii="仿宋_GB2312" w:eastAsia="仿宋_GB2312"/>
          <w:sz w:val="30"/>
          <w:szCs w:val="30"/>
          <w:lang w:val="en-US" w:eastAsia="zh-CN"/>
        </w:rPr>
        <w:t>45892.37元，电费25538.09元.水费1500元、邮电费1216元、差旅费37089元、维修（护）费6610元，</w:t>
      </w:r>
      <w:r>
        <w:rPr>
          <w:rFonts w:hint="eastAsia" w:ascii="仿宋_GB2312" w:eastAsia="仿宋_GB2312"/>
          <w:sz w:val="30"/>
          <w:szCs w:val="30"/>
          <w:lang w:eastAsia="zh-CN"/>
        </w:rPr>
        <w:t>劳务费</w:t>
      </w:r>
      <w:r>
        <w:rPr>
          <w:rFonts w:hint="eastAsia" w:ascii="仿宋_GB2312" w:eastAsia="仿宋_GB2312"/>
          <w:sz w:val="30"/>
          <w:szCs w:val="30"/>
          <w:lang w:val="en-US" w:eastAsia="zh-CN"/>
        </w:rPr>
        <w:t>76500元，其他交通费用60000元，委托业务费274690元。</w:t>
      </w:r>
    </w:p>
    <w:p>
      <w:pPr>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2018年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558060.46</w:t>
      </w:r>
      <w:r>
        <w:rPr>
          <w:rFonts w:hint="eastAsia" w:ascii="仿宋_GB2312" w:eastAsia="仿宋_GB2312"/>
          <w:sz w:val="30"/>
          <w:szCs w:val="30"/>
          <w:lang w:eastAsia="zh-CN"/>
        </w:rPr>
        <w:t>元</w:t>
      </w:r>
      <w:r>
        <w:rPr>
          <w:rFonts w:hint="eastAsia" w:ascii="仿宋_GB2312" w:eastAsia="仿宋_GB2312"/>
          <w:sz w:val="30"/>
          <w:szCs w:val="30"/>
        </w:rPr>
        <w:t>，机关运行经费用途主要包括办公费</w:t>
      </w:r>
      <w:r>
        <w:rPr>
          <w:rFonts w:hint="eastAsia" w:ascii="仿宋_GB2312" w:eastAsia="仿宋_GB2312"/>
          <w:sz w:val="30"/>
          <w:szCs w:val="30"/>
          <w:lang w:val="en-US" w:eastAsia="zh-CN"/>
        </w:rPr>
        <w:t>45892.37元、电费25538.09元、水费1500元、邮电费1216元、差旅费37089元、维修（护）费6610元、</w:t>
      </w:r>
      <w:r>
        <w:rPr>
          <w:rFonts w:hint="eastAsia" w:ascii="仿宋_GB2312" w:eastAsia="仿宋_GB2312"/>
          <w:sz w:val="30"/>
          <w:szCs w:val="30"/>
          <w:lang w:eastAsia="zh-CN"/>
        </w:rPr>
        <w:t>劳务费</w:t>
      </w:r>
      <w:r>
        <w:rPr>
          <w:rFonts w:hint="eastAsia" w:ascii="仿宋_GB2312" w:eastAsia="仿宋_GB2312"/>
          <w:sz w:val="30"/>
          <w:szCs w:val="30"/>
          <w:lang w:val="en-US" w:eastAsia="zh-CN"/>
        </w:rPr>
        <w:t>76500元、其他交通费用60000元、委托业务费274690元。减少691460.66元，减少55.34</w:t>
      </w:r>
      <w:r>
        <w:rPr>
          <w:rFonts w:hint="eastAsia" w:ascii="仿宋_GB2312" w:eastAsia="仿宋_GB2312"/>
          <w:sz w:val="30"/>
          <w:szCs w:val="30"/>
        </w:rPr>
        <w:t>%，主要原因是</w:t>
      </w:r>
      <w:r>
        <w:rPr>
          <w:rFonts w:hint="eastAsia" w:ascii="仿宋_GB2312" w:eastAsia="仿宋_GB2312"/>
          <w:sz w:val="30"/>
          <w:szCs w:val="30"/>
          <w:lang w:val="en-US" w:eastAsia="zh-CN"/>
        </w:rPr>
        <w:t>办公经费减少</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辆，其中：领导干部用车</w:t>
      </w:r>
      <w:r>
        <w:rPr>
          <w:rFonts w:hint="eastAsia" w:ascii="仿宋_GB2312" w:eastAsia="仿宋_GB2312"/>
          <w:sz w:val="30"/>
          <w:szCs w:val="30"/>
          <w:lang w:val="en-US" w:eastAsia="zh-CN"/>
        </w:rPr>
        <w:t>0</w:t>
      </w:r>
      <w:r>
        <w:rPr>
          <w:rFonts w:hint="eastAsia" w:ascii="仿宋_GB2312" w:eastAsia="仿宋_GB2312"/>
          <w:sz w:val="30"/>
          <w:szCs w:val="30"/>
        </w:rPr>
        <w:t>辆、一般公务用车</w:t>
      </w:r>
      <w:r>
        <w:rPr>
          <w:rFonts w:hint="eastAsia" w:ascii="仿宋_GB2312" w:eastAsia="仿宋_GB2312"/>
          <w:sz w:val="30"/>
          <w:szCs w:val="30"/>
          <w:lang w:val="en-US" w:eastAsia="zh-CN"/>
        </w:rPr>
        <w:t>0</w:t>
      </w:r>
      <w:r>
        <w:rPr>
          <w:rFonts w:hint="eastAsia" w:ascii="仿宋_GB2312" w:eastAsia="仿宋_GB2312"/>
          <w:sz w:val="30"/>
          <w:szCs w:val="30"/>
        </w:rPr>
        <w:t>辆、一般执法执勤用车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w:t>
      </w:r>
      <w:r>
        <w:rPr>
          <w:rFonts w:hint="eastAsia" w:ascii="仿宋_GB2312" w:eastAsia="仿宋_GB2312"/>
          <w:sz w:val="30"/>
          <w:szCs w:val="30"/>
          <w:lang w:val="en-US" w:eastAsia="zh-CN"/>
        </w:rPr>
        <w:t>0</w:t>
      </w:r>
      <w:r>
        <w:rPr>
          <w:rFonts w:hint="eastAsia" w:ascii="仿宋_GB2312" w:eastAsia="仿宋_GB2312"/>
          <w:sz w:val="30"/>
          <w:szCs w:val="30"/>
        </w:rPr>
        <w:t>辆、其他用车</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根据财政预算绩效管理要求，我部门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lang w:val="en-US" w:eastAsia="zh-CN"/>
        </w:rPr>
        <w:t>0</w:t>
      </w:r>
      <w:r>
        <w:rPr>
          <w:rFonts w:hint="eastAsia" w:ascii="仿宋_GB2312" w:eastAsia="仿宋_GB2312"/>
          <w:sz w:val="30"/>
          <w:szCs w:val="30"/>
        </w:rPr>
        <w:t>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根据年初设定的绩效目标，基础设施建设项目自评得分为</w:t>
      </w:r>
      <w:r>
        <w:rPr>
          <w:rFonts w:ascii="仿宋_GB2312" w:eastAsia="仿宋_GB2312"/>
          <w:sz w:val="30"/>
          <w:szCs w:val="30"/>
        </w:rPr>
        <w:t>优</w:t>
      </w: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做好、做细预算编制工作。严格审核预算方案，科学编制预算方案，认真执行，强化监督。严格按制度办事，防止经费支出中的“跑、冒、滴、漏”,最大限度地发挥各项财政资金的功能，强化支出计划，严格经费支出管理。在确保人员经费开支，必要的办公经费需要的前提下制定切实可行的预算支出计划，严格执行，保证计划的有效性。</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rPr>
        <w:t>（二）加强资金管理，加快执行进度。要建立严格的经费开支审批制度和严格的经费开支报销程序，加强经费开支的监督，控制经费支出，适时加快资金执行进度，保证财政资金发挥应起的作用。</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（三）加大固定资产的管理力度。配置专管部门和专管人员，对固定资产进行一次全面清查盘点，建立固定资产卡片，切实做到账卡相符、账物相符。</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在</w:t>
      </w:r>
      <w:r>
        <w:rPr>
          <w:rFonts w:ascii="仿宋_GB2312" w:eastAsia="仿宋_GB2312"/>
          <w:sz w:val="30"/>
          <w:szCs w:val="30"/>
        </w:rPr>
        <w:t>公开</w:t>
      </w:r>
      <w:r>
        <w:rPr>
          <w:rFonts w:hint="eastAsia" w:ascii="仿宋_GB2312" w:eastAsia="仿宋_GB2312"/>
          <w:sz w:val="30"/>
          <w:szCs w:val="30"/>
        </w:rPr>
        <w:t>项目绩效自评</w:t>
      </w:r>
      <w:r>
        <w:rPr>
          <w:rFonts w:ascii="仿宋_GB2312" w:eastAsia="仿宋_GB2312"/>
          <w:sz w:val="30"/>
          <w:szCs w:val="30"/>
        </w:rPr>
        <w:t>综述的同时，</w:t>
      </w:r>
      <w:r>
        <w:rPr>
          <w:rFonts w:hint="eastAsia" w:ascii="仿宋_GB2312" w:eastAsia="仿宋_GB2312"/>
          <w:sz w:val="30"/>
          <w:szCs w:val="30"/>
        </w:rPr>
        <w:t>需</w:t>
      </w:r>
      <w:r>
        <w:rPr>
          <w:rFonts w:ascii="仿宋_GB2312" w:eastAsia="仿宋_GB2312"/>
          <w:sz w:val="30"/>
          <w:szCs w:val="30"/>
        </w:rPr>
        <w:t>公开《</w:t>
      </w:r>
      <w:r>
        <w:rPr>
          <w:rFonts w:hint="eastAsia" w:ascii="仿宋_GB2312" w:eastAsia="仿宋_GB2312"/>
          <w:sz w:val="30"/>
          <w:szCs w:val="30"/>
        </w:rPr>
        <w:t>项目</w:t>
      </w:r>
      <w:r>
        <w:rPr>
          <w:rFonts w:ascii="仿宋_GB2312" w:eastAsia="仿宋_GB2312"/>
          <w:sz w:val="30"/>
          <w:szCs w:val="30"/>
        </w:rPr>
        <w:t>支出绩效自评表》</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FB087"/>
    <w:multiLevelType w:val="singleLevel"/>
    <w:tmpl w:val="AC6FB087"/>
    <w:lvl w:ilvl="0" w:tentative="0">
      <w:start w:val="1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MjUxMGQxY2NkYjBjM2FhMWQzNzJiOGRmOTY3OT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B85A98"/>
    <w:rsid w:val="03E42A58"/>
    <w:rsid w:val="03FE74AD"/>
    <w:rsid w:val="05E9532F"/>
    <w:rsid w:val="06383CCD"/>
    <w:rsid w:val="093E590A"/>
    <w:rsid w:val="0A795447"/>
    <w:rsid w:val="0B983DF9"/>
    <w:rsid w:val="0CDD473D"/>
    <w:rsid w:val="0DD11323"/>
    <w:rsid w:val="0EFD6615"/>
    <w:rsid w:val="0F540705"/>
    <w:rsid w:val="0F684BB3"/>
    <w:rsid w:val="10B771C3"/>
    <w:rsid w:val="12844B85"/>
    <w:rsid w:val="12DD7E14"/>
    <w:rsid w:val="14690FAD"/>
    <w:rsid w:val="148A7C64"/>
    <w:rsid w:val="15CC3638"/>
    <w:rsid w:val="163D59B5"/>
    <w:rsid w:val="167E4FBA"/>
    <w:rsid w:val="16D01864"/>
    <w:rsid w:val="17542C27"/>
    <w:rsid w:val="18F1352C"/>
    <w:rsid w:val="1AE42ABD"/>
    <w:rsid w:val="1B943FD8"/>
    <w:rsid w:val="1D123DF5"/>
    <w:rsid w:val="1D1A247C"/>
    <w:rsid w:val="1DD64839"/>
    <w:rsid w:val="1DDD240D"/>
    <w:rsid w:val="1F8068A1"/>
    <w:rsid w:val="1FA92143"/>
    <w:rsid w:val="203F43D6"/>
    <w:rsid w:val="20B231E6"/>
    <w:rsid w:val="20C91E8D"/>
    <w:rsid w:val="238D1F8A"/>
    <w:rsid w:val="24B7562F"/>
    <w:rsid w:val="24B96EAE"/>
    <w:rsid w:val="253E4BFC"/>
    <w:rsid w:val="263B78A8"/>
    <w:rsid w:val="26651A2F"/>
    <w:rsid w:val="26E8267A"/>
    <w:rsid w:val="27C267E3"/>
    <w:rsid w:val="27C314BD"/>
    <w:rsid w:val="289A390F"/>
    <w:rsid w:val="29747714"/>
    <w:rsid w:val="2C067B02"/>
    <w:rsid w:val="2EE67926"/>
    <w:rsid w:val="319C0E50"/>
    <w:rsid w:val="31F74856"/>
    <w:rsid w:val="33FE5F69"/>
    <w:rsid w:val="35130FCB"/>
    <w:rsid w:val="35894BEC"/>
    <w:rsid w:val="36FF3180"/>
    <w:rsid w:val="37564AF1"/>
    <w:rsid w:val="3B3850A2"/>
    <w:rsid w:val="3B8D4F58"/>
    <w:rsid w:val="3C50310A"/>
    <w:rsid w:val="3C816A54"/>
    <w:rsid w:val="3F9428C9"/>
    <w:rsid w:val="40F64AE4"/>
    <w:rsid w:val="43B8184F"/>
    <w:rsid w:val="44661184"/>
    <w:rsid w:val="44AE43F8"/>
    <w:rsid w:val="47A97C77"/>
    <w:rsid w:val="4E2405C5"/>
    <w:rsid w:val="4E786B7E"/>
    <w:rsid w:val="4F3E07FA"/>
    <w:rsid w:val="4F9521E2"/>
    <w:rsid w:val="50235FB2"/>
    <w:rsid w:val="50D3685C"/>
    <w:rsid w:val="529E6EC0"/>
    <w:rsid w:val="52D15D59"/>
    <w:rsid w:val="530B4736"/>
    <w:rsid w:val="53377F86"/>
    <w:rsid w:val="56131CFA"/>
    <w:rsid w:val="56FD25A2"/>
    <w:rsid w:val="585E1796"/>
    <w:rsid w:val="59EE568B"/>
    <w:rsid w:val="5A203E3A"/>
    <w:rsid w:val="5CB85512"/>
    <w:rsid w:val="5D4905D6"/>
    <w:rsid w:val="5E3F4034"/>
    <w:rsid w:val="5E842316"/>
    <w:rsid w:val="5E8D5660"/>
    <w:rsid w:val="5F2727A8"/>
    <w:rsid w:val="5F2951E4"/>
    <w:rsid w:val="606812C3"/>
    <w:rsid w:val="60934D78"/>
    <w:rsid w:val="609357F8"/>
    <w:rsid w:val="60F319F9"/>
    <w:rsid w:val="619C1A0A"/>
    <w:rsid w:val="639320B1"/>
    <w:rsid w:val="64201CBE"/>
    <w:rsid w:val="64256E43"/>
    <w:rsid w:val="64D41863"/>
    <w:rsid w:val="66382B7B"/>
    <w:rsid w:val="68113C7D"/>
    <w:rsid w:val="68485316"/>
    <w:rsid w:val="68F54854"/>
    <w:rsid w:val="691B1C03"/>
    <w:rsid w:val="6993767B"/>
    <w:rsid w:val="6C215B7D"/>
    <w:rsid w:val="6D064ACE"/>
    <w:rsid w:val="6D5D4EA8"/>
    <w:rsid w:val="6D6C022A"/>
    <w:rsid w:val="6D75333B"/>
    <w:rsid w:val="6E261E6A"/>
    <w:rsid w:val="6F1F6D01"/>
    <w:rsid w:val="70410CEB"/>
    <w:rsid w:val="70527ACE"/>
    <w:rsid w:val="711633F0"/>
    <w:rsid w:val="73F014B1"/>
    <w:rsid w:val="749417CE"/>
    <w:rsid w:val="7684721C"/>
    <w:rsid w:val="7A0344C4"/>
    <w:rsid w:val="7A776784"/>
    <w:rsid w:val="7B0F532B"/>
    <w:rsid w:val="7B3B3CF4"/>
    <w:rsid w:val="7B6F74FC"/>
    <w:rsid w:val="7CDD3E62"/>
    <w:rsid w:val="7E4B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keepNext w:val="0"/>
      <w:keepLines w:val="0"/>
      <w:widowControl w:val="0"/>
      <w:suppressLineNumbers w:val="0"/>
      <w:autoSpaceDE w:val="0"/>
      <w:autoSpaceDN w:val="0"/>
      <w:adjustRightInd w:val="0"/>
      <w:snapToGrid w:val="0"/>
      <w:spacing w:before="0" w:beforeAutospacing="0" w:after="0" w:afterAutospacing="0" w:line="588" w:lineRule="atLeast"/>
      <w:ind w:left="0" w:right="0"/>
      <w:jc w:val="both"/>
    </w:pPr>
    <w:rPr>
      <w:rFonts w:hint="eastAsia" w:ascii="宋体" w:hAnsi="宋体" w:eastAsia="仿宋_GB2312" w:cs="Times New Roman"/>
      <w:spacing w:val="-2"/>
      <w:kern w:val="2"/>
      <w:sz w:val="32"/>
      <w:szCs w:val="24"/>
      <w:lang w:val="en-US" w:eastAsia="zh-CN" w:bidi="ar"/>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customStyle="1" w:styleId="11">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16</Pages>
  <Words>7058</Words>
  <Characters>7597</Characters>
  <Lines>44</Lines>
  <Paragraphs>12</Paragraphs>
  <TotalTime>0</TotalTime>
  <ScaleCrop>false</ScaleCrop>
  <LinksUpToDate>false</LinksUpToDate>
  <CharactersWithSpaces>7720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2018-08-03T16:19:00Z</cp:lastPrinted>
  <dcterms:modified xsi:type="dcterms:W3CDTF">2023-06-08T03:31:10Z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6DF06E7A3E0E4D3097F4A54872C6594E</vt:lpwstr>
  </property>
</Properties>
</file>