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东乡族自治县锁南中学</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hAnsi="仿宋_GB2312" w:eastAsia="仿宋_GB2312" w:cs="仿宋_GB2312"/>
          <w:sz w:val="32"/>
          <w:szCs w:val="32"/>
        </w:rPr>
      </w:pPr>
      <w:r>
        <w:rPr>
          <w:rFonts w:hint="eastAsia" w:ascii="仿宋" w:hAnsi="仿宋" w:eastAsia="仿宋" w:cs="仿宋"/>
          <w:b w:val="0"/>
          <w:i w:val="0"/>
          <w:caps w:val="0"/>
          <w:color w:val="333333"/>
          <w:spacing w:val="0"/>
          <w:kern w:val="0"/>
          <w:sz w:val="30"/>
          <w:szCs w:val="30"/>
          <w:shd w:val="clear" w:fill="FFFFFF"/>
          <w:lang w:val="en-US" w:eastAsia="zh-CN" w:bidi="ar"/>
        </w:rPr>
        <w:t>1、宣传贯彻执行党和国家的教育方针、政策、法律法规等，坚持依法治教、依法治学，贯彻执行县教育局的行政规章制度。</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2、配合县、乡镇人民政府制定符合党的教育方针和国家教育法律法规以及本校实际的教育发展规划和学校布局调整规划,并抓好组织实施和落实工作。</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3、配合各级人民政府依法动员、组织适龄儿童入学，严格控制辍学。负责抓所在镇的成人教育工作，抓好扫盲和巩固工作，推进普及义务教育。</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4、组织开展本校的教育教学科研和教育教学改革，科研兴教，科研兴校。负责对本校教育教学业务的具体管理，负责教育教学管理及教研教改工作，全力推进素质教育实施。</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5、按照教师的职数、编制和管理权限，负责本校教师人事管理、继续教育、考核考评等工作。</w:t>
      </w:r>
      <w:r>
        <w:rPr>
          <w:rFonts w:hint="eastAsia" w:ascii="仿宋" w:hAnsi="仿宋" w:eastAsia="仿宋" w:cs="仿宋"/>
          <w:b w:val="0"/>
          <w:i w:val="0"/>
          <w:caps w:val="0"/>
          <w:color w:val="333333"/>
          <w:spacing w:val="0"/>
          <w:kern w:val="0"/>
          <w:sz w:val="30"/>
          <w:szCs w:val="30"/>
          <w:shd w:val="clear" w:fill="FFFFFF"/>
          <w:lang w:val="en-US" w:eastAsia="zh-CN" w:bidi="ar"/>
        </w:rPr>
        <w:br w:type="textWrapping"/>
      </w:r>
      <w:r>
        <w:rPr>
          <w:rFonts w:hint="eastAsia" w:ascii="仿宋" w:hAnsi="仿宋" w:eastAsia="仿宋" w:cs="仿宋"/>
          <w:b w:val="0"/>
          <w:i w:val="0"/>
          <w:caps w:val="0"/>
          <w:color w:val="333333"/>
          <w:spacing w:val="0"/>
          <w:kern w:val="0"/>
          <w:sz w:val="30"/>
          <w:szCs w:val="30"/>
          <w:shd w:val="clear" w:fill="FFFFFF"/>
          <w:lang w:val="en-US" w:eastAsia="zh-CN" w:bidi="ar"/>
        </w:rPr>
        <w:t>        6、指导、管理、检查、评价本校的教育教学工作，提高办学质量和办学效益。按照义务教育课程计划，开齐课程，开足课时，认真实施中小学的教育教学管理，全面推进素质教育，全面提高教育教学质量。</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sz w:val="32"/>
          <w:szCs w:val="32"/>
          <w:lang w:val="en-US" w:eastAsia="zh-CN"/>
        </w:rPr>
        <w:t>东乡族自治县锁南中学是一所县属走读与寄宿相结合的独立初中，建校于2007年8月，学校因位于县城美丽的锁南坝而得名。现有现有在校学生1594人，女生567人，寄宿生1045人，女生352人，学生来自23个乡镇，设34个教学班。现有教职工114人，女58人，男56人，少数民族70，汉族35人。专任教师91人，其中硕士3人，本科学历71人，专科学历18人；高级职称17人，一级教师48人，二级和未聘49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0"/>
          <w:sz w:val="32"/>
          <w:szCs w:val="32"/>
          <w:lang w:val="en-US" w:eastAsia="zh-CN" w:bidi="ar-SA"/>
        </w:rPr>
        <w:t>学校占地面积28亩，建筑面积22874平方米，现已建教学楼、学生公寓楼、学生食堂、教师周转房、篮球场、足球场等，配备有理化生实验室各2个、录播室、音乐室、美术室、舞蹈室、乐高机器人实验室、等功能室。校园内实现了局域网络全覆盖，现有学生计算机室2个，电脑190台（学生机79台）。建有189平方米的图书室，其中阅览室126平方米，现有图书6.3万册，生均37册。建有1500平方米的学生食堂，可以保证全部寄宿生同时就餐。</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widowControl/>
        <w:spacing w:line="600" w:lineRule="exact"/>
        <w:ind w:firstLine="680" w:firstLineChars="200"/>
        <w:rPr>
          <w:rFonts w:ascii="仿宋" w:hAnsi="仿宋" w:eastAsia="仿宋" w:cs="仿宋"/>
          <w:color w:val="000000"/>
          <w:sz w:val="34"/>
          <w:szCs w:val="34"/>
        </w:rPr>
      </w:pPr>
      <w:r>
        <w:rPr>
          <w:rFonts w:hint="eastAsia" w:ascii="仿宋" w:hAnsi="仿宋" w:eastAsia="仿宋" w:cs="仿宋"/>
          <w:color w:val="000000"/>
          <w:kern w:val="0"/>
          <w:sz w:val="34"/>
          <w:szCs w:val="34"/>
          <w:lang w:bidi="ar"/>
        </w:rPr>
        <w:t>（一）本套决算主表决算数据主要依据本单位会计账簿总账及明细账数据填列，预算数据依据本单位预、决算批复文件及预算调整文件填列。</w:t>
      </w:r>
    </w:p>
    <w:p>
      <w:pPr>
        <w:widowControl/>
        <w:spacing w:line="600" w:lineRule="exact"/>
        <w:ind w:firstLine="680" w:firstLineChars="200"/>
        <w:rPr>
          <w:rFonts w:ascii="仿宋" w:hAnsi="仿宋" w:eastAsia="仿宋" w:cs="仿宋"/>
          <w:color w:val="000000"/>
          <w:sz w:val="34"/>
          <w:szCs w:val="34"/>
        </w:rPr>
      </w:pPr>
      <w:r>
        <w:rPr>
          <w:rFonts w:hint="eastAsia" w:ascii="仿宋" w:hAnsi="仿宋" w:eastAsia="仿宋" w:cs="仿宋"/>
          <w:color w:val="000000"/>
          <w:kern w:val="0"/>
          <w:sz w:val="34"/>
          <w:szCs w:val="34"/>
          <w:lang w:bidi="ar"/>
        </w:rPr>
        <w:t>（二）本套决算附表数据主要依据本单位资产、人事台账及相关统计资料填列，其中：“资产情况表”“国有资产收益征缴情况表”依据本单位资产相关会计账簿数据及统计资料填列；“基本数据表”“机构人员情况表”依据本单位人事台账相关资料填列；“非税收入征缴情况表”依据本单位非税收入台账及相关统计资料填列。</w:t>
      </w:r>
    </w:p>
    <w:p>
      <w:pPr>
        <w:widowControl/>
        <w:spacing w:line="600" w:lineRule="exact"/>
        <w:ind w:firstLine="680" w:firstLineChars="200"/>
        <w:rPr>
          <w:rFonts w:ascii="仿宋" w:hAnsi="仿宋" w:eastAsia="仿宋" w:cs="仿宋"/>
          <w:color w:val="000000"/>
          <w:sz w:val="34"/>
          <w:szCs w:val="34"/>
        </w:rPr>
      </w:pPr>
      <w:r>
        <w:rPr>
          <w:rFonts w:hint="eastAsia" w:ascii="仿宋" w:hAnsi="仿宋" w:eastAsia="仿宋" w:cs="仿宋"/>
          <w:color w:val="000000"/>
          <w:kern w:val="0"/>
          <w:sz w:val="34"/>
          <w:szCs w:val="34"/>
          <w:lang w:bidi="ar"/>
        </w:rPr>
        <w:t>（三）本套决算填报说明附表数据主要依据本单位会计账簿及相关统计资料填列。其中：“政府采购情况表”数据取自《2017政府采购录入系统明细表》；“财政拨款结转和结余情况表”按照相关规定填列。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w:t>
      </w:r>
      <w:r>
        <w:rPr>
          <w:rFonts w:hint="eastAsia" w:ascii="仿宋" w:hAnsi="仿宋" w:eastAsia="仿宋" w:cs="仿宋"/>
          <w:color w:val="000000" w:themeColor="text1"/>
          <w:szCs w:val="32"/>
          <w14:textFill>
            <w14:solidFill>
              <w14:schemeClr w14:val="tx1"/>
            </w14:solidFill>
          </w14:textFill>
        </w:rPr>
        <w:t>16376415.07</w:t>
      </w:r>
      <w:r>
        <w:rPr>
          <w:rFonts w:hint="eastAsia" w:ascii="仿宋_GB2312" w:hAnsi="仿宋_GB2312" w:eastAsia="仿宋_GB2312" w:cs="仿宋_GB2312"/>
          <w:color w:val="000000"/>
          <w:spacing w:val="0"/>
          <w:w w:val="100"/>
          <w:position w:val="0"/>
          <w:sz w:val="32"/>
          <w:szCs w:val="32"/>
          <w:lang w:val="en-US" w:eastAsia="zh-CN"/>
        </w:rPr>
        <w:t>元，</w:t>
      </w:r>
      <w:r>
        <w:rPr>
          <w:rFonts w:ascii="仿宋" w:hAnsi="仿宋" w:eastAsia="仿宋" w:cs="仿宋"/>
          <w:color w:val="000000" w:themeColor="text1"/>
          <w:szCs w:val="32"/>
          <w14:textFill>
            <w14:solidFill>
              <w14:schemeClr w14:val="tx1"/>
            </w14:solidFill>
          </w14:textFill>
        </w:rPr>
        <w:t>上年结转</w:t>
      </w:r>
      <w:r>
        <w:rPr>
          <w:rFonts w:hint="eastAsia" w:ascii="仿宋" w:hAnsi="仿宋" w:eastAsia="仿宋" w:cs="仿宋"/>
          <w:color w:val="000000" w:themeColor="text1"/>
          <w:szCs w:val="32"/>
          <w:lang w:val="en-US" w:eastAsia="zh-CN"/>
          <w14:textFill>
            <w14:solidFill>
              <w14:schemeClr w14:val="tx1"/>
            </w14:solidFill>
          </w14:textFill>
        </w:rPr>
        <w:t>30118.35</w:t>
      </w:r>
      <w:r>
        <w:rPr>
          <w:rFonts w:ascii="仿宋" w:hAnsi="仿宋" w:eastAsia="仿宋" w:cs="仿宋"/>
          <w:color w:val="000000" w:themeColor="text1"/>
          <w:szCs w:val="32"/>
          <w14:textFill>
            <w14:solidFill>
              <w14:schemeClr w14:val="tx1"/>
            </w14:solidFill>
          </w14:textFill>
        </w:rPr>
        <w:t>元</w:t>
      </w:r>
      <w:r>
        <w:rPr>
          <w:rFonts w:hint="eastAsia" w:ascii="仿宋" w:hAnsi="仿宋" w:eastAsia="仿宋" w:cs="仿宋"/>
          <w:color w:val="000000" w:themeColor="text1"/>
          <w:szCs w:val="32"/>
          <w:lang w:eastAsia="zh-CN"/>
          <w14:textFill>
            <w14:solidFill>
              <w14:schemeClr w14:val="tx1"/>
            </w14:solidFill>
          </w14:textFill>
        </w:rPr>
        <w:t>。</w:t>
      </w:r>
      <w:r>
        <w:rPr>
          <w:rFonts w:hint="eastAsia" w:ascii="仿宋_GB2312" w:hAnsi="仿宋_GB2312" w:eastAsia="仿宋_GB2312" w:cs="仿宋_GB2312"/>
          <w:color w:val="000000"/>
          <w:spacing w:val="0"/>
          <w:w w:val="100"/>
          <w:position w:val="0"/>
          <w:sz w:val="32"/>
          <w:szCs w:val="32"/>
          <w:lang w:val="en-US" w:eastAsia="zh-CN"/>
        </w:rPr>
        <w:t>支出总计</w:t>
      </w:r>
      <w:r>
        <w:rPr>
          <w:rFonts w:hint="eastAsia" w:ascii="仿宋" w:hAnsi="仿宋" w:eastAsia="仿宋" w:cs="仿宋"/>
          <w:color w:val="000000" w:themeColor="text1"/>
          <w:szCs w:val="32"/>
          <w14:textFill>
            <w14:solidFill>
              <w14:schemeClr w14:val="tx1"/>
            </w14:solidFill>
          </w14:textFill>
        </w:rPr>
        <w:t>16154428.88</w:t>
      </w:r>
      <w:r>
        <w:rPr>
          <w:rFonts w:hint="eastAsia" w:ascii="仿宋_GB2312" w:hAnsi="仿宋_GB2312" w:eastAsia="仿宋_GB2312" w:cs="仿宋_GB2312"/>
          <w:color w:val="000000"/>
          <w:spacing w:val="0"/>
          <w:w w:val="100"/>
          <w:position w:val="0"/>
          <w:sz w:val="32"/>
          <w:szCs w:val="32"/>
          <w:lang w:val="en-US" w:eastAsia="zh-CN"/>
        </w:rPr>
        <w:t>元，与2020年决算数相比，收入减少7071.96元，降低0.04%，支出减少361434.61元，降低2.21%。主要原因是2020年有其他收入为校长基金500000元，今年没校长基金故收入支出减少</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年度收入合计16376415.07元，其中：财政拨款收入16369015.07元，占</w:t>
      </w:r>
      <w:r>
        <w:rPr>
          <w:rFonts w:hint="eastAsia" w:ascii="仿宋_GB2312" w:hAnsi="仿宋_GB2312" w:eastAsia="仿宋_GB2312" w:cs="仿宋_GB2312"/>
          <w:color w:val="000000"/>
          <w:spacing w:val="0"/>
          <w:w w:val="100"/>
          <w:position w:val="0"/>
          <w:sz w:val="32"/>
          <w:szCs w:val="32"/>
          <w:lang w:val="en-US" w:eastAsia="zh-CN"/>
        </w:rPr>
        <w:t>99.96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其他收入7400元，占0.04%。</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年度支出合计16387180.4元，其中：基本支出</w:t>
      </w:r>
      <w:r>
        <w:rPr>
          <w:rFonts w:hint="eastAsia" w:ascii="仿宋_GB2312" w:hAnsi="仿宋_GB2312" w:eastAsia="仿宋_GB2312" w:cs="仿宋_GB2312"/>
          <w:color w:val="000000"/>
          <w:spacing w:val="0"/>
          <w:w w:val="100"/>
          <w:position w:val="0"/>
          <w:sz w:val="32"/>
          <w:szCs w:val="32"/>
          <w:lang w:val="en-US" w:eastAsia="en-US" w:bidi="en-US"/>
        </w:rPr>
        <w:t>16387180.4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16369015.07</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减少7071.96元，降低0.04%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主要原因是2020年有其他收入为校长基金500000元，今年没校长基金故收入支出减少</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年度财政拨款支出16382180.4元，较上年决算数</w:t>
      </w:r>
      <w:r>
        <w:rPr>
          <w:rFonts w:hint="eastAsia" w:ascii="仿宋_GB2312" w:hAnsi="仿宋_GB2312" w:eastAsia="仿宋_GB2312" w:cs="仿宋_GB2312"/>
          <w:color w:val="000000"/>
          <w:spacing w:val="0"/>
          <w:w w:val="100"/>
          <w:position w:val="0"/>
          <w:sz w:val="32"/>
          <w:szCs w:val="32"/>
          <w:lang w:val="en-US" w:eastAsia="zh-CN"/>
        </w:rPr>
        <w:t>361434.61元，降低2.21%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主要原因是2020年有其他收入为校长基金500000元，今年没校长基金故收入支出减少</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16382180.4万元，占本年支出的100%，较上年决算数支出减少361434.61元，降低2.21%。主要原因是2020年有其他收入为校长基金500000元，今年没校长基金故收入支出减少</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89476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0.54</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bookmarkStart w:id="17" w:name="_GoBack"/>
      <w:bookmarkEnd w:id="17"/>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工会服务支出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fldChar w:fldCharType="begin"/>
      </w:r>
      <w:r>
        <w:rPr>
          <w:rFonts w:hint="eastAsia" w:ascii="仿宋_GB2312" w:hAnsi="仿宋_GB2312" w:eastAsia="仿宋_GB2312" w:cs="仿宋_GB2312"/>
          <w:color w:val="000000"/>
          <w:spacing w:val="0"/>
          <w:w w:val="100"/>
          <w:position w:val="0"/>
          <w:sz w:val="32"/>
          <w:szCs w:val="32"/>
        </w:rPr>
        <w:instrText xml:space="preserve">TOC\o"1-5"\h\z</w:instrText>
      </w:r>
      <w:r>
        <w:rPr>
          <w:rFonts w:hint="eastAsia" w:ascii="仿宋_GB2312" w:hAnsi="仿宋_GB2312" w:eastAsia="仿宋_GB2312" w:cs="仿宋_GB2312"/>
          <w:color w:val="000000"/>
          <w:spacing w:val="0"/>
          <w:w w:val="100"/>
          <w:position w:val="0"/>
          <w:sz w:val="32"/>
          <w:szCs w:val="32"/>
        </w:rPr>
        <w:fldChar w:fldCharType="separate"/>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教育支出14562655.93元，占</w:t>
      </w:r>
      <w:r>
        <w:rPr>
          <w:rFonts w:hint="eastAsia" w:ascii="仿宋_GB2312" w:hAnsi="仿宋_GB2312" w:eastAsia="仿宋_GB2312" w:cs="仿宋_GB2312"/>
          <w:color w:val="000000"/>
          <w:spacing w:val="0"/>
          <w:w w:val="100"/>
          <w:position w:val="0"/>
          <w:sz w:val="32"/>
          <w:szCs w:val="32"/>
          <w:lang w:val="en-US" w:eastAsia="zh-CN"/>
        </w:rPr>
        <w:t>88.89</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rPr>
        <w:t>1224271.68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7.47</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卫生健康支出505776.79元，占</w:t>
      </w:r>
      <w:r>
        <w:rPr>
          <w:rFonts w:hint="eastAsia" w:ascii="仿宋_GB2312" w:hAnsi="仿宋_GB2312" w:eastAsia="仿宋_GB2312" w:cs="仿宋_GB2312"/>
          <w:color w:val="000000"/>
          <w:spacing w:val="0"/>
          <w:w w:val="100"/>
          <w:position w:val="0"/>
          <w:sz w:val="32"/>
          <w:szCs w:val="32"/>
          <w:lang w:val="en-US" w:eastAsia="zh-CN"/>
        </w:rPr>
        <w:t>3.08</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16382180.4</w:t>
      </w:r>
      <w:r>
        <w:rPr>
          <w:rFonts w:hint="eastAsia" w:ascii="仿宋_GB2312" w:hAnsi="仿宋_GB2312" w:eastAsia="仿宋_GB2312" w:cs="仿宋_GB2312"/>
          <w:color w:val="000000"/>
          <w:spacing w:val="0"/>
          <w:w w:val="100"/>
          <w:position w:val="0"/>
          <w:sz w:val="32"/>
          <w:szCs w:val="32"/>
        </w:rPr>
        <w:t>元。其中：人员经费</w:t>
      </w:r>
      <w:r>
        <w:rPr>
          <w:rFonts w:hint="eastAsia" w:ascii="仿宋" w:hAnsi="仿宋" w:eastAsia="仿宋" w:cs="仿宋"/>
          <w:color w:val="000000" w:themeColor="text1"/>
          <w:szCs w:val="32"/>
          <w:lang w:val="en-US" w:eastAsia="zh-CN"/>
          <w14:textFill>
            <w14:solidFill>
              <w14:schemeClr w14:val="tx1"/>
            </w14:solidFill>
          </w14:textFill>
        </w:rPr>
        <w:t>10838536.97</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人员未变动，</w:t>
      </w:r>
      <w:r>
        <w:rPr>
          <w:rFonts w:hint="eastAsia" w:ascii="仿宋_GB2312" w:hAnsi="仿宋_GB2312" w:eastAsia="仿宋_GB2312" w:cs="仿宋_GB2312"/>
          <w:color w:val="000000"/>
          <w:spacing w:val="0"/>
          <w:w w:val="100"/>
          <w:position w:val="0"/>
          <w:sz w:val="32"/>
          <w:szCs w:val="32"/>
        </w:rPr>
        <w:t>人员经费用途主要包括</w:t>
      </w:r>
      <w:r>
        <w:rPr>
          <w:rFonts w:ascii="仿宋" w:hAnsi="仿宋" w:eastAsia="仿宋" w:cs="仿宋"/>
          <w:color w:val="000000" w:themeColor="text1"/>
          <w:szCs w:val="32"/>
          <w14:textFill>
            <w14:solidFill>
              <w14:schemeClr w14:val="tx1"/>
            </w14:solidFill>
          </w14:textFill>
        </w:rPr>
        <w:t>基本工资：</w:t>
      </w:r>
      <w:r>
        <w:rPr>
          <w:rFonts w:hint="eastAsia" w:ascii="仿宋" w:hAnsi="仿宋" w:eastAsia="仿宋" w:cs="仿宋"/>
          <w:color w:val="000000" w:themeColor="text1"/>
          <w:szCs w:val="32"/>
          <w:lang w:val="en-US" w:eastAsia="zh-CN"/>
          <w14:textFill>
            <w14:solidFill>
              <w14:schemeClr w14:val="tx1"/>
            </w14:solidFill>
          </w14:textFill>
        </w:rPr>
        <w:t>4,239,279.00</w:t>
      </w:r>
      <w:r>
        <w:rPr>
          <w:rFonts w:ascii="仿宋" w:hAnsi="仿宋" w:eastAsia="仿宋" w:cs="仿宋"/>
          <w:color w:val="000000" w:themeColor="text1"/>
          <w:szCs w:val="32"/>
          <w14:textFill>
            <w14:solidFill>
              <w14:schemeClr w14:val="tx1"/>
            </w14:solidFill>
          </w14:textFill>
        </w:rPr>
        <w:t>元；津贴补贴：</w:t>
      </w:r>
      <w:r>
        <w:rPr>
          <w:rFonts w:hint="eastAsia" w:ascii="仿宋" w:hAnsi="仿宋" w:eastAsia="仿宋" w:cs="仿宋"/>
          <w:color w:val="000000" w:themeColor="text1"/>
          <w:szCs w:val="32"/>
          <w:lang w:val="en-US" w:eastAsia="zh-CN"/>
          <w14:textFill>
            <w14:solidFill>
              <w14:schemeClr w14:val="tx1"/>
            </w14:solidFill>
          </w14:textFill>
        </w:rPr>
        <w:t>4,515,754.00</w:t>
      </w:r>
      <w:r>
        <w:rPr>
          <w:rFonts w:ascii="仿宋" w:hAnsi="仿宋" w:eastAsia="仿宋" w:cs="仿宋"/>
          <w:color w:val="000000" w:themeColor="text1"/>
          <w:szCs w:val="32"/>
          <w14:textFill>
            <w14:solidFill>
              <w14:schemeClr w14:val="tx1"/>
            </w14:solidFill>
          </w14:textFill>
        </w:rPr>
        <w:t>元；</w:t>
      </w:r>
      <w:r>
        <w:rPr>
          <w:rFonts w:hint="eastAsia" w:ascii="仿宋" w:hAnsi="仿宋" w:eastAsia="仿宋" w:cs="仿宋"/>
          <w:color w:val="000000" w:themeColor="text1"/>
          <w:szCs w:val="32"/>
          <w:lang w:eastAsia="zh-CN"/>
          <w14:textFill>
            <w14:solidFill>
              <w14:schemeClr w14:val="tx1"/>
            </w14:solidFill>
          </w14:textFill>
        </w:rPr>
        <w:t>奖励</w:t>
      </w:r>
      <w:r>
        <w:rPr>
          <w:rFonts w:ascii="仿宋" w:hAnsi="仿宋" w:eastAsia="仿宋" w:cs="仿宋"/>
          <w:color w:val="000000" w:themeColor="text1"/>
          <w:szCs w:val="32"/>
          <w14:textFill>
            <w14:solidFill>
              <w14:schemeClr w14:val="tx1"/>
            </w14:solidFill>
          </w14:textFill>
        </w:rPr>
        <w:t>金：</w:t>
      </w:r>
      <w:r>
        <w:rPr>
          <w:rFonts w:hint="eastAsia" w:ascii="仿宋" w:hAnsi="仿宋" w:eastAsia="仿宋" w:cs="仿宋"/>
          <w:color w:val="000000" w:themeColor="text1"/>
          <w:szCs w:val="32"/>
          <w:lang w:val="en-US" w:eastAsia="zh-CN"/>
          <w14:textFill>
            <w14:solidFill>
              <w14:schemeClr w14:val="tx1"/>
            </w14:solidFill>
          </w14:textFill>
        </w:rPr>
        <w:t>353,124.00</w:t>
      </w:r>
      <w:r>
        <w:rPr>
          <w:rFonts w:ascii="仿宋" w:hAnsi="仿宋" w:eastAsia="仿宋" w:cs="仿宋"/>
          <w:color w:val="000000" w:themeColor="text1"/>
          <w:szCs w:val="32"/>
          <w14:textFill>
            <w14:solidFill>
              <w14:schemeClr w14:val="tx1"/>
            </w14:solidFill>
          </w14:textFill>
        </w:rPr>
        <w:t>元</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1639900</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90100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学生人数增加，</w:t>
      </w:r>
      <w:r>
        <w:rPr>
          <w:rFonts w:hint="eastAsia" w:ascii="仿宋_GB2312" w:hAnsi="仿宋_GB2312" w:eastAsia="仿宋_GB2312" w:cs="仿宋_GB2312"/>
          <w:color w:val="000000"/>
          <w:spacing w:val="0"/>
          <w:w w:val="100"/>
          <w:position w:val="0"/>
          <w:sz w:val="32"/>
          <w:szCs w:val="32"/>
        </w:rPr>
        <w:t>公用经费用途主要包括</w:t>
      </w:r>
      <w:r>
        <w:rPr>
          <w:rFonts w:ascii="仿宋" w:hAnsi="仿宋" w:eastAsia="仿宋" w:cs="仿宋"/>
          <w:color w:val="000000" w:themeColor="text1"/>
          <w:szCs w:val="32"/>
          <w14:textFill>
            <w14:solidFill>
              <w14:schemeClr w14:val="tx1"/>
            </w14:solidFill>
          </w14:textFill>
        </w:rPr>
        <w:t>办公费</w:t>
      </w:r>
      <w:r>
        <w:rPr>
          <w:rFonts w:hint="eastAsia" w:ascii="仿宋" w:hAnsi="仿宋" w:eastAsia="仿宋" w:cs="仿宋"/>
          <w:color w:val="000000" w:themeColor="text1"/>
          <w:szCs w:val="32"/>
          <w:lang w:val="en-US" w:eastAsia="zh-CN"/>
          <w14:textFill>
            <w14:solidFill>
              <w14:schemeClr w14:val="tx1"/>
            </w14:solidFill>
          </w14:textFill>
        </w:rPr>
        <w:t>、</w:t>
      </w:r>
      <w:r>
        <w:rPr>
          <w:rFonts w:ascii="仿宋" w:hAnsi="仿宋" w:eastAsia="仿宋" w:cs="仿宋"/>
          <w:color w:val="000000" w:themeColor="text1"/>
          <w:szCs w:val="32"/>
          <w14:textFill>
            <w14:solidFill>
              <w14:schemeClr w14:val="tx1"/>
            </w14:solidFill>
          </w14:textFill>
        </w:rPr>
        <w:t>印刷费</w:t>
      </w:r>
      <w:r>
        <w:rPr>
          <w:rFonts w:hint="eastAsia" w:ascii="仿宋" w:hAnsi="仿宋" w:eastAsia="仿宋" w:cs="仿宋"/>
          <w:color w:val="000000" w:themeColor="text1"/>
          <w:szCs w:val="32"/>
          <w:lang w:eastAsia="zh-CN"/>
          <w14:textFill>
            <w14:solidFill>
              <w14:schemeClr w14:val="tx1"/>
            </w14:solidFill>
          </w14:textFill>
        </w:rPr>
        <w:t>、</w:t>
      </w:r>
      <w:r>
        <w:rPr>
          <w:rFonts w:ascii="仿宋" w:hAnsi="仿宋" w:eastAsia="仿宋" w:cs="仿宋"/>
          <w:color w:val="000000" w:themeColor="text1"/>
          <w:szCs w:val="32"/>
          <w14:textFill>
            <w14:solidFill>
              <w14:schemeClr w14:val="tx1"/>
            </w14:solidFill>
          </w14:textFill>
        </w:rPr>
        <w:t>手续费</w:t>
      </w:r>
      <w:r>
        <w:rPr>
          <w:rFonts w:hint="eastAsia" w:ascii="仿宋" w:hAnsi="仿宋" w:eastAsia="仿宋" w:cs="仿宋"/>
          <w:color w:val="000000" w:themeColor="text1"/>
          <w:szCs w:val="32"/>
          <w:lang w:val="en-US" w:eastAsia="zh-CN"/>
          <w14:textFill>
            <w14:solidFill>
              <w14:schemeClr w14:val="tx1"/>
            </w14:solidFill>
          </w14:textFill>
        </w:rPr>
        <w:t>、水费、</w:t>
      </w:r>
      <w:r>
        <w:rPr>
          <w:rFonts w:ascii="仿宋" w:hAnsi="仿宋" w:eastAsia="仿宋" w:cs="仿宋"/>
          <w:color w:val="000000" w:themeColor="text1"/>
          <w:szCs w:val="32"/>
          <w14:textFill>
            <w14:solidFill>
              <w14:schemeClr w14:val="tx1"/>
            </w14:solidFill>
          </w14:textFill>
        </w:rPr>
        <w:t>电费</w:t>
      </w:r>
      <w:r>
        <w:rPr>
          <w:rFonts w:hint="eastAsia" w:ascii="仿宋" w:hAnsi="仿宋" w:eastAsia="仿宋" w:cs="仿宋"/>
          <w:color w:val="000000" w:themeColor="text1"/>
          <w:szCs w:val="32"/>
          <w:lang w:eastAsia="zh-CN"/>
          <w14:textFill>
            <w14:solidFill>
              <w14:schemeClr w14:val="tx1"/>
            </w14:solidFill>
          </w14:textFill>
        </w:rPr>
        <w:t>、</w:t>
      </w:r>
      <w:r>
        <w:rPr>
          <w:rFonts w:ascii="仿宋" w:hAnsi="仿宋" w:eastAsia="仿宋" w:cs="仿宋"/>
          <w:color w:val="000000" w:themeColor="text1"/>
          <w:szCs w:val="32"/>
          <w14:textFill>
            <w14:solidFill>
              <w14:schemeClr w14:val="tx1"/>
            </w14:solidFill>
          </w14:textFill>
        </w:rPr>
        <w:t>邮电费</w:t>
      </w:r>
      <w:r>
        <w:rPr>
          <w:rFonts w:hint="eastAsia" w:ascii="仿宋" w:hAnsi="仿宋" w:eastAsia="仿宋" w:cs="仿宋"/>
          <w:color w:val="000000" w:themeColor="text1"/>
          <w:szCs w:val="32"/>
          <w:lang w:eastAsia="zh-CN"/>
          <w14:textFill>
            <w14:solidFill>
              <w14:schemeClr w14:val="tx1"/>
            </w14:solidFill>
          </w14:textFill>
        </w:rPr>
        <w:t>、</w:t>
      </w:r>
      <w:r>
        <w:rPr>
          <w:rFonts w:ascii="仿宋" w:hAnsi="仿宋" w:eastAsia="仿宋" w:cs="仿宋"/>
          <w:color w:val="000000" w:themeColor="text1"/>
          <w:szCs w:val="32"/>
          <w14:textFill>
            <w14:solidFill>
              <w14:schemeClr w14:val="tx1"/>
            </w14:solidFill>
          </w14:textFill>
        </w:rPr>
        <w:t>取暖费</w:t>
      </w:r>
      <w:r>
        <w:rPr>
          <w:rFonts w:hint="eastAsia" w:ascii="仿宋" w:hAnsi="仿宋" w:eastAsia="仿宋" w:cs="仿宋"/>
          <w:color w:val="000000" w:themeColor="text1"/>
          <w:szCs w:val="32"/>
          <w:lang w:eastAsia="zh-CN"/>
          <w14:textFill>
            <w14:solidFill>
              <w14:schemeClr w14:val="tx1"/>
            </w14:solidFill>
          </w14:textFill>
        </w:rPr>
        <w:t>、</w:t>
      </w:r>
      <w:r>
        <w:rPr>
          <w:rFonts w:ascii="仿宋" w:hAnsi="仿宋" w:eastAsia="仿宋" w:cs="仿宋"/>
          <w:color w:val="000000" w:themeColor="text1"/>
          <w:szCs w:val="32"/>
          <w14:textFill>
            <w14:solidFill>
              <w14:schemeClr w14:val="tx1"/>
            </w14:solidFill>
          </w14:textFill>
        </w:rPr>
        <w:t>差旅费</w:t>
      </w:r>
      <w:r>
        <w:rPr>
          <w:rFonts w:hint="eastAsia" w:ascii="仿宋" w:hAnsi="仿宋" w:eastAsia="仿宋" w:cs="仿宋"/>
          <w:color w:val="000000" w:themeColor="text1"/>
          <w:szCs w:val="32"/>
          <w:lang w:eastAsia="zh-CN"/>
          <w14:textFill>
            <w14:solidFill>
              <w14:schemeClr w14:val="tx1"/>
            </w14:solidFill>
          </w14:textFill>
        </w:rPr>
        <w:t>、</w:t>
      </w:r>
      <w:r>
        <w:rPr>
          <w:rFonts w:ascii="仿宋" w:hAnsi="仿宋" w:eastAsia="仿宋" w:cs="仿宋"/>
          <w:color w:val="000000" w:themeColor="text1"/>
          <w:szCs w:val="32"/>
          <w14:textFill>
            <w14:solidFill>
              <w14:schemeClr w14:val="tx1"/>
            </w14:solidFill>
          </w14:textFill>
        </w:rPr>
        <w:t>维修费</w:t>
      </w:r>
      <w:r>
        <w:rPr>
          <w:rFonts w:hint="eastAsia" w:ascii="仿宋" w:hAnsi="仿宋" w:eastAsia="仿宋" w:cs="仿宋"/>
          <w:color w:val="000000" w:themeColor="text1"/>
          <w:szCs w:val="32"/>
          <w:lang w:eastAsia="zh-CN"/>
          <w14:textFill>
            <w14:solidFill>
              <w14:schemeClr w14:val="tx1"/>
            </w14:solidFill>
          </w14:textFill>
        </w:rPr>
        <w:t>、</w:t>
      </w:r>
      <w:r>
        <w:rPr>
          <w:rFonts w:hint="eastAsia" w:ascii="仿宋" w:hAnsi="仿宋" w:eastAsia="仿宋" w:cs="仿宋"/>
          <w:color w:val="000000" w:themeColor="text1"/>
          <w:szCs w:val="32"/>
          <w:lang w:val="en-US" w:eastAsia="zh-CN"/>
          <w14:textFill>
            <w14:solidFill>
              <w14:schemeClr w14:val="tx1"/>
            </w14:solidFill>
          </w14:textFill>
        </w:rPr>
        <w:t>租赁费、培训费、专用材料费、被装购置费、专用燃料费、劳务费、</w:t>
      </w:r>
      <w:r>
        <w:rPr>
          <w:rFonts w:hint="eastAsia" w:ascii="仿宋" w:hAnsi="仿宋" w:eastAsia="仿宋" w:cs="仿宋"/>
          <w:color w:val="000000" w:themeColor="text1"/>
          <w:szCs w:val="32"/>
          <w:lang w:eastAsia="zh-CN"/>
          <w14:textFill>
            <w14:solidFill>
              <w14:schemeClr w14:val="tx1"/>
            </w14:solidFill>
          </w14:textFill>
        </w:rPr>
        <w:t>委托业务费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w:t>
      </w:r>
      <w:r>
        <w:rPr>
          <w:rFonts w:hint="eastAsia" w:ascii="仿宋_GB2312" w:hAnsi="仿宋_GB2312" w:eastAsia="仿宋_GB2312" w:cs="仿宋_GB2312"/>
          <w:color w:val="000000"/>
          <w:spacing w:val="0"/>
          <w:w w:val="100"/>
          <w:position w:val="0"/>
          <w:sz w:val="32"/>
          <w:szCs w:val="32"/>
          <w:lang w:val="en-US" w:eastAsia="zh-CN"/>
        </w:rPr>
        <w:t>支出。</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w:t>
      </w:r>
      <w:r>
        <w:rPr>
          <w:rFonts w:hint="eastAsia" w:ascii="仿宋_GB2312" w:hAnsi="仿宋_GB2312" w:eastAsia="仿宋_GB2312" w:cs="仿宋_GB2312"/>
          <w:color w:val="000000"/>
          <w:spacing w:val="0"/>
          <w:w w:val="100"/>
          <w:position w:val="0"/>
          <w:sz w:val="32"/>
          <w:szCs w:val="32"/>
          <w:lang w:val="en-US" w:eastAsia="zh-CN"/>
        </w:rPr>
        <w:t>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b/>
          <w:bCs/>
          <w:color w:val="000000"/>
          <w:spacing w:val="0"/>
          <w:w w:val="100"/>
          <w:position w:val="0"/>
          <w:sz w:val="32"/>
          <w:szCs w:val="32"/>
        </w:rPr>
        <w:t>公务用车</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color w:val="000000"/>
          <w:spacing w:val="0"/>
          <w:w w:val="100"/>
          <w:position w:val="0"/>
          <w:sz w:val="32"/>
          <w:szCs w:val="32"/>
        </w:rPr>
        <w:t>机关运行经费。机关运行经费较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10800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10800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10800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val="en-US" w:eastAsia="zh-CN"/>
        </w:rPr>
        <w:t>纸张、打印机办公设备、办公家具等固定资产</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18000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18000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18000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GVkNjEwZmI2MGY4NzgxOTMxMDNjZDcyZDU1NGVmYjEifQ=="/>
  </w:docVars>
  <w:rsids>
    <w:rsidRoot w:val="00000000"/>
    <w:rsid w:val="0511788F"/>
    <w:rsid w:val="055652D0"/>
    <w:rsid w:val="06AA1511"/>
    <w:rsid w:val="0A4C6688"/>
    <w:rsid w:val="1739327C"/>
    <w:rsid w:val="19BA4320"/>
    <w:rsid w:val="1B205130"/>
    <w:rsid w:val="1E712589"/>
    <w:rsid w:val="1F523B54"/>
    <w:rsid w:val="25FD0C5D"/>
    <w:rsid w:val="29C05E6C"/>
    <w:rsid w:val="2F990904"/>
    <w:rsid w:val="37F93D0E"/>
    <w:rsid w:val="39F46F0A"/>
    <w:rsid w:val="3ABD5DEE"/>
    <w:rsid w:val="3BD710AD"/>
    <w:rsid w:val="41670196"/>
    <w:rsid w:val="42736B67"/>
    <w:rsid w:val="43D445BB"/>
    <w:rsid w:val="487F132F"/>
    <w:rsid w:val="4B60103E"/>
    <w:rsid w:val="4F1428B3"/>
    <w:rsid w:val="537062B7"/>
    <w:rsid w:val="57D535F7"/>
    <w:rsid w:val="58806626"/>
    <w:rsid w:val="60D720E0"/>
    <w:rsid w:val="62922058"/>
    <w:rsid w:val="720E4E8D"/>
    <w:rsid w:val="726D3C91"/>
    <w:rsid w:val="745D61E5"/>
    <w:rsid w:val="77AB3F68"/>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4924</Words>
  <Characters>5389</Characters>
  <TotalTime>1</TotalTime>
  <ScaleCrop>false</ScaleCrop>
  <LinksUpToDate>false</LinksUpToDate>
  <CharactersWithSpaces>5460</CharactersWithSpaces>
  <Application>WPS Office_11.1.0.12156_F1E327BC-269C-435d-A152-05C5408002CA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Lenovo</cp:lastModifiedBy>
  <cp:lastPrinted>2022-08-31T08:40:00Z</cp:lastPrinted>
  <dcterms:modified xsi:type="dcterms:W3CDTF">2022-09-14T08:40:04Z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3FB965A942B84C0B8C0D4DECFF396933</vt:lpwstr>
  </property>
</Properties>
</file>