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val="0"/>
        <w:keepLines w:val="0"/>
        <w:pageBreakBefore w:val="0"/>
        <w:widowControl w:val="0"/>
        <w:shd w:val="clear" w:color="auto" w:fill="auto"/>
        <w:kinsoku/>
        <w:wordWrap/>
        <w:overflowPunct/>
        <w:topLinePunct w:val="0"/>
        <w:autoSpaceDE/>
        <w:autoSpaceDN/>
        <w:bidi w:val="0"/>
        <w:adjustRightInd/>
        <w:snapToGrid/>
        <w:spacing w:before="181" w:beforeLines="50" w:after="0" w:line="240" w:lineRule="auto"/>
        <w:ind w:left="0" w:right="0" w:hanging="403"/>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0"/>
          <w:szCs w:val="30"/>
          <w:highlight w:val="none"/>
        </w:rPr>
        <w:t>附件</w:t>
      </w:r>
      <w:r>
        <w:rPr>
          <w:rFonts w:hint="eastAsia" w:ascii="仿宋_GB2312" w:hAnsi="仿宋_GB2312" w:eastAsia="仿宋_GB2312" w:cs="仿宋_GB2312"/>
          <w:color w:val="000000"/>
          <w:spacing w:val="0"/>
          <w:w w:val="100"/>
          <w:position w:val="0"/>
          <w:sz w:val="32"/>
          <w:szCs w:val="32"/>
          <w:highlight w:val="none"/>
        </w:rPr>
        <w:t>1:</w:t>
      </w:r>
    </w:p>
    <w:p>
      <w:pPr>
        <w:pStyle w:val="13"/>
        <w:keepNext w:val="0"/>
        <w:keepLines w:val="0"/>
        <w:widowControl w:val="0"/>
        <w:shd w:val="clear" w:color="auto" w:fill="auto"/>
        <w:bidi w:val="0"/>
        <w:spacing w:before="0" w:after="0" w:line="240" w:lineRule="auto"/>
        <w:ind w:left="0" w:right="0" w:hanging="400"/>
        <w:jc w:val="left"/>
        <w:rPr>
          <w:color w:val="000000"/>
          <w:spacing w:val="0"/>
          <w:w w:val="100"/>
          <w:position w:val="0"/>
          <w:sz w:val="32"/>
          <w:szCs w:val="32"/>
          <w:highlight w:val="none"/>
        </w:rPr>
      </w:pPr>
    </w:p>
    <w:p>
      <w:pPr>
        <w:bidi w:val="0"/>
        <w:jc w:val="center"/>
        <w:rPr>
          <w:rFonts w:hint="eastAsia" w:ascii="方正小标宋_GBK" w:hAnsi="方正小标宋_GBK" w:eastAsia="方正小标宋_GBK" w:cs="方正小标宋_GBK"/>
          <w:sz w:val="40"/>
          <w:szCs w:val="40"/>
          <w:highlight w:val="none"/>
        </w:rPr>
      </w:pPr>
      <w:bookmarkStart w:id="0" w:name="bookmark2"/>
      <w:bookmarkStart w:id="1" w:name="bookmark1"/>
      <w:bookmarkStart w:id="2" w:name="bookmark0"/>
      <w:r>
        <w:rPr>
          <w:rFonts w:hint="eastAsia" w:ascii="方正小标宋_GBK" w:hAnsi="方正小标宋_GBK" w:eastAsia="方正小标宋_GBK" w:cs="方正小标宋_GBK"/>
          <w:sz w:val="40"/>
          <w:szCs w:val="40"/>
          <w:highlight w:val="none"/>
          <w:lang w:val="en-US" w:eastAsia="zh-CN"/>
        </w:rPr>
        <w:t>东乡县发展和改革局</w:t>
      </w:r>
      <w:r>
        <w:rPr>
          <w:rFonts w:hint="eastAsia" w:ascii="方正小标宋_GBK" w:hAnsi="方正小标宋_GBK" w:eastAsia="方正小标宋_GBK" w:cs="方正小标宋_GBK"/>
          <w:sz w:val="40"/>
          <w:szCs w:val="40"/>
          <w:highlight w:val="none"/>
        </w:rPr>
        <w:t>202</w:t>
      </w:r>
      <w:r>
        <w:rPr>
          <w:rFonts w:hint="eastAsia" w:ascii="方正小标宋_GBK" w:hAnsi="方正小标宋_GBK" w:eastAsia="方正小标宋_GBK" w:cs="方正小标宋_GBK"/>
          <w:sz w:val="40"/>
          <w:szCs w:val="40"/>
          <w:highlight w:val="none"/>
          <w:lang w:val="en-US" w:eastAsia="zh-CN"/>
        </w:rPr>
        <w:t>1</w:t>
      </w:r>
      <w:r>
        <w:rPr>
          <w:rFonts w:hint="eastAsia" w:ascii="方正小标宋_GBK" w:hAnsi="方正小标宋_GBK" w:eastAsia="方正小标宋_GBK" w:cs="方正小标宋_GBK"/>
          <w:sz w:val="40"/>
          <w:szCs w:val="40"/>
          <w:highlight w:val="none"/>
        </w:rPr>
        <w:t>年度部门决算情况说明</w:t>
      </w:r>
      <w:bookmarkEnd w:id="0"/>
      <w:bookmarkEnd w:id="1"/>
      <w:bookmarkEnd w:id="2"/>
    </w:p>
    <w:p>
      <w:pPr>
        <w:bidi w:val="0"/>
        <w:rPr>
          <w:rFonts w:hint="eastAsia" w:ascii="方正小标宋简体" w:hAnsi="方正小标宋简体" w:eastAsia="方正小标宋简体" w:cs="方正小标宋简体"/>
          <w:sz w:val="36"/>
          <w:szCs w:val="36"/>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6"/>
          <w:szCs w:val="36"/>
          <w:highlight w:val="none"/>
        </w:rPr>
      </w:pPr>
      <w:r>
        <w:rPr>
          <w:rFonts w:hint="eastAsia" w:ascii="仿宋_GB2312" w:hAnsi="仿宋_GB2312" w:eastAsia="仿宋_GB2312" w:cs="仿宋_GB2312"/>
          <w:color w:val="000000"/>
          <w:spacing w:val="0"/>
          <w:w w:val="100"/>
          <w:position w:val="0"/>
          <w:sz w:val="36"/>
          <w:szCs w:val="36"/>
          <w:highlight w:val="none"/>
        </w:rPr>
        <w:t>目</w:t>
      </w:r>
      <w:r>
        <w:rPr>
          <w:rFonts w:hint="eastAsia" w:ascii="仿宋_GB2312" w:hAnsi="仿宋_GB2312" w:eastAsia="仿宋_GB2312" w:cs="仿宋_GB2312"/>
          <w:color w:val="000000"/>
          <w:spacing w:val="0"/>
          <w:w w:val="100"/>
          <w:position w:val="0"/>
          <w:sz w:val="36"/>
          <w:szCs w:val="36"/>
          <w:highlight w:val="none"/>
          <w:lang w:val="en-US" w:eastAsia="zh-CN"/>
        </w:rPr>
        <w:t xml:space="preserve">  </w:t>
      </w:r>
      <w:r>
        <w:rPr>
          <w:rFonts w:hint="eastAsia" w:ascii="仿宋_GB2312" w:hAnsi="仿宋_GB2312" w:eastAsia="仿宋_GB2312" w:cs="仿宋_GB2312"/>
          <w:color w:val="000000"/>
          <w:spacing w:val="0"/>
          <w:w w:val="100"/>
          <w:position w:val="0"/>
          <w:sz w:val="36"/>
          <w:szCs w:val="36"/>
          <w:highlight w:val="none"/>
        </w:rPr>
        <w:t>录</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w:t>
      </w:r>
      <w:r>
        <w:rPr>
          <w:rFonts w:hint="eastAsia" w:ascii="仿宋_GB2312" w:hAnsi="仿宋_GB2312" w:eastAsia="仿宋_GB2312" w:cs="仿宋_GB2312"/>
          <w:b/>
          <w:bCs/>
          <w:color w:val="000000"/>
          <w:spacing w:val="0"/>
          <w:w w:val="100"/>
          <w:position w:val="0"/>
          <w:sz w:val="32"/>
          <w:szCs w:val="32"/>
          <w:highlight w:val="none"/>
          <w:lang w:eastAsia="zh-CN"/>
        </w:rPr>
        <w:t>（单位）</w:t>
      </w:r>
      <w:r>
        <w:rPr>
          <w:rFonts w:hint="eastAsia" w:ascii="仿宋_GB2312" w:hAnsi="仿宋_GB2312" w:eastAsia="仿宋_GB2312" w:cs="仿宋_GB2312"/>
          <w:b/>
          <w:bCs/>
          <w:color w:val="000000"/>
          <w:spacing w:val="0"/>
          <w:w w:val="100"/>
          <w:position w:val="0"/>
          <w:sz w:val="32"/>
          <w:szCs w:val="32"/>
          <w:highlight w:val="none"/>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3" w:name="bookmark3"/>
      <w:r>
        <w:rPr>
          <w:rFonts w:hint="eastAsia" w:ascii="仿宋_GB2312" w:hAnsi="仿宋_GB2312" w:eastAsia="仿宋_GB2312" w:cs="仿宋_GB2312"/>
          <w:color w:val="000000"/>
          <w:spacing w:val="0"/>
          <w:w w:val="100"/>
          <w:position w:val="0"/>
          <w:sz w:val="32"/>
          <w:szCs w:val="32"/>
          <w:highlight w:val="none"/>
        </w:rPr>
        <w:t>一</w:t>
      </w:r>
      <w:bookmarkEnd w:id="3"/>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部门职责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4" w:name="bookmark4"/>
      <w:r>
        <w:rPr>
          <w:rFonts w:hint="eastAsia" w:ascii="仿宋_GB2312" w:hAnsi="仿宋_GB2312" w:eastAsia="仿宋_GB2312" w:cs="仿宋_GB2312"/>
          <w:color w:val="000000"/>
          <w:spacing w:val="0"/>
          <w:w w:val="100"/>
          <w:position w:val="0"/>
          <w:sz w:val="32"/>
          <w:szCs w:val="32"/>
          <w:highlight w:val="none"/>
        </w:rPr>
        <w:t>二</w:t>
      </w:r>
      <w:bookmarkEnd w:id="4"/>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w:t>
      </w:r>
      <w:r>
        <w:rPr>
          <w:rFonts w:hint="eastAsia" w:ascii="仿宋_GB2312" w:hAnsi="仿宋_GB2312" w:eastAsia="仿宋_GB2312" w:cs="仿宋_GB2312"/>
          <w:b/>
          <w:bCs/>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5" w:name="bookmark5"/>
      <w:r>
        <w:rPr>
          <w:rFonts w:hint="eastAsia" w:ascii="仿宋_GB2312" w:hAnsi="仿宋_GB2312" w:eastAsia="仿宋_GB2312" w:cs="仿宋_GB2312"/>
          <w:color w:val="000000"/>
          <w:spacing w:val="0"/>
          <w:w w:val="100"/>
          <w:position w:val="0"/>
          <w:sz w:val="32"/>
          <w:szCs w:val="32"/>
          <w:highlight w:val="none"/>
        </w:rPr>
        <w:t>一</w:t>
      </w:r>
      <w:bookmarkEnd w:id="5"/>
      <w:r>
        <w:rPr>
          <w:rFonts w:hint="eastAsia" w:ascii="仿宋_GB2312" w:hAnsi="仿宋_GB2312" w:eastAsia="仿宋_GB2312" w:cs="仿宋_GB2312"/>
          <w:color w:val="000000"/>
          <w:spacing w:val="0"/>
          <w:w w:val="100"/>
          <w:position w:val="0"/>
          <w:sz w:val="32"/>
          <w:szCs w:val="32"/>
          <w:highlight w:val="none"/>
        </w:rPr>
        <w:t>、收入支出决算总表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6" w:name="bookmark6"/>
      <w:r>
        <w:rPr>
          <w:rFonts w:hint="eastAsia" w:ascii="仿宋_GB2312" w:hAnsi="仿宋_GB2312" w:eastAsia="仿宋_GB2312" w:cs="仿宋_GB2312"/>
          <w:color w:val="000000"/>
          <w:spacing w:val="0"/>
          <w:w w:val="100"/>
          <w:position w:val="0"/>
          <w:sz w:val="32"/>
          <w:szCs w:val="32"/>
          <w:highlight w:val="none"/>
        </w:rPr>
        <w:t>二</w:t>
      </w:r>
      <w:bookmarkEnd w:id="6"/>
      <w:r>
        <w:rPr>
          <w:rFonts w:hint="eastAsia" w:ascii="仿宋_GB2312" w:hAnsi="仿宋_GB2312" w:eastAsia="仿宋_GB2312" w:cs="仿宋_GB2312"/>
          <w:color w:val="000000"/>
          <w:spacing w:val="0"/>
          <w:w w:val="100"/>
          <w:position w:val="0"/>
          <w:sz w:val="32"/>
          <w:szCs w:val="32"/>
          <w:highlight w:val="none"/>
        </w:rPr>
        <w:t>、收入决算表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7" w:name="bookmark7"/>
      <w:r>
        <w:rPr>
          <w:rFonts w:hint="eastAsia" w:ascii="仿宋_GB2312" w:hAnsi="仿宋_GB2312" w:eastAsia="仿宋_GB2312" w:cs="仿宋_GB2312"/>
          <w:color w:val="000000"/>
          <w:spacing w:val="0"/>
          <w:w w:val="100"/>
          <w:position w:val="0"/>
          <w:sz w:val="32"/>
          <w:szCs w:val="32"/>
          <w:highlight w:val="none"/>
        </w:rPr>
        <w:t>三</w:t>
      </w:r>
      <w:bookmarkEnd w:id="7"/>
      <w:r>
        <w:rPr>
          <w:rFonts w:hint="eastAsia" w:ascii="仿宋_GB2312" w:hAnsi="仿宋_GB2312" w:eastAsia="仿宋_GB2312" w:cs="仿宋_GB2312"/>
          <w:color w:val="000000"/>
          <w:spacing w:val="0"/>
          <w:w w:val="100"/>
          <w:position w:val="0"/>
          <w:sz w:val="32"/>
          <w:szCs w:val="32"/>
          <w:highlight w:val="none"/>
        </w:rPr>
        <w:t>、支出决算表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8" w:name="bookmark8"/>
      <w:r>
        <w:rPr>
          <w:rFonts w:hint="eastAsia" w:ascii="仿宋_GB2312" w:hAnsi="仿宋_GB2312" w:eastAsia="仿宋_GB2312" w:cs="仿宋_GB2312"/>
          <w:color w:val="000000"/>
          <w:spacing w:val="0"/>
          <w:w w:val="100"/>
          <w:position w:val="0"/>
          <w:sz w:val="32"/>
          <w:szCs w:val="32"/>
          <w:highlight w:val="none"/>
        </w:rPr>
        <w:t>四</w:t>
      </w:r>
      <w:bookmarkEnd w:id="8"/>
      <w:r>
        <w:rPr>
          <w:rFonts w:hint="eastAsia" w:ascii="仿宋_GB2312" w:hAnsi="仿宋_GB2312" w:eastAsia="仿宋_GB2312" w:cs="仿宋_GB2312"/>
          <w:color w:val="000000"/>
          <w:spacing w:val="0"/>
          <w:w w:val="100"/>
          <w:position w:val="0"/>
          <w:sz w:val="32"/>
          <w:szCs w:val="32"/>
          <w:highlight w:val="none"/>
        </w:rPr>
        <w:t>、财政拨款收入支出决算总表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9" w:name="bookmark9"/>
      <w:r>
        <w:rPr>
          <w:rFonts w:hint="eastAsia" w:ascii="仿宋_GB2312" w:hAnsi="仿宋_GB2312" w:eastAsia="仿宋_GB2312" w:cs="仿宋_GB2312"/>
          <w:color w:val="000000"/>
          <w:spacing w:val="0"/>
          <w:w w:val="100"/>
          <w:position w:val="0"/>
          <w:sz w:val="32"/>
          <w:szCs w:val="32"/>
          <w:highlight w:val="none"/>
        </w:rPr>
        <w:t>五</w:t>
      </w:r>
      <w:bookmarkEnd w:id="9"/>
      <w:r>
        <w:rPr>
          <w:rFonts w:hint="eastAsia" w:ascii="仿宋_GB2312" w:hAnsi="仿宋_GB2312" w:eastAsia="仿宋_GB2312" w:cs="仿宋_GB2312"/>
          <w:color w:val="000000"/>
          <w:spacing w:val="0"/>
          <w:w w:val="100"/>
          <w:position w:val="0"/>
          <w:sz w:val="32"/>
          <w:szCs w:val="32"/>
          <w:highlight w:val="none"/>
        </w:rPr>
        <w:t>、一般公共预算财政拨款支出决算表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bookmarkStart w:id="10" w:name="bookmark10"/>
      <w:r>
        <w:rPr>
          <w:rFonts w:hint="eastAsia" w:ascii="仿宋_GB2312" w:hAnsi="仿宋_GB2312" w:eastAsia="仿宋_GB2312" w:cs="仿宋_GB2312"/>
          <w:color w:val="000000"/>
          <w:spacing w:val="0"/>
          <w:w w:val="100"/>
          <w:position w:val="0"/>
          <w:sz w:val="32"/>
          <w:szCs w:val="32"/>
          <w:highlight w:val="none"/>
        </w:rPr>
        <w:t>六</w:t>
      </w:r>
      <w:bookmarkEnd w:id="10"/>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1" w:name="bookmark11"/>
      <w:r>
        <w:rPr>
          <w:rFonts w:hint="eastAsia" w:ascii="仿宋_GB2312" w:hAnsi="仿宋_GB2312" w:eastAsia="仿宋_GB2312" w:cs="仿宋_GB2312"/>
          <w:color w:val="000000"/>
          <w:spacing w:val="0"/>
          <w:w w:val="100"/>
          <w:position w:val="0"/>
          <w:sz w:val="32"/>
          <w:szCs w:val="32"/>
          <w:highlight w:val="none"/>
        </w:rPr>
        <w:t>七</w:t>
      </w:r>
      <w:bookmarkEnd w:id="11"/>
      <w:r>
        <w:rPr>
          <w:rFonts w:hint="eastAsia" w:ascii="仿宋_GB2312" w:hAnsi="仿宋_GB2312" w:eastAsia="仿宋_GB2312" w:cs="仿宋_GB2312"/>
          <w:color w:val="000000"/>
          <w:spacing w:val="0"/>
          <w:w w:val="100"/>
          <w:position w:val="0"/>
          <w:sz w:val="32"/>
          <w:szCs w:val="32"/>
          <w:highlight w:val="none"/>
        </w:rPr>
        <w:t>、一般公共预算财政拨款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2" w:name="bookmark12"/>
      <w:r>
        <w:rPr>
          <w:rFonts w:hint="eastAsia" w:ascii="仿宋_GB2312" w:hAnsi="仿宋_GB2312" w:eastAsia="仿宋_GB2312" w:cs="仿宋_GB2312"/>
          <w:color w:val="000000"/>
          <w:spacing w:val="0"/>
          <w:w w:val="100"/>
          <w:position w:val="0"/>
          <w:sz w:val="32"/>
          <w:szCs w:val="32"/>
          <w:highlight w:val="none"/>
        </w:rPr>
        <w:t>八</w:t>
      </w:r>
      <w:bookmarkEnd w:id="12"/>
      <w:r>
        <w:rPr>
          <w:rFonts w:hint="eastAsia" w:ascii="仿宋_GB2312" w:hAnsi="仿宋_GB2312" w:eastAsia="仿宋_GB2312" w:cs="仿宋_GB2312"/>
          <w:color w:val="000000"/>
          <w:spacing w:val="0"/>
          <w:w w:val="100"/>
          <w:position w:val="0"/>
          <w:sz w:val="32"/>
          <w:szCs w:val="32"/>
          <w:highlight w:val="none"/>
        </w:rPr>
        <w:t>、政府性基金预算财政拨款收入支出决算表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bookmarkStart w:id="13" w:name="bookmark13"/>
      <w:r>
        <w:rPr>
          <w:rFonts w:hint="eastAsia" w:ascii="仿宋_GB2312" w:hAnsi="仿宋_GB2312" w:eastAsia="仿宋_GB2312" w:cs="仿宋_GB2312"/>
          <w:color w:val="000000"/>
          <w:spacing w:val="0"/>
          <w:w w:val="100"/>
          <w:position w:val="0"/>
          <w:sz w:val="32"/>
          <w:szCs w:val="32"/>
          <w:highlight w:val="none"/>
        </w:rPr>
        <w:t>九</w:t>
      </w:r>
      <w:bookmarkEnd w:id="13"/>
      <w:r>
        <w:rPr>
          <w:rFonts w:hint="eastAsia" w:ascii="仿宋_GB2312" w:hAnsi="仿宋_GB2312" w:eastAsia="仿宋_GB2312" w:cs="仿宋_GB2312"/>
          <w:color w:val="000000"/>
          <w:spacing w:val="0"/>
          <w:w w:val="100"/>
          <w:position w:val="0"/>
          <w:sz w:val="32"/>
          <w:szCs w:val="32"/>
          <w:highlight w:val="none"/>
        </w:rPr>
        <w:t>、国有资本经营预算财政拨款支出决算表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第三部分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lang w:eastAsia="zh-CN"/>
        </w:rPr>
        <w:t>2021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bookmarkStart w:id="14" w:name="bookmark14"/>
      <w:r>
        <w:rPr>
          <w:rFonts w:hint="eastAsia" w:ascii="仿宋_GB2312" w:hAnsi="仿宋_GB2312" w:eastAsia="仿宋_GB2312" w:cs="仿宋_GB2312"/>
          <w:color w:val="000000"/>
          <w:spacing w:val="0"/>
          <w:w w:val="100"/>
          <w:position w:val="0"/>
          <w:sz w:val="32"/>
          <w:szCs w:val="32"/>
          <w:highlight w:val="none"/>
        </w:rPr>
        <w:t>一</w:t>
      </w:r>
      <w:bookmarkEnd w:id="14"/>
      <w:r>
        <w:rPr>
          <w:rFonts w:hint="eastAsia" w:ascii="仿宋_GB2312" w:hAnsi="仿宋_GB2312" w:eastAsia="仿宋_GB2312" w:cs="仿宋_GB2312"/>
          <w:color w:val="000000"/>
          <w:spacing w:val="0"/>
          <w:w w:val="100"/>
          <w:position w:val="0"/>
          <w:sz w:val="32"/>
          <w:szCs w:val="32"/>
          <w:highlight w:val="none"/>
        </w:rPr>
        <w:t>、收入支出决算总体情况说明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二、</w:t>
      </w:r>
      <w:r>
        <w:rPr>
          <w:rFonts w:hint="eastAsia" w:ascii="仿宋_GB2312" w:hAnsi="仿宋_GB2312" w:eastAsia="仿宋_GB2312" w:cs="仿宋_GB2312"/>
          <w:color w:val="000000"/>
          <w:spacing w:val="0"/>
          <w:w w:val="100"/>
          <w:position w:val="0"/>
          <w:sz w:val="32"/>
          <w:szCs w:val="32"/>
          <w:highlight w:val="none"/>
          <w:lang w:val="en-US" w:eastAsia="zh-CN"/>
        </w:rPr>
        <w:t>收入决算情况说明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三、</w:t>
      </w:r>
      <w:r>
        <w:rPr>
          <w:rFonts w:hint="eastAsia" w:ascii="仿宋_GB2312" w:hAnsi="仿宋_GB2312" w:eastAsia="仿宋_GB2312" w:cs="仿宋_GB2312"/>
          <w:color w:val="000000"/>
          <w:spacing w:val="0"/>
          <w:w w:val="100"/>
          <w:position w:val="0"/>
          <w:sz w:val="32"/>
          <w:szCs w:val="32"/>
          <w:highlight w:val="none"/>
          <w:lang w:val="en-US" w:eastAsia="zh-CN"/>
        </w:rPr>
        <w:t>支出决算情况说明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四、</w:t>
      </w:r>
      <w:r>
        <w:rPr>
          <w:rFonts w:hint="eastAsia" w:ascii="仿宋_GB2312" w:hAnsi="仿宋_GB2312" w:eastAsia="仿宋_GB2312" w:cs="仿宋_GB2312"/>
          <w:color w:val="000000"/>
          <w:spacing w:val="0"/>
          <w:w w:val="100"/>
          <w:position w:val="0"/>
          <w:sz w:val="32"/>
          <w:szCs w:val="32"/>
          <w:highlight w:val="none"/>
        </w:rPr>
        <w:t>财政拨款收入支出决算总体情况说明</w:t>
      </w:r>
    </w:p>
    <w:p>
      <w:pPr>
        <w:pStyle w:val="13"/>
        <w:keepNext w:val="0"/>
        <w:keepLines w:val="0"/>
        <w:pageBreakBefore w:val="0"/>
        <w:widowControl w:val="0"/>
        <w:numPr>
          <w:ilvl w:val="0"/>
          <w:numId w:val="0"/>
        </w:numPr>
        <w:shd w:val="clear" w:color="auto" w:fill="auto"/>
        <w:tabs>
          <w:tab w:val="left" w:pos="822"/>
        </w:tabs>
        <w:kinsoku/>
        <w:wordWrap/>
        <w:overflowPunct/>
        <w:topLinePunct w:val="0"/>
        <w:autoSpaceDE/>
        <w:autoSpaceDN/>
        <w:bidi w:val="0"/>
        <w:adjustRightInd/>
        <w:snapToGrid/>
        <w:spacing w:before="0" w:after="0" w:line="360" w:lineRule="auto"/>
        <w:ind w:right="0" w:rightChars="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五、</w:t>
      </w:r>
      <w:r>
        <w:rPr>
          <w:rFonts w:hint="eastAsia" w:ascii="仿宋_GB2312" w:hAnsi="仿宋_GB2312" w:eastAsia="仿宋_GB2312" w:cs="仿宋_GB2312"/>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六</w:t>
      </w:r>
      <w:r>
        <w:rPr>
          <w:rFonts w:hint="eastAsia" w:ascii="仿宋_GB2312" w:hAnsi="仿宋_GB2312" w:eastAsia="仿宋_GB2312" w:cs="仿宋_GB2312"/>
          <w:color w:val="000000"/>
          <w:spacing w:val="0"/>
          <w:w w:val="100"/>
          <w:position w:val="0"/>
          <w:sz w:val="32"/>
          <w:szCs w:val="32"/>
          <w:highlight w:val="none"/>
        </w:rPr>
        <w:t>、一般公共预算财政拨款基本支出决算情况说明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七、一般公共预算财政拨款“三公”经费支出决算情况说明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八</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机关运行经费支出情况说明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九</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rPr>
        <w:tab/>
      </w:r>
      <w:r>
        <w:rPr>
          <w:rFonts w:hint="eastAsia" w:ascii="仿宋_GB2312" w:hAnsi="仿宋_GB2312" w:eastAsia="仿宋_GB2312" w:cs="仿宋_GB2312"/>
          <w:color w:val="000000"/>
          <w:spacing w:val="0"/>
          <w:w w:val="100"/>
          <w:position w:val="0"/>
          <w:sz w:val="32"/>
          <w:szCs w:val="32"/>
          <w:highlight w:val="none"/>
        </w:rPr>
        <w:t>政府采购支岀情况说明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十一</w:t>
      </w:r>
      <w:r>
        <w:rPr>
          <w:rFonts w:hint="eastAsia" w:ascii="仿宋_GB2312" w:hAnsi="仿宋_GB2312" w:eastAsia="仿宋_GB2312" w:cs="仿宋_GB2312"/>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pos="1315"/>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十二</w:t>
      </w:r>
      <w:r>
        <w:rPr>
          <w:rFonts w:hint="eastAsia" w:ascii="仿宋_GB2312" w:hAnsi="仿宋_GB2312" w:eastAsia="仿宋_GB2312" w:cs="仿宋_GB2312"/>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十三</w:t>
      </w:r>
      <w:r>
        <w:rPr>
          <w:rFonts w:hint="eastAsia" w:ascii="仿宋_GB2312" w:hAnsi="仿宋_GB2312" w:eastAsia="仿宋_GB2312" w:cs="仿宋_GB2312"/>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sectPr>
          <w:footerReference r:id="rId5" w:type="default"/>
          <w:footnotePr>
            <w:numFmt w:val="decimal"/>
          </w:footnotePr>
          <w:pgSz w:w="11900" w:h="16840"/>
          <w:pgMar w:top="1358" w:right="1863" w:bottom="1616" w:left="1685" w:header="930" w:footer="3" w:gutter="0"/>
          <w:pgNumType w:start="1"/>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rPr>
        <w:t>第四部分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名词解释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rPr>
        <w:t>第一部分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部门（单位）</w:t>
      </w:r>
      <w:r>
        <w:rPr>
          <w:rFonts w:hint="eastAsia" w:ascii="仿宋_GB2312" w:hAnsi="仿宋_GB2312" w:eastAsia="仿宋_GB2312" w:cs="仿宋_GB2312"/>
          <w:b/>
          <w:bCs/>
          <w:color w:val="000000"/>
          <w:spacing w:val="0"/>
          <w:w w:val="100"/>
          <w:position w:val="0"/>
          <w:sz w:val="32"/>
          <w:szCs w:val="32"/>
          <w:highlight w:val="none"/>
          <w:lang w:eastAsia="zh-CN"/>
        </w:rPr>
        <w:t>概括</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964" w:firstLineChars="3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一</w:t>
      </w:r>
      <w:r>
        <w:rPr>
          <w:rFonts w:hint="eastAsia" w:ascii="仿宋_GB2312" w:hAnsi="仿宋_GB2312" w:eastAsia="仿宋_GB2312" w:cs="仿宋_GB2312"/>
          <w:b/>
          <w:bCs/>
          <w:color w:val="000000"/>
          <w:spacing w:val="0"/>
          <w:w w:val="100"/>
          <w:position w:val="0"/>
          <w:sz w:val="32"/>
          <w:szCs w:val="32"/>
          <w:highlight w:val="none"/>
        </w:rPr>
        <w:tab/>
      </w:r>
      <w:r>
        <w:rPr>
          <w:rFonts w:hint="eastAsia" w:ascii="仿宋_GB2312" w:hAnsi="仿宋_GB2312" w:eastAsia="仿宋_GB2312" w:cs="仿宋_GB2312"/>
          <w:b/>
          <w:bCs/>
          <w:color w:val="000000"/>
          <w:spacing w:val="0"/>
          <w:w w:val="100"/>
          <w:position w:val="0"/>
          <w:sz w:val="32"/>
          <w:szCs w:val="32"/>
          <w:highlight w:val="none"/>
          <w:lang w:eastAsia="zh-CN"/>
        </w:rPr>
        <w:t>、</w:t>
      </w:r>
      <w:r>
        <w:rPr>
          <w:rFonts w:hint="eastAsia" w:ascii="仿宋_GB2312" w:hAnsi="仿宋_GB2312" w:eastAsia="仿宋_GB2312" w:cs="仿宋_GB2312"/>
          <w:b/>
          <w:bCs/>
          <w:color w:val="000000"/>
          <w:spacing w:val="0"/>
          <w:w w:val="100"/>
          <w:position w:val="0"/>
          <w:sz w:val="32"/>
          <w:szCs w:val="32"/>
          <w:highlight w:val="none"/>
        </w:rPr>
        <w:t>职能职责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bookmarkStart w:id="15" w:name="bookmark24"/>
      <w:r>
        <w:rPr>
          <w:rFonts w:hint="eastAsia" w:ascii="仿宋_GB2312" w:hAnsi="仿宋_GB2312" w:eastAsia="仿宋_GB2312" w:cs="仿宋_GB2312"/>
          <w:b w:val="0"/>
          <w:bCs w:val="0"/>
          <w:color w:val="000000"/>
          <w:spacing w:val="0"/>
          <w:w w:val="100"/>
          <w:position w:val="0"/>
          <w:sz w:val="32"/>
          <w:szCs w:val="32"/>
          <w:highlight w:val="none"/>
          <w:lang w:val="zh-TW" w:eastAsia="zh-CN"/>
        </w:rPr>
        <w:t>（一）县发改局对外加挂县粮食和物资储备局牌子。</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（二）划入的职责。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1.划入县粮食局的相关职责。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2.划入原体改委的相关职责。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3.划入县民政局、县商务局的相关物资储备职责。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4.承担县委军民融合发展委员会具体工作。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（三）划出的职责。</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1.将组织编制主体功能区规划职责划给县自然资源局。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2.将应对气候变化和减排职责划给州生态环境局东乡县分局。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3.将农业投资项目管理职责划给县农业农村局。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4.将项目稽察职责划给县审计局。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5.将价格监督检查职责划给县市场监督管理局。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6.将药品和医疗服务价格管理职责划给县发展和改革局。</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第四条  县发改局贯彻落实党中央、省、州及县委关于发展改革工作的方针政策和决策部署，在履行职责过程中加强党对发展改革工作的集中统一领导。主要职责是：</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一）负责全县国民经济和社会发展战略、中长期规划和年度计划，统筹协调经济社会发展，研究分析经济形势，提出国民经济发展、价格调控和综合平衡、优化重大经济结构的目标和政策，提出综合运用各种经济手段和政策的建议，受县政府委托向县人大提交全县国民经济和社会发展计划的报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负责监测全县经济和社会发展态势，承担预测预警和信息引导的职责，研究经济运行、总量平衡、经济安全等重大问题并提出相关政策建议；起草国民经济和社会发展、经济体制改革的有关法规草案，制定部门规章；负责汇总分析财政、金融等方面的情况，参与财政金融政策的制定；指导和协调全县招投标工作，对全县建设项目工程招投标进行监督检查。</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承担规划重大项目和生产力布局职责，提出全社会固定资产投资总规模。按照规定权限筛选、论证、上报、组织实施全县经济社会发展的重大建设项目；负责全县政府投资项目的可行性研究报告、初步设计及概算审批、竣工验收及协调上报工作；引导民间投资方向，负责非政府投资项目，包括社会投资、企业投资和民间投资项目的核准、备案上报协调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四）负责全县社会发展与国民经济发展的政策衔接，组织拟订社会发展战略、总体规划和年度计划，参与拟订人口和计划生育、科学技术、教育、卫生、文化、旅游、体育、民政等发展政策，推进社会事业和公共服务体系建设，研究提出促进就业、调整收入分配、完善社会保障与经济协调发展的政策建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五）推进经济结构战略性调整，组织拟订综合性产业政策，负责协调第一、二、三产业发展的重大问题并衔接平衡相关发展规划和重大政策，做好与国民经济和社会发展规划、计划的衔接平衡，协调农业和农村经济社会发展的重大问题，会同有关部门拟订服务业发展战略和相关政策，拟订现代物流业发展战略和规划，组织拟订高技术产业发展、产业技术进步的战略、规划和重大政策。</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六）推进可持续发展战略，负责节能减排的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组织实施应对气候变化重大战略、规划和政策。研究提出能源消费总量控制目标的建议，牵头拟订能源消费总量控制工作方案并组织实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（七）组织拟订全县区域协调发展战略、规划和重大政策，研究提出城镇化发展等战略和重大政策并协调实施；统筹规划、指导经济开发区（园区）建设与发展工作。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八）组织编制全县经济体制改革中长期规划和拟定年度改革工作指导意见；组织拟订全县综合性经济体制改革方案；参与研究和协调推进专项经济体制改革；组织开展全县综合改革试点工作；协调解决经济体制改革中的重大问题。</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（九）研究分析市场供求状况，做好重要商品供求的总量平衡，组织制定重要农产品、生产资料批发市场和期货市场发展规划、调控政策；搞好粮食宏观调控，制定县级粮食储备和物资储备计划。</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（十）负责安排全县粮油收购，指导粮油企业从事国家和地方储备粮的收购和市场销售。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（十一）负责拟定全县粮食流通行业的规章制度并监督执行；指导和协调地方粮食仓储建设，提出全县粮食流通及仓储、加工设施等建没规划建议。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（十二）负责代国家管理特种储备粮油和专储粮油，适时组织轮换，确保储粮安全。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（十三）负责全县社会粮食流通管理，组织和协调国家粮食储备任务的落实，管理粮食财务工作，承担行业统计工作；对突发事件的粮食应急筹措。</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（十四）负责协调县内外粮食调剂与调运，制定并组织粮食调运计划，以平衡县内粮食总量和品种的需求；负责县级储备粮库的建设、维修和改造；规划和组织本县粮食批发交易市场的建设。</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（十五）协同有关部门做好粮食质量标准的管理，做好市场流通粮食质量的监督、检查；负责监督执行国家制定的粮食储存、运输技术规范。</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（十六）指导全县粮食流通的行业管理和全行业的教育培训、职业技能鉴定；指导并推动全行业的技术改造和新技术推广；负责全行业的对外交流与合作。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（十七）负责拟定县级专项储备粮的管理办法并贯彻执行，研究提出县级储备粮规模、总体布局调整建议和收购、轮换、销售计划，并负责督促实施；监督检查市、县储备粮、商品周转粮的库存、质量和安全。</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十八）负责全行业粮食信息网络建设，收集省内外、国内外粮食流通的有关科技和市场信息，建立全县各类粮油商品流通信息网络系统，建立粮油交易网站，稳步发展电子商务，逐步实现粮油购、销、存的现代化。</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 xml:space="preserve">（十九）负责全县粮食流通领域的执法监察工作。负责执行落实国家粮食政策，开展调查研究，结合本县实际，制定粮食购、销、调、存计划，管理、指导和协调全县粮食系统的工作，进行行业管理，实施宏观调控。  </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贯彻执行和监督实施《中华人民共和国价格法》、《甘肃省价格管理条例》和《甘肃省涉案财物价格鉴定条例》等价格法律、法规、规章；拟定并组织实施地方性价格法规、规章；制定并组织实施价格改革方案。</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（二十一）负责编制和执行全县价格年度计划；组织实施价格调控措施。</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（二十二）根据国家和省上、州上制定颁布的商品与服务价格、收费管理目录，按照管理权限规定，对实行政府定价、政府指导价的重要商品价格和收费依法进行监督管理。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三）负责市场价格总水平的监测、预警工作；在市场价格出现剧烈波动时，按程序启动应对预案，负责向县委、县政府提出价格干预措施的建议，并按授权组织实施。负责对放开价格的商品和收费进行规范和引导。</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四）负责组织、指导、协调全县价格监督检查工作，依法查处价格违法行为，制止不正当价格竞争，维护正常的价格秩序；依法审理、处罚价格违法案件；依法授权或委托价格监督检查机构开展价格监督检查；依法受理对价格和收费违法行为的举报、投诉及价格行政复议和应诉工作；建立健全全县价格监督检查网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（二十五）负责建立和实行价格形势分析报告制度，掌握市场价格运行情况。建立价格统计制度，健全市场价格监测网络。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（二十六）负责价格信息和价格事务工作，成本调查监审工作，价格和收费管理人员培训工作。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（二十七）负责建立价格调节基金制度，负责或参与价格调节基金的管理和使用工作，负责粮食等政府储备商品和物资的价格管理，</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（二十八）负责组织并主持价格和收费决策听证、价格行政处罚听证；负责价格政策的公告。</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（二十九）负责权限内价格鉴定、价格认证及评估等中介服务机构的价格管理；依法开展涉案财物等方面的价格鉴定、认证工作；依法发布价格信息；依法管理房地产价格和物业服务收费。</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推进可持续发展战略，负责节能项目综合协调工作。组织拟订并协调实施发展循环经济、能源资源节约和综合利用规划及政策措施，参与编制生态建设、环境保护规划，协调生态建设、能源资源节约和综合利用的重大问题，综合协调环保产业和促进清洁生产有关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（三十一）负责县委军民融合发展委员会具体工作。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二）负责县国防动员委员会国民经济动员办公室工作，组织编制国民经济动员的中、长期规划和年度计划，指导经济动员演练。负责全县国民经济实力调查统计工作，掌握战时可供动员的人力、物力、财力情况，制定实施国民经济动员征用比例、办法和平战转换机制，制定和实施战略物资储备计划，组织审核国民经济固定资产投资与国民经济动员项目，会同有关部门审核与国民经济动员有关联的规划、计划，战时组织领导全县经济动员的实施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（三十三）负责县西部大开发办公室工作，贯彻落实国家、省州西部大开发战略，制定全县西部大开发规划，实施西部大开发项目。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（三十四）负责县项目办公室工作，项目程序监督，质量管理和监督，预、决算审核，招投标管理、竣工验收。</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五）负责县以工代赈办公室工作，编制全县以工代赈、易地扶贫搬迁规划和年度建设计划；按程序审查、上报、审批、管理实施全县以工代赈项目、易地扶贫搬迁项目；负责以工代赈项目、易地扶贫搬迁项建设情况的汇总、统计、上报及成果推广工作；负责协调和安排项目资金，并对项目进行监督检查及竣工验收工作。</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lang w:val="zh-TW" w:eastAsia="zh-CN"/>
        </w:rPr>
      </w:pPr>
      <w:r>
        <w:rPr>
          <w:rFonts w:hint="eastAsia" w:ascii="仿宋_GB2312" w:hAnsi="仿宋_GB2312" w:eastAsia="仿宋_GB2312" w:cs="仿宋_GB2312"/>
          <w:b w:val="0"/>
          <w:bCs w:val="0"/>
          <w:color w:val="000000"/>
          <w:spacing w:val="0"/>
          <w:w w:val="100"/>
          <w:position w:val="0"/>
          <w:sz w:val="32"/>
          <w:szCs w:val="32"/>
          <w:highlight w:val="none"/>
          <w:lang w:val="zh-TW" w:eastAsia="zh-CN"/>
        </w:rPr>
        <w:t>（三十六）完成县委、县政府和上级部门交办的其他任务。</w:t>
      </w:r>
    </w:p>
    <w:bookmarkEnd w:id="15"/>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二</w:t>
      </w:r>
      <w:r>
        <w:rPr>
          <w:rFonts w:hint="eastAsia" w:ascii="仿宋_GB2312" w:hAnsi="仿宋_GB2312" w:eastAsia="仿宋_GB2312" w:cs="仿宋_GB2312"/>
          <w:b/>
          <w:bCs/>
          <w:color w:val="000000"/>
          <w:spacing w:val="0"/>
          <w:w w:val="100"/>
          <w:position w:val="0"/>
          <w:sz w:val="32"/>
          <w:szCs w:val="32"/>
          <w:highlight w:val="none"/>
          <w:lang w:eastAsia="zh-CN"/>
        </w:rPr>
        <w:t>、</w:t>
      </w:r>
      <w:r>
        <w:rPr>
          <w:rFonts w:hint="eastAsia" w:ascii="仿宋_GB2312" w:hAnsi="仿宋_GB2312" w:eastAsia="仿宋_GB2312" w:cs="仿宋_GB2312"/>
          <w:b/>
          <w:bCs/>
          <w:color w:val="000000"/>
          <w:spacing w:val="0"/>
          <w:w w:val="100"/>
          <w:position w:val="0"/>
          <w:sz w:val="32"/>
          <w:szCs w:val="32"/>
          <w:highlight w:val="none"/>
        </w:rPr>
        <w:t>机构设置</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b w:val="0"/>
          <w:bCs w:val="0"/>
          <w:color w:val="000000"/>
          <w:spacing w:val="0"/>
          <w:w w:val="100"/>
          <w:position w:val="0"/>
          <w:sz w:val="32"/>
          <w:szCs w:val="32"/>
          <w:highlight w:val="none"/>
        </w:rPr>
      </w:pPr>
      <w:r>
        <w:rPr>
          <w:rFonts w:hint="eastAsia" w:ascii="仿宋_GB2312" w:hAnsi="仿宋_GB2312" w:eastAsia="仿宋_GB2312" w:cs="仿宋_GB2312"/>
          <w:b w:val="0"/>
          <w:bCs w:val="0"/>
          <w:color w:val="000000"/>
          <w:spacing w:val="0"/>
          <w:w w:val="100"/>
          <w:position w:val="0"/>
          <w:sz w:val="32"/>
          <w:szCs w:val="32"/>
          <w:highlight w:val="none"/>
          <w:lang w:eastAsia="zh-CN"/>
        </w:rPr>
        <w:t>县发展和改革局</w:t>
      </w:r>
      <w:r>
        <w:rPr>
          <w:rFonts w:hint="eastAsia" w:ascii="仿宋_GB2312" w:hAnsi="仿宋_GB2312" w:eastAsia="仿宋_GB2312" w:cs="仿宋_GB2312"/>
          <w:b w:val="0"/>
          <w:bCs w:val="0"/>
          <w:color w:val="000000"/>
          <w:spacing w:val="0"/>
          <w:w w:val="100"/>
          <w:position w:val="0"/>
          <w:sz w:val="32"/>
          <w:szCs w:val="32"/>
          <w:highlight w:val="none"/>
        </w:rPr>
        <w:t>核定行政</w:t>
      </w:r>
      <w:r>
        <w:rPr>
          <w:rFonts w:hint="eastAsia" w:ascii="仿宋_GB2312" w:hAnsi="仿宋_GB2312" w:eastAsia="仿宋_GB2312" w:cs="仿宋_GB2312"/>
          <w:b w:val="0"/>
          <w:bCs w:val="0"/>
          <w:color w:val="000000"/>
          <w:spacing w:val="0"/>
          <w:w w:val="100"/>
          <w:position w:val="0"/>
          <w:sz w:val="32"/>
          <w:szCs w:val="32"/>
          <w:highlight w:val="none"/>
          <w:lang w:eastAsia="zh-CN"/>
        </w:rPr>
        <w:t>单位，</w:t>
      </w:r>
      <w:r>
        <w:rPr>
          <w:rFonts w:hint="eastAsia" w:ascii="仿宋_GB2312" w:hAnsi="仿宋_GB2312" w:eastAsia="仿宋_GB2312" w:cs="仿宋_GB2312"/>
          <w:b w:val="0"/>
          <w:bCs w:val="0"/>
          <w:color w:val="000000"/>
          <w:spacing w:val="0"/>
          <w:w w:val="100"/>
          <w:position w:val="0"/>
          <w:sz w:val="32"/>
          <w:szCs w:val="32"/>
          <w:highlight w:val="none"/>
        </w:rPr>
        <w:t>内设机构有综合办公室，粮食和物资储备办公室</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国民经济综合股（行政审批股）、社会事业农经股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社会事业农经股物资股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物价股</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纪检监察室（内审办公室）。下属1个参照公务员法管理事业单位</w:t>
      </w:r>
      <w:r>
        <w:rPr>
          <w:rFonts w:hint="eastAsia" w:ascii="仿宋_GB2312" w:hAnsi="仿宋_GB2312" w:eastAsia="仿宋_GB2312" w:cs="仿宋_GB2312"/>
          <w:b w:val="0"/>
          <w:bCs w:val="0"/>
          <w:color w:val="000000"/>
          <w:spacing w:val="0"/>
          <w:w w:val="100"/>
          <w:position w:val="0"/>
          <w:sz w:val="32"/>
          <w:szCs w:val="32"/>
          <w:highlight w:val="none"/>
          <w:lang w:eastAsia="zh-CN"/>
        </w:rPr>
        <w:t>及</w:t>
      </w:r>
      <w:r>
        <w:rPr>
          <w:rFonts w:hint="eastAsia" w:ascii="仿宋_GB2312" w:hAnsi="仿宋_GB2312" w:eastAsia="仿宋_GB2312" w:cs="仿宋_GB2312"/>
          <w:b w:val="0"/>
          <w:bCs w:val="0"/>
          <w:color w:val="000000"/>
          <w:spacing w:val="0"/>
          <w:w w:val="100"/>
          <w:position w:val="0"/>
          <w:sz w:val="32"/>
          <w:szCs w:val="32"/>
          <w:highlight w:val="none"/>
          <w:lang w:val="en-US" w:eastAsia="zh-CN"/>
        </w:rPr>
        <w:t>5个</w:t>
      </w:r>
      <w:r>
        <w:rPr>
          <w:rFonts w:hint="eastAsia" w:ascii="仿宋_GB2312" w:hAnsi="仿宋_GB2312" w:eastAsia="仿宋_GB2312" w:cs="仿宋_GB2312"/>
          <w:b w:val="0"/>
          <w:bCs w:val="0"/>
          <w:color w:val="000000"/>
          <w:spacing w:val="0"/>
          <w:w w:val="100"/>
          <w:position w:val="0"/>
          <w:sz w:val="32"/>
          <w:szCs w:val="32"/>
          <w:highlight w:val="none"/>
        </w:rPr>
        <w:t>事业单位</w:t>
      </w:r>
      <w:r>
        <w:rPr>
          <w:rFonts w:hint="eastAsia" w:ascii="仿宋_GB2312" w:hAnsi="仿宋_GB2312" w:eastAsia="仿宋_GB2312" w:cs="仿宋_GB2312"/>
          <w:b w:val="0"/>
          <w:bCs w:val="0"/>
          <w:color w:val="000000"/>
          <w:spacing w:val="0"/>
          <w:w w:val="100"/>
          <w:position w:val="0"/>
          <w:sz w:val="32"/>
          <w:szCs w:val="32"/>
          <w:highlight w:val="none"/>
          <w:lang w:eastAsia="zh-CN"/>
        </w:rPr>
        <w:t>，</w:t>
      </w:r>
      <w:r>
        <w:rPr>
          <w:rFonts w:hint="eastAsia" w:ascii="仿宋_GB2312" w:hAnsi="仿宋_GB2312" w:eastAsia="仿宋_GB2312" w:cs="仿宋_GB2312"/>
          <w:b w:val="0"/>
          <w:bCs w:val="0"/>
          <w:color w:val="000000"/>
          <w:spacing w:val="0"/>
          <w:w w:val="100"/>
          <w:position w:val="0"/>
          <w:sz w:val="32"/>
          <w:szCs w:val="32"/>
          <w:highlight w:val="none"/>
        </w:rPr>
        <w:t>包括</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项目管理办公室，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东乡族自治县西部开发办公室、东乡族自治县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以工代赈办公室、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粮食储备中心、</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国防经济动员办公室、</w:t>
      </w:r>
      <w:r>
        <w:rPr>
          <w:rFonts w:hint="eastAsia" w:ascii="仿宋_GB2312" w:hAnsi="仿宋_GB2312" w:eastAsia="仿宋_GB2312" w:cs="仿宋_GB2312"/>
          <w:b w:val="0"/>
          <w:bCs w:val="0"/>
          <w:color w:val="000000"/>
          <w:spacing w:val="0"/>
          <w:w w:val="100"/>
          <w:position w:val="0"/>
          <w:sz w:val="32"/>
          <w:szCs w:val="32"/>
          <w:highlight w:val="none"/>
          <w:lang w:eastAsia="zh-CN"/>
        </w:rPr>
        <w:t>东乡族自治县</w:t>
      </w:r>
      <w:r>
        <w:rPr>
          <w:rFonts w:hint="eastAsia" w:ascii="仿宋_GB2312" w:hAnsi="仿宋_GB2312" w:eastAsia="仿宋_GB2312" w:cs="仿宋_GB2312"/>
          <w:b w:val="0"/>
          <w:bCs w:val="0"/>
          <w:color w:val="000000"/>
          <w:spacing w:val="0"/>
          <w:w w:val="100"/>
          <w:position w:val="0"/>
          <w:sz w:val="32"/>
          <w:szCs w:val="32"/>
          <w:highlight w:val="none"/>
          <w:lang w:val="en-US" w:eastAsia="zh-CN"/>
        </w:rPr>
        <w:t>价格认证中心</w:t>
      </w:r>
      <w:r>
        <w:rPr>
          <w:rFonts w:hint="eastAsia" w:ascii="仿宋_GB2312" w:hAnsi="仿宋_GB2312" w:eastAsia="仿宋_GB2312" w:cs="仿宋_GB2312"/>
          <w:b w:val="0"/>
          <w:bCs w:val="0"/>
          <w:color w:val="000000"/>
          <w:spacing w:val="0"/>
          <w:w w:val="100"/>
          <w:position w:val="0"/>
          <w:sz w:val="32"/>
          <w:szCs w:val="32"/>
          <w:highlight w:val="none"/>
        </w:rPr>
        <w:t>。</w:t>
      </w:r>
    </w:p>
    <w:p>
      <w:pPr>
        <w:pStyle w:val="13"/>
        <w:keepNext w:val="0"/>
        <w:keepLines w:val="0"/>
        <w:pageBreakBefore w:val="0"/>
        <w:widowControl w:val="0"/>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rPr>
        <w:t>第二部分</w:t>
      </w: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年度部门（本单位）决算报表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表一：收入支出决算总表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表二：收入决算表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表三：支出决算表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表四：财政拨款收入支出决算总表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表五：一般公共预算财政拨款支出决算表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rPr>
        <w:t>表六：</w:t>
      </w:r>
      <w:r>
        <w:rPr>
          <w:rFonts w:hint="eastAsia" w:ascii="仿宋_GB2312" w:hAnsi="仿宋_GB2312" w:eastAsia="仿宋_GB2312" w:cs="仿宋_GB2312"/>
          <w:color w:val="000000"/>
          <w:spacing w:val="0"/>
          <w:w w:val="100"/>
          <w:position w:val="0"/>
          <w:sz w:val="32"/>
          <w:szCs w:val="32"/>
          <w:highlight w:val="none"/>
          <w:lang w:eastAsia="zh-CN"/>
        </w:rPr>
        <w:t>一般公共预算财政拨款基本支出决算明细表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表七：一般公共预算财政拨款</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公”经费支岀决算表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表八：政府性基金预算财政拨款收入支出决算表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表九：国有资本经营预算财政拨款支出决算表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以上9张附表详情请见附件1（注：空表需按零值列示，不得删减）。</w:t>
      </w:r>
    </w:p>
    <w:p>
      <w:pPr>
        <w:pStyle w:val="13"/>
        <w:keepNext w:val="0"/>
        <w:keepLines w:val="0"/>
        <w:pageBreakBefore w:val="0"/>
        <w:widowControl w:val="0"/>
        <w:numPr>
          <w:ilvl w:val="0"/>
          <w:numId w:val="1"/>
        </w:numPr>
        <w:shd w:val="clear" w:color="auto" w:fill="auto"/>
        <w:tabs>
          <w:tab w:val="left" w:pos="822"/>
        </w:tabs>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color w:val="000000"/>
          <w:spacing w:val="0"/>
          <w:w w:val="100"/>
          <w:position w:val="0"/>
          <w:sz w:val="32"/>
          <w:szCs w:val="32"/>
          <w:highlight w:val="none"/>
        </w:rPr>
      </w:pPr>
      <w:r>
        <w:rPr>
          <w:rFonts w:hint="eastAsia" w:ascii="仿宋_GB2312" w:hAnsi="仿宋_GB2312" w:eastAsia="仿宋_GB2312" w:cs="仿宋_GB2312"/>
          <w:b/>
          <w:bCs/>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color w:val="000000"/>
          <w:spacing w:val="0"/>
          <w:w w:val="100"/>
          <w:position w:val="0"/>
          <w:sz w:val="32"/>
          <w:szCs w:val="32"/>
          <w:highlight w:val="none"/>
        </w:rPr>
        <w:t>202</w:t>
      </w:r>
      <w:r>
        <w:rPr>
          <w:rFonts w:hint="eastAsia" w:ascii="仿宋_GB2312" w:hAnsi="仿宋_GB2312" w:eastAsia="仿宋_GB2312" w:cs="仿宋_GB2312"/>
          <w:b/>
          <w:bCs/>
          <w:color w:val="000000"/>
          <w:spacing w:val="0"/>
          <w:w w:val="100"/>
          <w:position w:val="0"/>
          <w:sz w:val="32"/>
          <w:szCs w:val="32"/>
          <w:highlight w:val="none"/>
          <w:lang w:val="en-US" w:eastAsia="zh-CN"/>
        </w:rPr>
        <w:t>1</w:t>
      </w:r>
      <w:r>
        <w:rPr>
          <w:rFonts w:hint="eastAsia" w:ascii="仿宋_GB2312" w:hAnsi="仿宋_GB2312" w:eastAsia="仿宋_GB2312" w:cs="仿宋_GB2312"/>
          <w:b/>
          <w:bCs/>
          <w:color w:val="000000"/>
          <w:spacing w:val="0"/>
          <w:w w:val="100"/>
          <w:position w:val="0"/>
          <w:sz w:val="32"/>
          <w:szCs w:val="32"/>
          <w:highlight w:val="none"/>
        </w:rPr>
        <w:t>年度部门决算情况说明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b w:val="0"/>
          <w:bCs w:val="0"/>
          <w:color w:val="000000"/>
          <w:kern w:val="0"/>
          <w:sz w:val="32"/>
          <w:szCs w:val="32"/>
          <w:highlight w:val="none"/>
          <w:lang w:val="en-US" w:eastAsia="zh-CN" w:bidi="ar"/>
        </w:rPr>
        <w:t>（</w:t>
      </w:r>
      <w:r>
        <w:rPr>
          <w:rFonts w:hint="eastAsia" w:ascii="仿宋_GB2312" w:hAnsi="仿宋_GB2312" w:eastAsia="仿宋_GB2312" w:cs="仿宋_GB2312"/>
          <w:b/>
          <w:bCs/>
          <w:color w:val="000000"/>
          <w:kern w:val="0"/>
          <w:sz w:val="32"/>
          <w:szCs w:val="32"/>
          <w:highlight w:val="none"/>
          <w:lang w:val="en-US" w:eastAsia="zh-CN" w:bidi="ar"/>
        </w:rPr>
        <w:t>注意事项：</w:t>
      </w:r>
      <w:r>
        <w:rPr>
          <w:rFonts w:hint="eastAsia" w:ascii="仿宋_GB2312" w:hAnsi="仿宋_GB2312" w:eastAsia="仿宋_GB2312" w:cs="仿宋_GB2312"/>
          <w:color w:val="000000"/>
          <w:kern w:val="0"/>
          <w:sz w:val="32"/>
          <w:szCs w:val="32"/>
          <w:highlight w:val="none"/>
          <w:lang w:val="en-US" w:eastAsia="zh-CN" w:bidi="ar"/>
        </w:rPr>
        <w:t>关于小数位。金额数值应当保留两位小数，如末位为0不需保留小数位（例如：1000 万元，100.3 万元）；百分比应当保留 1 位小数，如末位为 0 需保留（例如：18.0%））</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rPr>
        <w:t>一、收入支出决算总体情况说明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en-US" w:eastAsia="zh-CN"/>
        </w:rPr>
        <w:t>2021年度收入总计65,355,977.21元，支出总计35,932,632.02元，与2020年决算数相比，收入减少40959836.03元，减少38.5%，支出减少73875219.88元，减少67.3%。主要原因是项目资金减少及结存光伏项目质保金。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二、收入决算情况说明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年度收入合计</w:t>
      </w:r>
      <w:r>
        <w:rPr>
          <w:rFonts w:hint="eastAsia" w:ascii="仿宋_GB2312" w:hAnsi="仿宋_GB2312" w:eastAsia="仿宋_GB2312" w:cs="仿宋_GB2312"/>
          <w:color w:val="000000"/>
          <w:spacing w:val="0"/>
          <w:w w:val="100"/>
          <w:position w:val="0"/>
          <w:sz w:val="32"/>
          <w:szCs w:val="32"/>
          <w:highlight w:val="none"/>
          <w:lang w:val="en-US" w:eastAsia="zh-CN"/>
        </w:rPr>
        <w:t>65,355,977.21</w:t>
      </w:r>
      <w:r>
        <w:rPr>
          <w:rFonts w:hint="eastAsia" w:ascii="仿宋_GB2312" w:hAnsi="仿宋_GB2312" w:eastAsia="仿宋_GB2312" w:cs="仿宋_GB2312"/>
          <w:color w:val="000000"/>
          <w:spacing w:val="0"/>
          <w:w w:val="100"/>
          <w:position w:val="0"/>
          <w:sz w:val="32"/>
          <w:szCs w:val="32"/>
          <w:highlight w:val="none"/>
        </w:rPr>
        <w:t>元，其中：财政拨款收入</w:t>
      </w:r>
      <w:r>
        <w:rPr>
          <w:rFonts w:hint="eastAsia" w:ascii="仿宋_GB2312" w:hAnsi="仿宋_GB2312" w:eastAsia="仿宋_GB2312" w:cs="仿宋_GB2312"/>
          <w:color w:val="000000"/>
          <w:spacing w:val="0"/>
          <w:w w:val="100"/>
          <w:position w:val="0"/>
          <w:sz w:val="32"/>
          <w:szCs w:val="32"/>
          <w:highlight w:val="none"/>
          <w:lang w:val="en-US" w:eastAsia="zh-CN"/>
        </w:rPr>
        <w:t>35,932,632.02</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55.0</w:t>
      </w:r>
      <w:r>
        <w:rPr>
          <w:rFonts w:hint="eastAsia" w:ascii="仿宋_GB2312" w:hAnsi="仿宋_GB2312" w:eastAsia="仿宋_GB2312" w:cs="仿宋_GB2312"/>
          <w:color w:val="000000"/>
          <w:spacing w:val="0"/>
          <w:w w:val="100"/>
          <w:position w:val="0"/>
          <w:sz w:val="32"/>
          <w:szCs w:val="32"/>
          <w:highlight w:val="none"/>
        </w:rPr>
        <w:t>%;其他收入29,423,345.19元，占</w:t>
      </w:r>
      <w:r>
        <w:rPr>
          <w:rFonts w:hint="eastAsia" w:ascii="仿宋_GB2312" w:hAnsi="仿宋_GB2312" w:eastAsia="仿宋_GB2312" w:cs="仿宋_GB2312"/>
          <w:color w:val="000000"/>
          <w:spacing w:val="0"/>
          <w:w w:val="100"/>
          <w:position w:val="0"/>
          <w:sz w:val="32"/>
          <w:szCs w:val="32"/>
          <w:highlight w:val="none"/>
          <w:lang w:val="en-US" w:eastAsia="zh-CN"/>
        </w:rPr>
        <w:t>45.0</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pPr>
      <w:r>
        <w:rPr>
          <w:rFonts w:hint="eastAsia" w:ascii="仿宋_GB2312" w:hAnsi="仿宋_GB2312" w:eastAsia="仿宋_GB2312" w:cs="仿宋_GB2312"/>
          <w:b/>
          <w:bCs/>
          <w:color w:val="000000"/>
          <w:spacing w:val="0"/>
          <w:w w:val="100"/>
          <w:position w:val="0"/>
          <w:sz w:val="32"/>
          <w:szCs w:val="32"/>
          <w:highlight w:val="none"/>
          <w:lang w:eastAsia="zh-CN"/>
        </w:rPr>
        <w:t>三、支出决算情况说明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年度支出合计35,932,632.02元，其中：基本支出</w:t>
      </w:r>
      <w:r>
        <w:rPr>
          <w:rFonts w:hint="eastAsia" w:ascii="仿宋_GB2312" w:hAnsi="仿宋_GB2312" w:eastAsia="仿宋_GB2312" w:cs="仿宋_GB2312"/>
          <w:color w:val="000000"/>
          <w:spacing w:val="0"/>
          <w:w w:val="100"/>
          <w:position w:val="0"/>
          <w:sz w:val="32"/>
          <w:szCs w:val="32"/>
          <w:highlight w:val="none"/>
          <w:lang w:val="en-US" w:eastAsia="zh-CN" w:bidi="en-US"/>
        </w:rPr>
        <w:t>12,325,123.48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34.3</w:t>
      </w:r>
      <w:r>
        <w:rPr>
          <w:rFonts w:hint="eastAsia" w:ascii="仿宋_GB2312" w:hAnsi="仿宋_GB2312" w:eastAsia="仿宋_GB2312" w:cs="仿宋_GB2312"/>
          <w:color w:val="000000"/>
          <w:spacing w:val="0"/>
          <w:w w:val="100"/>
          <w:position w:val="0"/>
          <w:sz w:val="32"/>
          <w:szCs w:val="32"/>
          <w:highlight w:val="none"/>
        </w:rPr>
        <w:t>%；项目支出23,607,508.54元，占</w:t>
      </w:r>
      <w:r>
        <w:rPr>
          <w:rFonts w:hint="eastAsia" w:ascii="仿宋_GB2312" w:hAnsi="仿宋_GB2312" w:eastAsia="仿宋_GB2312" w:cs="仿宋_GB2312"/>
          <w:color w:val="000000"/>
          <w:spacing w:val="0"/>
          <w:w w:val="100"/>
          <w:position w:val="0"/>
          <w:sz w:val="32"/>
          <w:szCs w:val="32"/>
          <w:highlight w:val="none"/>
          <w:lang w:val="en-US" w:eastAsia="zh-CN"/>
        </w:rPr>
        <w:t>65.7</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color w:val="000000"/>
          <w:spacing w:val="0"/>
          <w:w w:val="100"/>
          <w:position w:val="0"/>
          <w:sz w:val="32"/>
          <w:szCs w:val="32"/>
          <w:highlight w:val="none"/>
          <w:lang w:eastAsia="zh-CN"/>
        </w:rPr>
        <w:sectPr>
          <w:footnotePr>
            <w:numFmt w:val="decimal"/>
          </w:footnotePr>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b/>
          <w:bCs/>
          <w:color w:val="000000"/>
          <w:spacing w:val="0"/>
          <w:w w:val="100"/>
          <w:position w:val="0"/>
          <w:sz w:val="32"/>
          <w:szCs w:val="32"/>
          <w:highlight w:val="none"/>
          <w:lang w:eastAsia="zh-CN"/>
        </w:rPr>
        <w:t>四、财政拨款收入支出决算总体情况说明</w:t>
      </w:r>
    </w:p>
    <w:p>
      <w:pPr>
        <w:pStyle w:val="13"/>
        <w:keepNext w:val="0"/>
        <w:keepLines w:val="0"/>
        <w:pageBreakBefore w:val="0"/>
        <w:widowControl w:val="0"/>
        <w:shd w:val="clear" w:color="auto" w:fill="auto"/>
        <w:tabs>
          <w:tab w:val="left" w:leader="dot" w:pos="2515"/>
          <w:tab w:val="left" w:leader="dot" w:pos="3936"/>
          <w:tab w:val="left" w:leader="dot" w:pos="727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年度财政拨款收入</w:t>
      </w:r>
      <w:r>
        <w:rPr>
          <w:rFonts w:hint="eastAsia" w:ascii="仿宋_GB2312" w:hAnsi="仿宋_GB2312" w:eastAsia="仿宋_GB2312" w:cs="仿宋_GB2312"/>
          <w:color w:val="000000"/>
          <w:spacing w:val="0"/>
          <w:w w:val="100"/>
          <w:position w:val="0"/>
          <w:sz w:val="32"/>
          <w:szCs w:val="32"/>
          <w:highlight w:val="none"/>
          <w:lang w:val="en-US" w:eastAsia="en-US" w:bidi="en-US"/>
        </w:rPr>
        <w:t>35,932,632.02</w:t>
      </w:r>
      <w:r>
        <w:rPr>
          <w:rFonts w:hint="eastAsia" w:ascii="仿宋_GB2312" w:hAnsi="仿宋_GB2312" w:eastAsia="仿宋_GB2312" w:cs="仿宋_GB2312"/>
          <w:color w:val="000000"/>
          <w:spacing w:val="0"/>
          <w:w w:val="100"/>
          <w:position w:val="0"/>
          <w:sz w:val="32"/>
          <w:szCs w:val="32"/>
          <w:highlight w:val="none"/>
        </w:rPr>
        <w:t>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减少54997468.22</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减少56.2</w:t>
      </w:r>
      <w:r>
        <w:rPr>
          <w:rFonts w:hint="eastAsia" w:ascii="仿宋_GB2312" w:hAnsi="仿宋_GB2312" w:eastAsia="仿宋_GB2312" w:cs="仿宋_GB2312"/>
          <w:color w:val="000000"/>
          <w:spacing w:val="0"/>
          <w:w w:val="100"/>
          <w:position w:val="0"/>
          <w:sz w:val="32"/>
          <w:szCs w:val="32"/>
          <w:highlight w:val="none"/>
        </w:rPr>
        <w:t>%。主要原因</w:t>
      </w:r>
      <w:r>
        <w:rPr>
          <w:rFonts w:hint="eastAsia" w:ascii="仿宋_GB2312" w:hAnsi="仿宋_GB2312" w:eastAsia="仿宋_GB2312" w:cs="仿宋_GB2312"/>
          <w:color w:val="000000"/>
          <w:spacing w:val="0"/>
          <w:w w:val="100"/>
          <w:position w:val="0"/>
          <w:sz w:val="32"/>
          <w:szCs w:val="32"/>
          <w:highlight w:val="none"/>
          <w:lang w:eastAsia="zh-CN"/>
        </w:rPr>
        <w:t>项目资金减少</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年度财政拨款支出35,932,632.02元，较上年决算数</w:t>
      </w:r>
      <w:r>
        <w:rPr>
          <w:rFonts w:hint="eastAsia" w:ascii="仿宋_GB2312" w:hAnsi="仿宋_GB2312" w:eastAsia="仿宋_GB2312" w:cs="仿宋_GB2312"/>
          <w:color w:val="000000"/>
          <w:spacing w:val="0"/>
          <w:w w:val="100"/>
          <w:position w:val="0"/>
          <w:sz w:val="32"/>
          <w:szCs w:val="32"/>
          <w:highlight w:val="none"/>
          <w:lang w:val="en-US" w:eastAsia="zh-CN"/>
        </w:rPr>
        <w:t>减少62010819.88</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en-US" w:eastAsia="zh-CN"/>
        </w:rPr>
        <w:t>减少63.3</w:t>
      </w:r>
      <w:r>
        <w:rPr>
          <w:rFonts w:hint="eastAsia" w:ascii="仿宋_GB2312" w:hAnsi="仿宋_GB2312" w:eastAsia="仿宋_GB2312" w:cs="仿宋_GB2312"/>
          <w:color w:val="000000"/>
          <w:spacing w:val="0"/>
          <w:w w:val="100"/>
          <w:position w:val="0"/>
          <w:sz w:val="32"/>
          <w:szCs w:val="32"/>
          <w:highlight w:val="none"/>
        </w:rPr>
        <w:t>%。主要原因</w:t>
      </w:r>
      <w:r>
        <w:rPr>
          <w:rFonts w:hint="eastAsia" w:ascii="仿宋_GB2312" w:hAnsi="仿宋_GB2312" w:eastAsia="仿宋_GB2312" w:cs="仿宋_GB2312"/>
          <w:color w:val="000000"/>
          <w:spacing w:val="0"/>
          <w:w w:val="100"/>
          <w:position w:val="0"/>
          <w:sz w:val="32"/>
          <w:szCs w:val="32"/>
          <w:highlight w:val="none"/>
          <w:lang w:val="en-US" w:eastAsia="zh-CN"/>
        </w:rPr>
        <w:t>社会保障和就业支出减少</w:t>
      </w:r>
      <w:r>
        <w:rPr>
          <w:rFonts w:hint="eastAsia" w:ascii="仿宋_GB2312" w:hAnsi="仿宋_GB2312" w:eastAsia="仿宋_GB2312" w:cs="仿宋_GB2312"/>
          <w:color w:val="000000"/>
          <w:spacing w:val="0"/>
          <w:w w:val="100"/>
          <w:position w:val="0"/>
          <w:sz w:val="32"/>
          <w:szCs w:val="32"/>
          <w:highlight w:val="none"/>
        </w:rPr>
        <w:t>。较年初预算数增加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16112727.02</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44.8</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eastAsia="zh-CN"/>
        </w:rPr>
        <w:t>一般公共服务支出、卫生健康支出增加、农林水支出、粮油物资储备支出、灾害防治及应急管理支出增加。</w:t>
      </w:r>
    </w:p>
    <w:p>
      <w:pPr>
        <w:pStyle w:val="13"/>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360" w:lineRule="auto"/>
        <w:ind w:leftChars="200" w:right="0" w:rightChars="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五、</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一般公共预算财政拨款支出决算情况说明</w:t>
      </w:r>
    </w:p>
    <w:p>
      <w:pPr>
        <w:pStyle w:val="13"/>
        <w:keepNext w:val="0"/>
        <w:keepLines w:val="0"/>
        <w:pageBreakBefore w:val="0"/>
        <w:widowControl w:val="0"/>
        <w:shd w:val="clear" w:color="auto" w:fill="auto"/>
        <w:tabs>
          <w:tab w:val="left" w:leader="dot" w:pos="5837"/>
          <w:tab w:val="left" w:leader="dot" w:pos="6787"/>
          <w:tab w:val="left" w:leader="dot" w:pos="711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 xml:space="preserve"> 2021 年度一般公共预算财政拨款支出</w:t>
      </w:r>
      <w:r>
        <w:rPr>
          <w:rFonts w:hint="eastAsia" w:ascii="仿宋_GB2312" w:hAnsi="仿宋_GB2312" w:eastAsia="仿宋_GB2312" w:cs="仿宋_GB2312"/>
          <w:color w:val="000000"/>
          <w:spacing w:val="0"/>
          <w:w w:val="100"/>
          <w:position w:val="0"/>
          <w:sz w:val="32"/>
          <w:szCs w:val="32"/>
          <w:highlight w:val="none"/>
        </w:rPr>
        <w:t>35,932,632.02</w:t>
      </w:r>
      <w:r>
        <w:rPr>
          <w:rFonts w:hint="eastAsia" w:ascii="仿宋_GB2312" w:hAnsi="仿宋_GB2312" w:eastAsia="仿宋_GB2312" w:cs="仿宋_GB2312"/>
          <w:color w:val="000000"/>
          <w:spacing w:val="0"/>
          <w:w w:val="100"/>
          <w:position w:val="0"/>
          <w:sz w:val="32"/>
          <w:szCs w:val="32"/>
          <w:highlight w:val="none"/>
          <w:lang w:val="en-US" w:eastAsia="zh-CN"/>
        </w:rPr>
        <w:t>万元，占本年支出的100%，较上年决算数减少58489506.88万元，减少36.7%。主要原因：社会保障就业支出、项目支出、</w:t>
      </w:r>
      <w:r>
        <w:rPr>
          <w:rFonts w:hint="eastAsia" w:ascii="仿宋_GB2312" w:hAnsi="仿宋_GB2312" w:eastAsia="仿宋_GB2312" w:cs="仿宋_GB2312"/>
          <w:color w:val="000000"/>
          <w:spacing w:val="0"/>
          <w:w w:val="100"/>
          <w:position w:val="0"/>
          <w:sz w:val="32"/>
          <w:szCs w:val="32"/>
          <w:highlight w:val="none"/>
          <w:lang w:eastAsia="zh-CN"/>
        </w:rPr>
        <w:t>农林水支出、粮油物资储备支出、灾害防治及应急管理支出减少。</w:t>
      </w:r>
    </w:p>
    <w:p>
      <w:pPr>
        <w:pStyle w:val="13"/>
        <w:keepNext w:val="0"/>
        <w:keepLines w:val="0"/>
        <w:pageBreakBefore w:val="0"/>
        <w:widowControl w:val="0"/>
        <w:shd w:val="clear" w:color="auto" w:fill="auto"/>
        <w:tabs>
          <w:tab w:val="left" w:leader="dot" w:pos="517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主要用于以下几个方面：</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一般公共服务支出24,611,508.38元，占</w:t>
      </w:r>
      <w:r>
        <w:rPr>
          <w:rFonts w:hint="eastAsia" w:ascii="仿宋_GB2312" w:hAnsi="仿宋_GB2312" w:eastAsia="仿宋_GB2312" w:cs="仿宋_GB2312"/>
          <w:color w:val="000000"/>
          <w:spacing w:val="0"/>
          <w:w w:val="100"/>
          <w:position w:val="0"/>
          <w:sz w:val="32"/>
          <w:szCs w:val="32"/>
          <w:highlight w:val="none"/>
          <w:lang w:val="en-US" w:eastAsia="zh-CN"/>
        </w:rPr>
        <w:t>68.5</w:t>
      </w:r>
      <w:r>
        <w:rPr>
          <w:rFonts w:hint="eastAsia" w:ascii="仿宋_GB2312" w:hAnsi="仿宋_GB2312" w:eastAsia="仿宋_GB2312" w:cs="仿宋_GB2312"/>
          <w:color w:val="000000"/>
          <w:spacing w:val="0"/>
          <w:w w:val="100"/>
          <w:position w:val="0"/>
          <w:sz w:val="32"/>
          <w:szCs w:val="32"/>
          <w:highlight w:val="none"/>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w:t>
      </w:r>
      <w:r>
        <w:rPr>
          <w:rFonts w:hint="eastAsia" w:ascii="仿宋_GB2312" w:hAnsi="仿宋_GB2312" w:eastAsia="仿宋_GB2312" w:cs="仿宋_GB2312"/>
          <w:color w:val="000000"/>
          <w:spacing w:val="0"/>
          <w:w w:val="100"/>
          <w:position w:val="0"/>
          <w:sz w:val="32"/>
          <w:szCs w:val="32"/>
          <w:highlight w:val="none"/>
          <w:lang w:val="en-US" w:eastAsia="zh-CN" w:bidi="en-US"/>
        </w:rPr>
        <w:t>11334863.38</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eastAsia="zh-CN"/>
        </w:rPr>
        <w:t>其他发展与改革事务支出、其他一般公共服务支出及运行经费支出增加</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tabs>
          <w:tab w:val="left" w:leader="dot" w:pos="21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社会保障和就业支出</w:t>
      </w:r>
      <w:r>
        <w:rPr>
          <w:rFonts w:hint="eastAsia" w:ascii="仿宋_GB2312" w:hAnsi="仿宋_GB2312" w:eastAsia="仿宋_GB2312" w:cs="仿宋_GB2312"/>
          <w:color w:val="000000"/>
          <w:spacing w:val="0"/>
          <w:w w:val="100"/>
          <w:position w:val="0"/>
          <w:sz w:val="32"/>
          <w:szCs w:val="32"/>
          <w:highlight w:val="none"/>
          <w:lang w:val="en-US" w:eastAsia="en-US" w:bidi="en-US"/>
        </w:rPr>
        <w:t>1183016.28</w:t>
      </w:r>
      <w:r>
        <w:rPr>
          <w:rFonts w:hint="eastAsia" w:ascii="仿宋_GB2312" w:hAnsi="仿宋_GB2312" w:eastAsia="仿宋_GB2312" w:cs="仿宋_GB2312"/>
          <w:color w:val="000000"/>
          <w:spacing w:val="0"/>
          <w:w w:val="100"/>
          <w:position w:val="0"/>
          <w:sz w:val="32"/>
          <w:szCs w:val="32"/>
          <w:highlight w:val="none"/>
        </w:rPr>
        <w:t>元，占</w:t>
      </w:r>
      <w:r>
        <w:rPr>
          <w:rFonts w:hint="eastAsia" w:ascii="仿宋_GB2312" w:hAnsi="仿宋_GB2312" w:eastAsia="仿宋_GB2312" w:cs="仿宋_GB2312"/>
          <w:color w:val="000000"/>
          <w:spacing w:val="0"/>
          <w:w w:val="100"/>
          <w:position w:val="0"/>
          <w:sz w:val="32"/>
          <w:szCs w:val="32"/>
          <w:highlight w:val="none"/>
          <w:lang w:val="en-US" w:eastAsia="zh-CN"/>
        </w:rPr>
        <w:t>3.3</w:t>
      </w:r>
      <w:r>
        <w:rPr>
          <w:rFonts w:hint="eastAsia" w:ascii="仿宋_GB2312" w:hAnsi="仿宋_GB2312" w:eastAsia="仿宋_GB2312" w:cs="仿宋_GB2312"/>
          <w:color w:val="000000"/>
          <w:spacing w:val="0"/>
          <w:w w:val="100"/>
          <w:position w:val="0"/>
          <w:sz w:val="32"/>
          <w:szCs w:val="32"/>
          <w:highlight w:val="none"/>
        </w:rPr>
        <w:t>%,较年初预算数</w:t>
      </w:r>
      <w:r>
        <w:rPr>
          <w:rFonts w:hint="eastAsia" w:ascii="仿宋_GB2312" w:hAnsi="仿宋_GB2312" w:eastAsia="仿宋_GB2312" w:cs="仿宋_GB2312"/>
          <w:color w:val="000000"/>
          <w:spacing w:val="0"/>
          <w:w w:val="100"/>
          <w:position w:val="0"/>
          <w:sz w:val="32"/>
          <w:szCs w:val="32"/>
          <w:highlight w:val="none"/>
          <w:lang w:eastAsia="zh-CN"/>
        </w:rPr>
        <w:t>增加</w:t>
      </w:r>
      <w:r>
        <w:rPr>
          <w:rFonts w:hint="eastAsia" w:ascii="仿宋_GB2312" w:hAnsi="仿宋_GB2312" w:eastAsia="仿宋_GB2312" w:cs="仿宋_GB2312"/>
          <w:color w:val="000000"/>
          <w:spacing w:val="0"/>
          <w:w w:val="100"/>
          <w:position w:val="0"/>
          <w:sz w:val="32"/>
          <w:szCs w:val="32"/>
          <w:highlight w:val="none"/>
          <w:lang w:val="en-US" w:eastAsia="zh-CN"/>
        </w:rPr>
        <w:t>68756.28</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卫生健康支出494710.95元，占</w:t>
      </w:r>
      <w:r>
        <w:rPr>
          <w:rFonts w:hint="eastAsia" w:ascii="仿宋_GB2312" w:hAnsi="仿宋_GB2312" w:eastAsia="仿宋_GB2312" w:cs="仿宋_GB2312"/>
          <w:color w:val="000000"/>
          <w:spacing w:val="0"/>
          <w:w w:val="100"/>
          <w:position w:val="0"/>
          <w:sz w:val="32"/>
          <w:szCs w:val="32"/>
          <w:highlight w:val="none"/>
          <w:lang w:val="en-US" w:eastAsia="zh-CN"/>
        </w:rPr>
        <w:t>1.4</w:t>
      </w:r>
      <w:r>
        <w:rPr>
          <w:rFonts w:hint="eastAsia" w:ascii="仿宋_GB2312" w:hAnsi="仿宋_GB2312" w:eastAsia="仿宋_GB2312" w:cs="仿宋_GB2312"/>
          <w:color w:val="000000"/>
          <w:spacing w:val="0"/>
          <w:w w:val="100"/>
          <w:position w:val="0"/>
          <w:sz w:val="32"/>
          <w:szCs w:val="32"/>
          <w:highlight w:val="none"/>
          <w:lang w:eastAsia="zh-CN"/>
        </w:rPr>
        <w:t>%,较年初预算数增加494710.95元;</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eastAsia="zh-CN"/>
        </w:rPr>
        <w:t>农林水支出2207875.2元，占</w:t>
      </w:r>
      <w:r>
        <w:rPr>
          <w:rFonts w:hint="eastAsia" w:ascii="仿宋_GB2312" w:hAnsi="仿宋_GB2312" w:eastAsia="仿宋_GB2312" w:cs="仿宋_GB2312"/>
          <w:color w:val="000000"/>
          <w:spacing w:val="0"/>
          <w:w w:val="100"/>
          <w:position w:val="0"/>
          <w:sz w:val="32"/>
          <w:szCs w:val="32"/>
          <w:highlight w:val="none"/>
          <w:lang w:val="en-US" w:eastAsia="zh-CN"/>
        </w:rPr>
        <w:t>6.1</w:t>
      </w:r>
      <w:r>
        <w:rPr>
          <w:rFonts w:hint="eastAsia" w:ascii="仿宋_GB2312" w:hAnsi="仿宋_GB2312" w:eastAsia="仿宋_GB2312" w:cs="仿宋_GB2312"/>
          <w:color w:val="000000"/>
          <w:spacing w:val="0"/>
          <w:w w:val="100"/>
          <w:position w:val="0"/>
          <w:sz w:val="32"/>
          <w:szCs w:val="32"/>
          <w:highlight w:val="none"/>
          <w:lang w:eastAsia="zh-CN"/>
        </w:rPr>
        <w:t>%,较年初预算数增加2207875.2元，主要原因是</w:t>
      </w:r>
      <w:r>
        <w:rPr>
          <w:rFonts w:hint="eastAsia" w:ascii="仿宋_GB2312" w:hAnsi="仿宋_GB2312" w:eastAsia="仿宋_GB2312" w:cs="仿宋_GB2312"/>
          <w:color w:val="000000"/>
          <w:spacing w:val="0"/>
          <w:w w:val="100"/>
          <w:position w:val="0"/>
          <w:sz w:val="32"/>
          <w:szCs w:val="32"/>
          <w:highlight w:val="none"/>
          <w:lang w:val="en-US" w:eastAsia="zh-CN"/>
        </w:rPr>
        <w:t>项目投资减少</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粮油物资储备支出7413821.21元，占</w:t>
      </w:r>
      <w:r>
        <w:rPr>
          <w:rFonts w:hint="eastAsia" w:ascii="仿宋_GB2312" w:hAnsi="仿宋_GB2312" w:eastAsia="仿宋_GB2312" w:cs="仿宋_GB2312"/>
          <w:color w:val="000000"/>
          <w:spacing w:val="0"/>
          <w:w w:val="100"/>
          <w:position w:val="0"/>
          <w:sz w:val="32"/>
          <w:szCs w:val="32"/>
          <w:highlight w:val="none"/>
          <w:lang w:val="en-US" w:eastAsia="zh-CN"/>
        </w:rPr>
        <w:t>20.6</w:t>
      </w:r>
      <w:r>
        <w:rPr>
          <w:rFonts w:hint="eastAsia" w:ascii="仿宋_GB2312" w:hAnsi="仿宋_GB2312" w:eastAsia="仿宋_GB2312" w:cs="仿宋_GB2312"/>
          <w:color w:val="000000"/>
          <w:spacing w:val="0"/>
          <w:w w:val="100"/>
          <w:position w:val="0"/>
          <w:sz w:val="32"/>
          <w:szCs w:val="32"/>
          <w:highlight w:val="none"/>
          <w:lang w:eastAsia="zh-CN"/>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增加1984821.21</w:t>
      </w:r>
      <w:r>
        <w:rPr>
          <w:rFonts w:hint="eastAsia" w:ascii="仿宋_GB2312" w:hAnsi="仿宋_GB2312" w:eastAsia="仿宋_GB2312" w:cs="仿宋_GB2312"/>
          <w:color w:val="000000"/>
          <w:spacing w:val="0"/>
          <w:w w:val="100"/>
          <w:position w:val="0"/>
          <w:sz w:val="32"/>
          <w:szCs w:val="32"/>
          <w:highlight w:val="none"/>
          <w:lang w:eastAsia="zh-CN"/>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项目投资增加。</w:t>
      </w:r>
    </w:p>
    <w:p>
      <w:pPr>
        <w:pStyle w:val="13"/>
        <w:keepNext w:val="0"/>
        <w:keepLines w:val="0"/>
        <w:pageBreakBefore w:val="0"/>
        <w:widowControl w:val="0"/>
        <w:shd w:val="clear" w:color="auto" w:fill="auto"/>
        <w:tabs>
          <w:tab w:val="left" w:leader="dot" w:pos="3562"/>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灾害防治及应急管理支出21700元，</w:t>
      </w:r>
      <w:r>
        <w:rPr>
          <w:rFonts w:hint="eastAsia" w:ascii="仿宋_GB2312" w:hAnsi="仿宋_GB2312" w:eastAsia="仿宋_GB2312" w:cs="仿宋_GB2312"/>
          <w:color w:val="000000"/>
          <w:spacing w:val="0"/>
          <w:w w:val="100"/>
          <w:position w:val="0"/>
          <w:sz w:val="32"/>
          <w:szCs w:val="32"/>
          <w:highlight w:val="none"/>
          <w:lang w:eastAsia="zh-CN"/>
        </w:rPr>
        <w:t>占</w:t>
      </w:r>
      <w:r>
        <w:rPr>
          <w:rFonts w:hint="eastAsia" w:ascii="仿宋_GB2312" w:hAnsi="仿宋_GB2312" w:eastAsia="仿宋_GB2312" w:cs="仿宋_GB2312"/>
          <w:color w:val="000000"/>
          <w:spacing w:val="0"/>
          <w:w w:val="100"/>
          <w:position w:val="0"/>
          <w:sz w:val="32"/>
          <w:szCs w:val="32"/>
          <w:highlight w:val="none"/>
          <w:lang w:val="en-US" w:eastAsia="zh-CN"/>
        </w:rPr>
        <w:t>0.1</w:t>
      </w:r>
      <w:r>
        <w:rPr>
          <w:rFonts w:hint="eastAsia" w:ascii="仿宋_GB2312" w:hAnsi="仿宋_GB2312" w:eastAsia="仿宋_GB2312" w:cs="仿宋_GB2312"/>
          <w:color w:val="000000"/>
          <w:spacing w:val="0"/>
          <w:w w:val="100"/>
          <w:position w:val="0"/>
          <w:sz w:val="32"/>
          <w:szCs w:val="32"/>
          <w:highlight w:val="none"/>
          <w:lang w:eastAsia="zh-CN"/>
        </w:rPr>
        <w:t>%，较年初预算数</w:t>
      </w:r>
      <w:r>
        <w:rPr>
          <w:rFonts w:hint="eastAsia" w:ascii="仿宋_GB2312" w:hAnsi="仿宋_GB2312" w:eastAsia="仿宋_GB2312" w:cs="仿宋_GB2312"/>
          <w:color w:val="000000"/>
          <w:spacing w:val="0"/>
          <w:w w:val="100"/>
          <w:position w:val="0"/>
          <w:sz w:val="32"/>
          <w:szCs w:val="32"/>
          <w:highlight w:val="none"/>
          <w:lang w:val="en-US" w:eastAsia="zh-CN"/>
        </w:rPr>
        <w:t>增加21700</w:t>
      </w:r>
      <w:r>
        <w:rPr>
          <w:rFonts w:hint="eastAsia" w:ascii="仿宋_GB2312" w:hAnsi="仿宋_GB2312" w:eastAsia="仿宋_GB2312" w:cs="仿宋_GB2312"/>
          <w:color w:val="000000"/>
          <w:spacing w:val="0"/>
          <w:w w:val="100"/>
          <w:position w:val="0"/>
          <w:sz w:val="32"/>
          <w:szCs w:val="32"/>
          <w:highlight w:val="none"/>
          <w:lang w:eastAsia="zh-CN"/>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both"/>
        <w:textAlignment w:val="auto"/>
        <w:rPr>
          <w:rFonts w:hint="default" w:ascii="仿宋_GB2312" w:hAnsi="仿宋_GB2312" w:eastAsia="仿宋_GB2312" w:cs="仿宋_GB2312"/>
          <w:b/>
          <w:bCs/>
          <w:color w:val="000000"/>
          <w:spacing w:val="0"/>
          <w:w w:val="100"/>
          <w:position w:val="0"/>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lang w:eastAsia="zh-CN"/>
        </w:rPr>
        <w:t>六、</w:t>
      </w:r>
      <w:r>
        <w:rPr>
          <w:rFonts w:hint="eastAsia" w:ascii="仿宋_GB2312" w:hAnsi="仿宋_GB2312" w:eastAsia="仿宋_GB2312" w:cs="仿宋_GB2312"/>
          <w:b/>
          <w:bCs/>
          <w:color w:val="000000"/>
          <w:spacing w:val="0"/>
          <w:w w:val="100"/>
          <w:position w:val="0"/>
          <w:sz w:val="32"/>
          <w:szCs w:val="32"/>
          <w:highlight w:val="none"/>
          <w:lang w:val="en-US" w:eastAsia="zh-CN"/>
        </w:rPr>
        <w:t>一般公共预算财政拨款基本支出决算情况说明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本单位2021</w:t>
      </w:r>
      <w:r>
        <w:rPr>
          <w:rFonts w:hint="eastAsia" w:ascii="仿宋_GB2312" w:hAnsi="仿宋_GB2312" w:eastAsia="仿宋_GB2312" w:cs="仿宋_GB2312"/>
          <w:color w:val="000000"/>
          <w:spacing w:val="0"/>
          <w:w w:val="100"/>
          <w:position w:val="0"/>
          <w:sz w:val="32"/>
          <w:szCs w:val="32"/>
          <w:highlight w:val="none"/>
        </w:rPr>
        <w:t>年度一般公共财政拨款基本支出12325123.48元。其中：人员经费10340930.53元，较上年</w:t>
      </w:r>
      <w:r>
        <w:rPr>
          <w:rFonts w:hint="eastAsia" w:ascii="仿宋_GB2312" w:hAnsi="仿宋_GB2312" w:eastAsia="仿宋_GB2312" w:cs="仿宋_GB2312"/>
          <w:color w:val="000000"/>
          <w:spacing w:val="0"/>
          <w:w w:val="100"/>
          <w:position w:val="0"/>
          <w:sz w:val="32"/>
          <w:szCs w:val="32"/>
          <w:highlight w:val="none"/>
          <w:lang w:val="en-US" w:eastAsia="zh-CN"/>
        </w:rPr>
        <w:t>减少1115965.85</w:t>
      </w:r>
      <w:r>
        <w:rPr>
          <w:rFonts w:hint="eastAsia" w:ascii="仿宋_GB2312" w:hAnsi="仿宋_GB2312" w:eastAsia="仿宋_GB2312" w:cs="仿宋_GB2312"/>
          <w:color w:val="000000"/>
          <w:spacing w:val="0"/>
          <w:w w:val="100"/>
          <w:position w:val="0"/>
          <w:sz w:val="32"/>
          <w:szCs w:val="32"/>
          <w:highlight w:val="none"/>
        </w:rPr>
        <w:t>元，主要原因是</w:t>
      </w:r>
      <w:r>
        <w:rPr>
          <w:rFonts w:hint="eastAsia" w:ascii="仿宋_GB2312" w:hAnsi="仿宋_GB2312" w:eastAsia="仿宋_GB2312" w:cs="仿宋_GB2312"/>
          <w:color w:val="000000"/>
          <w:spacing w:val="0"/>
          <w:w w:val="100"/>
          <w:position w:val="0"/>
          <w:sz w:val="32"/>
          <w:szCs w:val="32"/>
          <w:highlight w:val="none"/>
          <w:lang w:val="en-US" w:eastAsia="zh-CN"/>
        </w:rPr>
        <w:t>人员减少</w:t>
      </w:r>
      <w:r>
        <w:rPr>
          <w:rFonts w:hint="eastAsia" w:ascii="仿宋_GB2312" w:hAnsi="仿宋_GB2312" w:eastAsia="仿宋_GB2312" w:cs="仿宋_GB2312"/>
          <w:color w:val="000000"/>
          <w:spacing w:val="0"/>
          <w:w w:val="100"/>
          <w:position w:val="0"/>
          <w:sz w:val="32"/>
          <w:szCs w:val="32"/>
          <w:highlight w:val="none"/>
        </w:rPr>
        <w:t>。人员经费用途主要包括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基本工资3615659</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、津贴补贴2088667.5</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、绩效工资1506350</w:t>
      </w:r>
      <w:r>
        <w:rPr>
          <w:rFonts w:hint="eastAsia" w:ascii="仿宋_GB2312" w:hAnsi="仿宋_GB2312" w:eastAsia="仿宋_GB2312" w:cs="仿宋_GB2312"/>
          <w:color w:val="000000"/>
          <w:spacing w:val="0"/>
          <w:w w:val="100"/>
          <w:position w:val="0"/>
          <w:sz w:val="32"/>
          <w:szCs w:val="32"/>
          <w:highlight w:val="none"/>
          <w:lang w:eastAsia="zh-CN"/>
        </w:rPr>
        <w:t>元、</w:t>
      </w:r>
      <w:r>
        <w:rPr>
          <w:rFonts w:hint="eastAsia" w:ascii="仿宋_GB2312" w:hAnsi="仿宋_GB2312" w:eastAsia="仿宋_GB2312" w:cs="仿宋_GB2312"/>
          <w:color w:val="000000"/>
          <w:spacing w:val="0"/>
          <w:w w:val="100"/>
          <w:position w:val="0"/>
          <w:sz w:val="32"/>
          <w:szCs w:val="32"/>
          <w:highlight w:val="none"/>
        </w:rPr>
        <w:t>奖金289025</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、机关事业单位基本养老保险缴费</w:t>
      </w:r>
      <w:r>
        <w:rPr>
          <w:rFonts w:hint="eastAsia" w:ascii="仿宋_GB2312" w:hAnsi="仿宋_GB2312" w:eastAsia="仿宋_GB2312" w:cs="仿宋_GB2312"/>
          <w:color w:val="000000"/>
          <w:spacing w:val="0"/>
          <w:w w:val="100"/>
          <w:position w:val="0"/>
          <w:sz w:val="32"/>
          <w:szCs w:val="32"/>
          <w:highlight w:val="none"/>
          <w:lang w:val="en-US" w:eastAsia="zh-CN"/>
        </w:rPr>
        <w:t>1196761.48元、职业年金缴费6872.6元、职工基本医疗保险缴费494710.95元、对个人和家庭的补助1142884元</w:t>
      </w:r>
      <w:r>
        <w:rPr>
          <w:rFonts w:hint="eastAsia" w:ascii="仿宋_GB2312" w:hAnsi="仿宋_GB2312" w:eastAsia="仿宋_GB2312" w:cs="仿宋_GB2312"/>
          <w:color w:val="000000"/>
          <w:spacing w:val="0"/>
          <w:w w:val="100"/>
          <w:position w:val="0"/>
          <w:sz w:val="32"/>
          <w:szCs w:val="32"/>
          <w:highlight w:val="none"/>
          <w:lang w:val="en-US" w:eastAsia="zh-CN" w:bidi="en-US"/>
        </w:rPr>
        <w:t>。</w:t>
      </w:r>
      <w:r>
        <w:rPr>
          <w:rFonts w:hint="eastAsia" w:ascii="仿宋_GB2312" w:hAnsi="仿宋_GB2312" w:eastAsia="仿宋_GB2312" w:cs="仿宋_GB2312"/>
          <w:color w:val="000000"/>
          <w:spacing w:val="0"/>
          <w:w w:val="100"/>
          <w:position w:val="0"/>
          <w:sz w:val="32"/>
          <w:szCs w:val="32"/>
          <w:highlight w:val="none"/>
        </w:rPr>
        <w:t>公用经费1984192.95元，较上年增加869366.95元，主要原因是物价上涨。公用经费用途主要包括</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办公费164483.2</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25535.82元、手续费600元、水费4200元、邮电费19216.93元、印刷费68675元、差旅费42130元、维修（护）费88000元、劳务费43900.00元、租赁费373750元、会议费1340元、委托业务费571300元、工会经费78753元、培训费186364元、其他交通费用27595元、其他商品和服务支出39995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黑体" w:hAnsi="黑体" w:eastAsia="黑体" w:cs="黑体"/>
          <w:b/>
          <w:bCs/>
          <w:i w:val="0"/>
          <w:iCs w:val="0"/>
          <w:smallCaps w:val="0"/>
          <w:strike w:val="0"/>
          <w:color w:val="000000"/>
          <w:spacing w:val="0"/>
          <w:w w:val="100"/>
          <w:position w:val="0"/>
          <w:sz w:val="32"/>
          <w:szCs w:val="32"/>
          <w:highlight w:val="none"/>
        </w:rPr>
      </w:pP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七、</w:t>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ab/>
      </w:r>
      <w:r>
        <w:rPr>
          <w:rFonts w:hint="eastAsia" w:ascii="黑体" w:hAnsi="黑体" w:eastAsia="黑体" w:cs="黑体"/>
          <w:b/>
          <w:bCs/>
          <w:i w:val="0"/>
          <w:iCs w:val="0"/>
          <w:smallCaps w:val="0"/>
          <w:strike w:val="0"/>
          <w:color w:val="000000"/>
          <w:spacing w:val="0"/>
          <w:w w:val="100"/>
          <w:position w:val="0"/>
          <w:sz w:val="32"/>
          <w:szCs w:val="32"/>
          <w:highlight w:val="none"/>
          <w:lang w:val="zh-CN" w:eastAsia="zh-CN"/>
        </w:rPr>
        <w:t>一般公共预算财政拨款“三公”经费支出决算情况说明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（一）“</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经费财政拨款支出总体情况说明</w:t>
      </w:r>
    </w:p>
    <w:p>
      <w:pPr>
        <w:pStyle w:val="13"/>
        <w:keepNext w:val="0"/>
        <w:keepLines w:val="0"/>
        <w:pageBreakBefore w:val="0"/>
        <w:widowControl w:val="0"/>
        <w:shd w:val="clear" w:color="auto" w:fill="auto"/>
        <w:tabs>
          <w:tab w:val="left" w:leader="dot" w:pos="217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lang w:val="zh-CN" w:eastAsia="zh-CN" w:bidi="zh-CN"/>
        </w:rPr>
        <w:t>“三</w:t>
      </w:r>
      <w:r>
        <w:rPr>
          <w:rFonts w:hint="eastAsia" w:ascii="仿宋_GB2312" w:hAnsi="仿宋_GB2312" w:eastAsia="仿宋_GB2312" w:cs="仿宋_GB2312"/>
          <w:color w:val="000000"/>
          <w:spacing w:val="0"/>
          <w:w w:val="100"/>
          <w:position w:val="0"/>
          <w:sz w:val="32"/>
          <w:szCs w:val="32"/>
          <w:highlight w:val="none"/>
        </w:rPr>
        <w:t>公”经费年初预算数为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元，较年初预算数</w:t>
      </w:r>
      <w:r>
        <w:rPr>
          <w:rFonts w:hint="eastAsia" w:ascii="仿宋_GB2312" w:hAnsi="仿宋_GB2312" w:eastAsia="仿宋_GB2312" w:cs="仿宋_GB2312"/>
          <w:color w:val="000000"/>
          <w:spacing w:val="0"/>
          <w:w w:val="100"/>
          <w:position w:val="0"/>
          <w:sz w:val="32"/>
          <w:szCs w:val="32"/>
          <w:highlight w:val="none"/>
          <w:lang w:eastAsia="zh-CN"/>
        </w:rPr>
        <w:t>增减</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楷体_GB2312" w:hAnsi="楷体_GB2312" w:eastAsia="楷体_GB2312" w:cs="楷体_GB2312"/>
          <w:b/>
          <w:bCs/>
          <w:i w:val="0"/>
          <w:iCs w:val="0"/>
          <w:smallCaps w:val="0"/>
          <w:strike w:val="0"/>
          <w:color w:val="000000"/>
          <w:spacing w:val="0"/>
          <w:w w:val="100"/>
          <w:position w:val="0"/>
          <w:sz w:val="32"/>
          <w:szCs w:val="32"/>
          <w:highlight w:val="none"/>
        </w:rPr>
      </w:pPr>
      <w:r>
        <w:rPr>
          <w:rFonts w:hint="eastAsia" w:ascii="楷体_GB2312" w:hAnsi="楷体_GB2312" w:eastAsia="楷体_GB2312" w:cs="楷体_GB2312"/>
          <w:b/>
          <w:bCs/>
          <w:i w:val="0"/>
          <w:iCs w:val="0"/>
          <w:smallCaps w:val="0"/>
          <w:strike w:val="0"/>
          <w:color w:val="000000"/>
          <w:spacing w:val="0"/>
          <w:w w:val="100"/>
          <w:position w:val="0"/>
          <w:sz w:val="32"/>
          <w:szCs w:val="32"/>
          <w:highlight w:val="none"/>
        </w:rPr>
        <w:t>（二）</w:t>
      </w:r>
      <w:r>
        <w:rPr>
          <w:rFonts w:hint="eastAsia" w:ascii="楷体_GB2312" w:hAnsi="楷体_GB2312" w:eastAsia="楷体_GB2312" w:cs="楷体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经费财政拨款支出决算具体情况说明</w:t>
      </w:r>
    </w:p>
    <w:p>
      <w:pPr>
        <w:pStyle w:val="13"/>
        <w:keepNext w:val="0"/>
        <w:keepLines w:val="0"/>
        <w:pageBreakBefore w:val="0"/>
        <w:widowControl w:val="0"/>
        <w:shd w:val="clear" w:color="auto" w:fill="auto"/>
        <w:tabs>
          <w:tab w:val="left" w:leader="dot" w:pos="1838"/>
          <w:tab w:val="left" w:leader="dot" w:pos="3178"/>
          <w:tab w:val="left" w:leader="dot" w:pos="7363"/>
          <w:tab w:val="left" w:leader="dot" w:pos="7397"/>
          <w:tab w:val="left" w:leader="dot" w:pos="774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因公出国（境）费用</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bCs/>
          <w:color w:val="000000"/>
          <w:spacing w:val="0"/>
          <w:w w:val="100"/>
          <w:position w:val="0"/>
          <w:sz w:val="32"/>
          <w:szCs w:val="32"/>
          <w:highlight w:val="none"/>
        </w:rPr>
        <w:t>公务用车购置及运行维护费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b w:val="0"/>
          <w:bCs w:val="0"/>
          <w:color w:val="333333"/>
          <w:sz w:val="32"/>
          <w:szCs w:val="32"/>
          <w:highlight w:val="none"/>
          <w:lang w:val="en-US" w:eastAsia="zh-CN"/>
        </w:rPr>
      </w:pPr>
      <w:r>
        <w:rPr>
          <w:rFonts w:hint="eastAsia" w:ascii="仿宋_GB2312" w:hAnsi="仿宋_GB2312" w:eastAsia="仿宋_GB2312" w:cs="仿宋_GB2312"/>
          <w:b w:val="0"/>
          <w:bCs w:val="0"/>
          <w:color w:val="333333"/>
          <w:sz w:val="32"/>
          <w:szCs w:val="32"/>
          <w:highlight w:val="none"/>
          <w:lang w:val="en-US" w:eastAsia="zh-CN"/>
        </w:rPr>
        <w:t>其中：</w:t>
      </w:r>
      <w:r>
        <w:rPr>
          <w:rFonts w:ascii="仿宋_GB2312" w:hAnsi="仿宋_GB2312" w:eastAsia="仿宋_GB2312" w:cs="仿宋_GB2312"/>
          <w:b/>
          <w:bCs/>
          <w:color w:val="333333"/>
          <w:sz w:val="32"/>
          <w:szCs w:val="32"/>
          <w:highlight w:val="none"/>
        </w:rPr>
        <w:t>公务用车运行维护费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元，费用支出较年初预算数增加</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元，较上年支出数</w:t>
      </w:r>
      <w:r>
        <w:rPr>
          <w:rFonts w:hint="eastAsia" w:ascii="仿宋_GB2312" w:hAnsi="仿宋_GB2312" w:eastAsia="仿宋_GB2312" w:cs="仿宋_GB2312"/>
          <w:color w:val="000000"/>
          <w:spacing w:val="0"/>
          <w:w w:val="100"/>
          <w:position w:val="0"/>
          <w:sz w:val="32"/>
          <w:szCs w:val="32"/>
          <w:highlight w:val="none"/>
          <w:lang w:val="en-US" w:eastAsia="zh-CN"/>
        </w:rPr>
        <w:t>减少</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i/>
          <w:iCs/>
          <w:color w:val="000000"/>
          <w:spacing w:val="0"/>
          <w:w w:val="100"/>
          <w:position w:val="0"/>
          <w:sz w:val="32"/>
          <w:szCs w:val="32"/>
          <w:highlight w:val="none"/>
          <w:lang w:val="en-US" w:eastAsia="zh-CN" w:bidi="en-US"/>
        </w:rPr>
      </w:pPr>
      <w:r>
        <w:rPr>
          <w:rFonts w:hint="eastAsia" w:ascii="仿宋_GB2312" w:hAnsi="仿宋_GB2312" w:eastAsia="仿宋_GB2312" w:cs="仿宋_GB2312"/>
          <w:b/>
          <w:bCs/>
          <w:color w:val="000000"/>
          <w:spacing w:val="0"/>
          <w:w w:val="100"/>
          <w:position w:val="0"/>
          <w:sz w:val="32"/>
          <w:szCs w:val="32"/>
          <w:highlight w:val="none"/>
        </w:rPr>
        <w:t>公务接待费</w:t>
      </w:r>
      <w:r>
        <w:rPr>
          <w:rFonts w:hint="eastAsia" w:ascii="仿宋_GB2312" w:hAnsi="仿宋_GB2312" w:eastAsia="仿宋_GB2312" w:cs="仿宋_GB2312"/>
          <w:color w:val="000000"/>
          <w:spacing w:val="0"/>
          <w:w w:val="100"/>
          <w:position w:val="0"/>
          <w:sz w:val="32"/>
          <w:szCs w:val="32"/>
          <w:highlight w:val="none"/>
        </w:rPr>
        <w:t>年初预算数为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元，支出决算数为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tabs>
          <w:tab w:val="left" w:leader="dot" w:pos="2141"/>
          <w:tab w:val="left" w:leader="dot" w:pos="2174"/>
          <w:tab w:val="left" w:leader="dot" w:pos="3586"/>
          <w:tab w:val="left" w:leader="dot" w:pos="5822"/>
          <w:tab w:val="left" w:leader="dot" w:pos="7090"/>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zh-CN" w:eastAsia="zh-CN"/>
        </w:rPr>
        <w:t>“</w:t>
      </w:r>
      <w:r>
        <w:rPr>
          <w:rFonts w:ascii="仿宋_GB2312" w:hAnsi="仿宋_GB2312" w:eastAsia="仿宋_GB2312" w:cs="仿宋_GB2312"/>
          <w:b/>
          <w:bCs/>
          <w:color w:val="333333"/>
          <w:sz w:val="32"/>
          <w:szCs w:val="32"/>
          <w:highlight w:val="none"/>
        </w:rPr>
        <w:t>三公</w:t>
      </w:r>
      <w:r>
        <w:rPr>
          <w:rFonts w:hint="eastAsia" w:ascii="宋体" w:hAnsi="宋体" w:eastAsia="宋体" w:cs="宋体"/>
          <w:b/>
          <w:bCs/>
          <w:color w:val="333333"/>
          <w:sz w:val="32"/>
          <w:szCs w:val="32"/>
          <w:highlight w:val="none"/>
        </w:rPr>
        <w:t>”</w:t>
      </w:r>
      <w:r>
        <w:rPr>
          <w:rFonts w:hint="eastAsia" w:ascii="仿宋_GB2312" w:hAnsi="仿宋_GB2312" w:eastAsia="仿宋_GB2312" w:cs="仿宋_GB2312"/>
          <w:b/>
          <w:bCs/>
          <w:color w:val="333333"/>
          <w:sz w:val="32"/>
          <w:szCs w:val="32"/>
          <w:highlight w:val="none"/>
        </w:rPr>
        <w:t>经费财政拨款支出决算实物量情况</w:t>
      </w:r>
    </w:p>
    <w:p>
      <w:pPr>
        <w:pStyle w:val="13"/>
        <w:keepNext w:val="0"/>
        <w:keepLines w:val="0"/>
        <w:pageBreakBefore w:val="0"/>
        <w:widowControl w:val="0"/>
        <w:shd w:val="clear" w:color="auto" w:fill="auto"/>
        <w:tabs>
          <w:tab w:val="left" w:leader="dot" w:pos="4507"/>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b/>
          <w:bCs/>
          <w:color w:val="000000"/>
          <w:spacing w:val="0"/>
          <w:w w:val="100"/>
          <w:position w:val="0"/>
          <w:sz w:val="32"/>
          <w:szCs w:val="32"/>
          <w:highlight w:val="none"/>
        </w:rPr>
        <w:t>因公出国（境）</w:t>
      </w:r>
      <w:r>
        <w:rPr>
          <w:rFonts w:hint="eastAsia" w:ascii="仿宋_GB2312" w:hAnsi="仿宋_GB2312" w:eastAsia="仿宋_GB2312" w:cs="仿宋_GB2312"/>
          <w:color w:val="000000"/>
          <w:spacing w:val="0"/>
          <w:w w:val="100"/>
          <w:position w:val="0"/>
          <w:sz w:val="32"/>
          <w:szCs w:val="32"/>
          <w:highlight w:val="none"/>
        </w:rPr>
        <w:t>共计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个团组，</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b/>
          <w:bCs/>
          <w:color w:val="000000"/>
          <w:spacing w:val="0"/>
          <w:w w:val="100"/>
          <w:position w:val="0"/>
          <w:sz w:val="32"/>
          <w:szCs w:val="32"/>
          <w:highlight w:val="none"/>
        </w:rPr>
        <w:t>公务用车购置</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b/>
          <w:bCs/>
          <w:color w:val="000000"/>
          <w:spacing w:val="0"/>
          <w:w w:val="100"/>
          <w:position w:val="0"/>
          <w:sz w:val="32"/>
          <w:szCs w:val="32"/>
          <w:highlight w:val="none"/>
        </w:rPr>
        <w:t>公务车保有量为</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辆；国内公务接待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人，其中：国内外事接待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b/>
          <w:bCs/>
          <w:color w:val="000000"/>
          <w:spacing w:val="0"/>
          <w:w w:val="100"/>
          <w:position w:val="0"/>
          <w:sz w:val="32"/>
          <w:szCs w:val="32"/>
          <w:highlight w:val="none"/>
        </w:rPr>
        <w:t>批次，</w:t>
      </w:r>
      <w:r>
        <w:rPr>
          <w:rFonts w:hint="eastAsia" w:ascii="仿宋_GB2312" w:hAnsi="仿宋_GB2312" w:eastAsia="仿宋_GB2312" w:cs="仿宋_GB2312"/>
          <w:b/>
          <w:bCs/>
          <w:color w:val="000000"/>
          <w:spacing w:val="0"/>
          <w:w w:val="100"/>
          <w:position w:val="0"/>
          <w:sz w:val="32"/>
          <w:szCs w:val="32"/>
          <w:highlight w:val="none"/>
          <w:lang w:val="en-US" w:eastAsia="zh-CN" w:bidi="en-US"/>
        </w:rPr>
        <w:t>0</w:t>
      </w:r>
      <w:r>
        <w:rPr>
          <w:rFonts w:hint="eastAsia" w:ascii="仿宋_GB2312" w:hAnsi="仿宋_GB2312" w:eastAsia="仿宋_GB2312" w:cs="仿宋_GB2312"/>
          <w:b/>
          <w:bCs/>
          <w:color w:val="000000"/>
          <w:spacing w:val="0"/>
          <w:w w:val="100"/>
          <w:position w:val="0"/>
          <w:sz w:val="32"/>
          <w:szCs w:val="32"/>
          <w:highlight w:val="none"/>
        </w:rPr>
        <w:t>人；国（境）外公务接待</w:t>
      </w:r>
      <w:r>
        <w:rPr>
          <w:rFonts w:hint="eastAsia" w:ascii="仿宋_GB2312" w:hAnsi="仿宋_GB2312" w:eastAsia="仿宋_GB2312" w:cs="仿宋_GB2312"/>
          <w:b/>
          <w:bCs/>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批次，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人。</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人均接待费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元，车均购置费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元，车均维护费</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numPr>
          <w:ilvl w:val="0"/>
          <w:numId w:val="2"/>
        </w:numPr>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机关运行经费情况说明</w:t>
      </w:r>
    </w:p>
    <w:p>
      <w:pPr>
        <w:pStyle w:val="13"/>
        <w:keepNext w:val="0"/>
        <w:keepLines w:val="0"/>
        <w:pageBreakBefore w:val="0"/>
        <w:widowControl w:val="0"/>
        <w:shd w:val="clear" w:color="auto" w:fill="auto"/>
        <w:tabs>
          <w:tab w:val="left" w:leader="dot" w:pos="1186"/>
          <w:tab w:val="left" w:leader="dot" w:pos="1517"/>
          <w:tab w:val="left" w:leader="dot" w:pos="3490"/>
          <w:tab w:val="left" w:leader="dot" w:pos="6902"/>
          <w:tab w:val="left" w:leader="dot" w:pos="833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机关运行经费支出1832039.95元，机关运行经费主要用于开支</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办公费142783.2</w:t>
      </w:r>
      <w:r>
        <w:rPr>
          <w:rFonts w:hint="eastAsia" w:ascii="仿宋_GB2312" w:hAnsi="仿宋_GB2312" w:eastAsia="仿宋_GB2312" w:cs="仿宋_GB2312"/>
          <w:color w:val="000000"/>
          <w:spacing w:val="0"/>
          <w:w w:val="100"/>
          <w:position w:val="0"/>
          <w:sz w:val="32"/>
          <w:szCs w:val="32"/>
          <w:highlight w:val="none"/>
          <w:lang w:val="en-US" w:eastAsia="zh-CN"/>
        </w:rPr>
        <w:t>元</w:t>
      </w: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color w:val="000000"/>
          <w:spacing w:val="0"/>
          <w:w w:val="100"/>
          <w:position w:val="0"/>
          <w:sz w:val="32"/>
          <w:szCs w:val="32"/>
          <w:highlight w:val="none"/>
          <w:lang w:val="en-US" w:eastAsia="zh-CN"/>
        </w:rPr>
        <w:t>电费25535.82元、手续费600元、水费4200元、邮电费19216.93元、印刷费68675元、差旅费38130元、维修（护）费88000元、劳务费43900.00元、租赁费373750元、会议费1340元、委托业务费523600元、培训费186364元、其他交通费用27595元、其他商品和服务支出39995元。</w:t>
      </w:r>
    </w:p>
    <w:p>
      <w:pPr>
        <w:pStyle w:val="13"/>
        <w:keepNext w:val="0"/>
        <w:keepLines w:val="0"/>
        <w:pageBreakBefore w:val="0"/>
        <w:widowControl w:val="0"/>
        <w:shd w:val="clear" w:color="auto" w:fill="auto"/>
        <w:tabs>
          <w:tab w:val="left" w:leader="dot" w:pos="4411"/>
          <w:tab w:val="left" w:leader="dot" w:pos="5933"/>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机关运行经费较</w:t>
      </w:r>
      <w:r>
        <w:rPr>
          <w:rFonts w:hint="eastAsia" w:ascii="仿宋_GB2312" w:hAnsi="仿宋_GB2312" w:eastAsia="仿宋_GB2312" w:cs="仿宋_GB2312"/>
          <w:color w:val="000000"/>
          <w:spacing w:val="0"/>
          <w:w w:val="100"/>
          <w:position w:val="0"/>
          <w:sz w:val="32"/>
          <w:szCs w:val="32"/>
          <w:highlight w:val="none"/>
          <w:lang w:eastAsia="zh-CN"/>
        </w:rPr>
        <w:t>2020</w:t>
      </w:r>
      <w:r>
        <w:rPr>
          <w:rFonts w:hint="eastAsia" w:ascii="仿宋_GB2312" w:hAnsi="仿宋_GB2312" w:eastAsia="仿宋_GB2312" w:cs="仿宋_GB2312"/>
          <w:color w:val="000000"/>
          <w:spacing w:val="0"/>
          <w:w w:val="100"/>
          <w:position w:val="0"/>
          <w:sz w:val="32"/>
          <w:szCs w:val="32"/>
          <w:highlight w:val="none"/>
        </w:rPr>
        <w:t>年增加</w:t>
      </w:r>
      <w:r>
        <w:rPr>
          <w:rFonts w:hint="eastAsia" w:ascii="仿宋_GB2312" w:hAnsi="仿宋_GB2312" w:eastAsia="仿宋_GB2312" w:cs="仿宋_GB2312"/>
          <w:color w:val="000000"/>
          <w:spacing w:val="0"/>
          <w:w w:val="100"/>
          <w:position w:val="0"/>
          <w:sz w:val="32"/>
          <w:szCs w:val="32"/>
          <w:highlight w:val="none"/>
          <w:lang w:val="en-US" w:eastAsia="zh-CN" w:bidi="en-US"/>
        </w:rPr>
        <w:t>610535.17</w:t>
      </w:r>
      <w:r>
        <w:rPr>
          <w:rFonts w:hint="eastAsia" w:ascii="仿宋_GB2312" w:hAnsi="仿宋_GB2312" w:eastAsia="仿宋_GB2312" w:cs="仿宋_GB2312"/>
          <w:color w:val="000000"/>
          <w:spacing w:val="0"/>
          <w:w w:val="100"/>
          <w:position w:val="0"/>
          <w:sz w:val="32"/>
          <w:szCs w:val="32"/>
          <w:highlight w:val="none"/>
        </w:rPr>
        <w:t>元，增长</w:t>
      </w:r>
      <w:r>
        <w:rPr>
          <w:rFonts w:hint="eastAsia" w:ascii="仿宋_GB2312" w:hAnsi="仿宋_GB2312" w:eastAsia="仿宋_GB2312" w:cs="仿宋_GB2312"/>
          <w:color w:val="000000"/>
          <w:spacing w:val="0"/>
          <w:w w:val="100"/>
          <w:position w:val="0"/>
          <w:sz w:val="32"/>
          <w:szCs w:val="32"/>
          <w:highlight w:val="none"/>
          <w:lang w:val="en-US" w:eastAsia="zh-CN"/>
        </w:rPr>
        <w:t>33.3</w:t>
      </w:r>
      <w:r>
        <w:rPr>
          <w:rFonts w:hint="eastAsia" w:ascii="仿宋_GB2312" w:hAnsi="仿宋_GB2312" w:eastAsia="仿宋_GB2312" w:cs="仿宋_GB2312"/>
          <w:color w:val="000000"/>
          <w:spacing w:val="0"/>
          <w:w w:val="100"/>
          <w:position w:val="0"/>
          <w:sz w:val="32"/>
          <w:szCs w:val="32"/>
          <w:highlight w:val="none"/>
        </w:rPr>
        <w:t>%，主要原因是</w:t>
      </w:r>
      <w:r>
        <w:rPr>
          <w:rFonts w:hint="eastAsia" w:ascii="仿宋_GB2312" w:hAnsi="仿宋_GB2312" w:eastAsia="仿宋_GB2312" w:cs="仿宋_GB2312"/>
          <w:color w:val="000000"/>
          <w:spacing w:val="0"/>
          <w:w w:val="100"/>
          <w:position w:val="0"/>
          <w:sz w:val="32"/>
          <w:szCs w:val="32"/>
          <w:highlight w:val="none"/>
          <w:lang w:val="en-US" w:eastAsia="zh-CN"/>
        </w:rPr>
        <w:t>2021年印刷费、委托业务费增多。</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九</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、国有资产占用情况说明</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截至</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年12月31日，</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共有车辆</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辆，其中：主要领导干部用车</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w:t>
      </w:r>
      <w:r>
        <w:rPr>
          <w:rFonts w:hint="eastAsia" w:ascii="仿宋_GB2312" w:hAnsi="仿宋_GB2312" w:eastAsia="仿宋_GB2312" w:cs="仿宋_GB2312"/>
          <w:color w:val="000000"/>
          <w:spacing w:val="0"/>
          <w:w w:val="100"/>
          <w:position w:val="0"/>
          <w:sz w:val="32"/>
          <w:szCs w:val="32"/>
          <w:highlight w:val="none"/>
          <w:lang w:val="en-US" w:eastAsia="zh-CN"/>
        </w:rPr>
        <w:t>小型载客汽车0辆</w:t>
      </w:r>
      <w:r>
        <w:rPr>
          <w:rFonts w:hint="eastAsia" w:ascii="仿宋_GB2312" w:hAnsi="仿宋_GB2312" w:eastAsia="仿宋_GB2312" w:cs="仿宋_GB2312"/>
          <w:color w:val="000000"/>
          <w:spacing w:val="0"/>
          <w:w w:val="100"/>
          <w:position w:val="0"/>
          <w:sz w:val="32"/>
          <w:szCs w:val="32"/>
          <w:highlight w:val="none"/>
        </w:rPr>
        <w:t>、其他用车</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辆,其他用车主要是</w:t>
      </w:r>
      <w:r>
        <w:rPr>
          <w:rFonts w:hint="eastAsia" w:ascii="仿宋_GB2312" w:hAnsi="仿宋_GB2312" w:eastAsia="仿宋_GB2312" w:cs="仿宋_GB2312"/>
          <w:color w:val="000000"/>
          <w:spacing w:val="0"/>
          <w:w w:val="100"/>
          <w:position w:val="0"/>
          <w:sz w:val="32"/>
          <w:szCs w:val="32"/>
          <w:highlight w:val="none"/>
          <w:lang w:val="en-US" w:eastAsia="zh-CN"/>
        </w:rPr>
        <w:t>水利用车</w:t>
      </w:r>
      <w:r>
        <w:rPr>
          <w:rFonts w:hint="eastAsia" w:ascii="仿宋_GB2312" w:hAnsi="仿宋_GB2312" w:eastAsia="仿宋_GB2312" w:cs="仿宋_GB2312"/>
          <w:color w:val="000000"/>
          <w:spacing w:val="0"/>
          <w:w w:val="100"/>
          <w:position w:val="0"/>
          <w:sz w:val="32"/>
          <w:szCs w:val="32"/>
          <w:highlight w:val="none"/>
        </w:rPr>
        <w:t>。单价50万元以上通用设备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台（套），单价100万元以上专用设备</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台（套）。</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、政府采购支出情况说明</w:t>
      </w:r>
    </w:p>
    <w:p>
      <w:pPr>
        <w:pStyle w:val="13"/>
        <w:keepNext w:val="0"/>
        <w:keepLines w:val="0"/>
        <w:pageBreakBefore w:val="0"/>
        <w:widowControl w:val="0"/>
        <w:shd w:val="clear" w:color="auto" w:fill="auto"/>
        <w:tabs>
          <w:tab w:val="left" w:leader="dot" w:pos="6139"/>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w:t>
      </w:r>
      <w:r>
        <w:rPr>
          <w:rFonts w:hint="eastAsia" w:ascii="仿宋_GB2312" w:hAnsi="仿宋_GB2312" w:eastAsia="仿宋_GB2312" w:cs="仿宋_GB2312"/>
          <w:color w:val="000000"/>
          <w:spacing w:val="0"/>
          <w:w w:val="100"/>
          <w:position w:val="0"/>
          <w:sz w:val="32"/>
          <w:szCs w:val="32"/>
          <w:highlight w:val="none"/>
          <w:lang w:eastAsia="zh-CN"/>
        </w:rPr>
        <w:t>本单位</w:t>
      </w:r>
      <w:r>
        <w:rPr>
          <w:rFonts w:hint="eastAsia" w:ascii="仿宋_GB2312" w:hAnsi="仿宋_GB2312" w:eastAsia="仿宋_GB2312" w:cs="仿宋_GB2312"/>
          <w:color w:val="000000"/>
          <w:spacing w:val="0"/>
          <w:w w:val="100"/>
          <w:position w:val="0"/>
          <w:sz w:val="32"/>
          <w:szCs w:val="32"/>
          <w:highlight w:val="none"/>
        </w:rPr>
        <w:t>政府采购支出合计</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元，其中：政府釆购货物支出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元、政府采购工程支出</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元、政府釆购服务支出</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、政府性基金预算财政拨款收支决算情况说明</w:t>
      </w:r>
    </w:p>
    <w:p>
      <w:pPr>
        <w:pStyle w:val="13"/>
        <w:keepNext w:val="0"/>
        <w:keepLines w:val="0"/>
        <w:pageBreakBefore w:val="0"/>
        <w:widowControl w:val="0"/>
        <w:shd w:val="clear" w:color="auto" w:fill="auto"/>
        <w:tabs>
          <w:tab w:val="left" w:leader="dot" w:pos="4531"/>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sectPr>
          <w:footerReference r:id="rId6" w:type="default"/>
          <w:footnotePr>
            <w:numFmt w:val="decimal"/>
          </w:footnotePr>
          <w:type w:val="continuous"/>
          <w:pgSz w:w="11900" w:h="16840"/>
          <w:pgMar w:top="1226" w:right="1820" w:bottom="1662" w:left="1632" w:header="798" w:footer="3" w:gutter="0"/>
          <w:cols w:space="720" w:num="1"/>
          <w:rtlGutter w:val="0"/>
          <w:docGrid w:linePitch="360" w:charSpace="0"/>
        </w:sectPr>
      </w:pP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年度政府性基金预算财政拨款收入</w:t>
      </w:r>
      <w:r>
        <w:rPr>
          <w:rFonts w:hint="eastAsia" w:ascii="仿宋_GB2312" w:hAnsi="仿宋_GB2312" w:eastAsia="仿宋_GB2312" w:cs="仿宋_GB2312"/>
          <w:color w:val="000000"/>
          <w:spacing w:val="0"/>
          <w:w w:val="100"/>
          <w:position w:val="0"/>
          <w:sz w:val="32"/>
          <w:szCs w:val="32"/>
          <w:highlight w:val="none"/>
          <w:lang w:val="en-US" w:eastAsia="zh-CN"/>
        </w:rPr>
        <w:t>0</w:t>
      </w:r>
      <w:r>
        <w:rPr>
          <w:rFonts w:hint="eastAsia" w:ascii="仿宋_GB2312" w:hAnsi="仿宋_GB2312" w:eastAsia="仿宋_GB2312" w:cs="仿宋_GB2312"/>
          <w:color w:val="000000"/>
          <w:spacing w:val="0"/>
          <w:w w:val="100"/>
          <w:position w:val="0"/>
          <w:sz w:val="32"/>
          <w:szCs w:val="32"/>
          <w:highlight w:val="none"/>
        </w:rPr>
        <w:t>元，</w:t>
      </w:r>
      <w:r>
        <w:rPr>
          <w:rFonts w:hint="eastAsia" w:ascii="仿宋_GB2312" w:hAnsi="仿宋_GB2312" w:eastAsia="仿宋_GB2312" w:cs="仿宋_GB2312"/>
          <w:color w:val="000000"/>
          <w:spacing w:val="0"/>
          <w:w w:val="100"/>
          <w:position w:val="0"/>
          <w:sz w:val="32"/>
          <w:szCs w:val="32"/>
          <w:highlight w:val="none"/>
          <w:lang w:val="zh-CN" w:eastAsia="zh-CN" w:bidi="zh-CN"/>
        </w:rPr>
        <w:t>支出</w:t>
      </w:r>
      <w:r>
        <w:rPr>
          <w:rFonts w:hint="eastAsia" w:ascii="仿宋_GB2312" w:hAnsi="仿宋_GB2312" w:eastAsia="仿宋_GB2312" w:cs="仿宋_GB2312"/>
          <w:color w:val="000000"/>
          <w:spacing w:val="0"/>
          <w:w w:val="100"/>
          <w:position w:val="0"/>
          <w:sz w:val="32"/>
          <w:szCs w:val="32"/>
          <w:highlight w:val="none"/>
          <w:lang w:val="en-US" w:eastAsia="zh-CN" w:bidi="zh-CN"/>
        </w:rPr>
        <w:t>0</w:t>
      </w:r>
      <w:r>
        <w:rPr>
          <w:rFonts w:hint="eastAsia" w:ascii="仿宋_GB2312" w:hAnsi="仿宋_GB2312" w:eastAsia="仿宋_GB2312" w:cs="仿宋_GB2312"/>
          <w:color w:val="000000"/>
          <w:spacing w:val="0"/>
          <w:w w:val="100"/>
          <w:position w:val="0"/>
          <w:sz w:val="32"/>
          <w:szCs w:val="32"/>
          <w:highlight w:val="none"/>
        </w:rPr>
        <w:t>元，结余</w:t>
      </w:r>
      <w:r>
        <w:rPr>
          <w:rFonts w:hint="eastAsia" w:ascii="仿宋_GB2312" w:hAnsi="仿宋_GB2312" w:eastAsia="仿宋_GB2312" w:cs="仿宋_GB2312"/>
          <w:color w:val="000000"/>
          <w:spacing w:val="0"/>
          <w:w w:val="100"/>
          <w:position w:val="0"/>
          <w:sz w:val="32"/>
          <w:szCs w:val="32"/>
          <w:highlight w:val="none"/>
          <w:lang w:val="en-US" w:eastAsia="zh-CN" w:bidi="en-US"/>
        </w:rPr>
        <w:t>0</w:t>
      </w:r>
      <w:r>
        <w:rPr>
          <w:rFonts w:hint="eastAsia" w:ascii="仿宋_GB2312" w:hAnsi="仿宋_GB2312" w:eastAsia="仿宋_GB2312" w:cs="仿宋_GB2312"/>
          <w:color w:val="000000"/>
          <w:spacing w:val="0"/>
          <w:w w:val="100"/>
          <w:position w:val="0"/>
          <w:sz w:val="32"/>
          <w:szCs w:val="32"/>
          <w:highlight w:val="none"/>
        </w:rPr>
        <w:t>元，主要用于</w:t>
      </w:r>
      <w:r>
        <w:rPr>
          <w:rFonts w:hint="eastAsia" w:ascii="仿宋_GB2312" w:hAnsi="仿宋_GB2312" w:eastAsia="仿宋_GB2312" w:cs="仿宋_GB2312"/>
          <w:color w:val="000000"/>
          <w:spacing w:val="0"/>
          <w:w w:val="100"/>
          <w:position w:val="0"/>
          <w:sz w:val="32"/>
          <w:szCs w:val="32"/>
          <w:highlight w:val="none"/>
          <w:lang w:val="en-US" w:eastAsia="zh-CN"/>
        </w:rPr>
        <w:t>农林水支出和抗疫特别国债安排的支出。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、国有资本经营预算财政拨款支出情况说明</w:t>
      </w:r>
    </w:p>
    <w:p>
      <w:pPr>
        <w:pStyle w:val="13"/>
        <w:keepNext w:val="0"/>
        <w:keepLines w:val="0"/>
        <w:pageBreakBefore w:val="0"/>
        <w:widowControl w:val="0"/>
        <w:shd w:val="clear" w:color="auto" w:fill="auto"/>
        <w:tabs>
          <w:tab w:val="left" w:leader="dot" w:pos="149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pacing w:val="0"/>
          <w:w w:val="100"/>
          <w:position w:val="0"/>
          <w:sz w:val="32"/>
          <w:szCs w:val="32"/>
          <w:highlight w:val="none"/>
          <w:lang w:val="zh-CN" w:eastAsia="zh-CN" w:bidi="zh-CN"/>
        </w:rPr>
        <w:t>本单位</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年度没有使用国有资本经营预算安排的支出</w:t>
      </w:r>
      <w:r>
        <w:rPr>
          <w:rFonts w:hint="eastAsia" w:ascii="仿宋_GB2312" w:hAnsi="仿宋_GB2312" w:eastAsia="仿宋_GB2312" w:cs="仿宋_GB2312"/>
          <w:color w:val="000000"/>
          <w:spacing w:val="0"/>
          <w:w w:val="100"/>
          <w:position w:val="0"/>
          <w:sz w:val="32"/>
          <w:szCs w:val="32"/>
          <w:highlight w:val="none"/>
          <w:lang w:eastAsia="zh-CN"/>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eastAsia="zh-CN"/>
        </w:rPr>
        <w:t>十三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、预算绩效情况说明</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6" w:name="bookmark31"/>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6"/>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一）</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预算绩效管理工作开展情况</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rPr>
        <w:t>根据《临夏州州级预算绩效管理办法》，我单位组织实施了</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年度预算绩效评价工作，共涉及资金</w:t>
      </w:r>
      <w:r>
        <w:rPr>
          <w:rFonts w:hint="eastAsia" w:ascii="仿宋_GB2312" w:hAnsi="仿宋_GB2312" w:eastAsia="仿宋_GB2312" w:cs="仿宋_GB2312"/>
          <w:color w:val="000000"/>
          <w:spacing w:val="0"/>
          <w:w w:val="100"/>
          <w:position w:val="0"/>
          <w:sz w:val="32"/>
          <w:szCs w:val="32"/>
          <w:highlight w:val="none"/>
          <w:lang w:val="en-US" w:eastAsia="zh-CN"/>
        </w:rPr>
        <w:t>13392360.94</w:t>
      </w:r>
      <w:r>
        <w:rPr>
          <w:rFonts w:hint="eastAsia" w:ascii="仿宋_GB2312" w:hAnsi="仿宋_GB2312" w:eastAsia="仿宋_GB2312" w:cs="仿宋_GB2312"/>
          <w:color w:val="000000"/>
          <w:spacing w:val="0"/>
          <w:w w:val="100"/>
          <w:position w:val="0"/>
          <w:sz w:val="32"/>
          <w:szCs w:val="32"/>
          <w:highlight w:val="none"/>
        </w:rPr>
        <w:t>元。具体情况：</w:t>
      </w:r>
      <w:r>
        <w:rPr>
          <w:rFonts w:hint="eastAsia" w:ascii="仿宋_GB2312" w:hAnsi="仿宋_GB2312" w:eastAsia="仿宋_GB2312" w:cs="仿宋_GB2312"/>
          <w:color w:val="000000"/>
          <w:spacing w:val="0"/>
          <w:w w:val="100"/>
          <w:position w:val="0"/>
          <w:sz w:val="32"/>
          <w:szCs w:val="32"/>
          <w:highlight w:val="none"/>
          <w:lang w:val="en-US" w:eastAsia="zh-CN"/>
        </w:rPr>
        <w:t>我单位于2021年共计实施项目资金约13392360.94</w:t>
      </w:r>
      <w:bookmarkStart w:id="19" w:name="_GoBack"/>
      <w:bookmarkEnd w:id="19"/>
      <w:r>
        <w:rPr>
          <w:rFonts w:hint="eastAsia" w:ascii="仿宋_GB2312" w:hAnsi="仿宋_GB2312" w:eastAsia="仿宋_GB2312" w:cs="仿宋_GB2312"/>
          <w:color w:val="000000"/>
          <w:spacing w:val="0"/>
          <w:w w:val="100"/>
          <w:position w:val="0"/>
          <w:sz w:val="32"/>
          <w:szCs w:val="32"/>
          <w:highlight w:val="none"/>
          <w:lang w:val="en-US" w:eastAsia="zh-CN"/>
        </w:rPr>
        <w:t>元。对照年初确定的绩效目标各项任务，我单位加强项目资金等管理，确保资金使用合法合规，促进了工作效率提高。</w:t>
      </w:r>
    </w:p>
    <w:p>
      <w:pPr>
        <w:pStyle w:val="13"/>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sz w:val="32"/>
          <w:szCs w:val="32"/>
          <w:highlight w:val="none"/>
          <w:lang w:val="en-US"/>
        </w:rPr>
      </w:pPr>
      <w:r>
        <w:rPr>
          <w:rFonts w:hint="eastAsia" w:ascii="仿宋_GB2312" w:hAnsi="仿宋_GB2312" w:eastAsia="仿宋_GB2312" w:cs="仿宋_GB2312"/>
          <w:color w:val="000000"/>
          <w:spacing w:val="0"/>
          <w:w w:val="100"/>
          <w:position w:val="0"/>
          <w:sz w:val="32"/>
          <w:szCs w:val="32"/>
          <w:highlight w:val="none"/>
          <w:lang w:val="en-US" w:eastAsia="zh-CN"/>
        </w:rPr>
        <w:t>我单位2021年资金专项立项依据充分，资金管理办法规范。在资金分配方面，资金分配合理，突出重点，公平公正，资金分配和使用方向与资金管理办法相符。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bookmarkStart w:id="17" w:name="bookmark32"/>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7"/>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二）</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绩效自评结果</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0" w:firstLineChars="200"/>
        <w:jc w:val="both"/>
        <w:textAlignment w:val="auto"/>
        <w:rPr>
          <w:rFonts w:hint="default" w:ascii="仿宋_GB2312" w:hAnsi="仿宋_GB2312" w:eastAsia="仿宋_GB2312" w:cs="仿宋_GB2312"/>
          <w:color w:val="000000"/>
          <w:spacing w:val="0"/>
          <w:w w:val="100"/>
          <w:position w:val="0"/>
          <w:sz w:val="32"/>
          <w:szCs w:val="32"/>
          <w:highlight w:val="none"/>
          <w:lang w:val="en-US" w:eastAsia="zh-CN"/>
        </w:rPr>
      </w:pPr>
      <w:bookmarkStart w:id="18" w:name="bookmark33"/>
      <w:r>
        <w:rPr>
          <w:rFonts w:hint="eastAsia" w:ascii="仿宋_GB2312" w:hAnsi="仿宋_GB2312" w:eastAsia="仿宋_GB2312" w:cs="仿宋_GB2312"/>
          <w:color w:val="000000"/>
          <w:spacing w:val="0"/>
          <w:w w:val="100"/>
          <w:position w:val="0"/>
          <w:sz w:val="32"/>
          <w:szCs w:val="32"/>
          <w:highlight w:val="none"/>
          <w:lang w:val="en-US" w:eastAsia="zh-CN"/>
        </w:rPr>
        <w:t>经过绩效自评，我单位2021年度项目实施中资金使用合规，无截留、挪用等现象，资金使用生产效益发挥充分，但是存在资金开支时间进度不均衡的问题，在以后年度中加快资金开支进度。</w:t>
      </w:r>
    </w:p>
    <w:p>
      <w:pPr>
        <w:pStyle w:val="13"/>
        <w:keepNext w:val="0"/>
        <w:keepLines w:val="0"/>
        <w:pageBreakBefore w:val="0"/>
        <w:widowControl w:val="0"/>
        <w:shd w:val="clear" w:color="auto" w:fill="auto"/>
        <w:tabs>
          <w:tab w:val="left" w:pos="1658"/>
        </w:tabs>
        <w:kinsoku/>
        <w:wordWrap/>
        <w:overflowPunct/>
        <w:topLinePunct w:val="0"/>
        <w:autoSpaceDE/>
        <w:autoSpaceDN/>
        <w:bidi w:val="0"/>
        <w:adjustRightInd/>
        <w:snapToGrid/>
        <w:spacing w:before="0" w:after="0" w:line="360" w:lineRule="auto"/>
        <w:ind w:left="0" w:right="0" w:firstLine="643" w:firstLineChars="200"/>
        <w:jc w:val="both"/>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w:t>
      </w:r>
      <w:bookmarkEnd w:id="18"/>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三）</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ab/>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重点绩效评价结果</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default" w:ascii="仿宋_GB2312" w:hAnsi="仿宋_GB2312" w:eastAsia="仿宋_GB2312" w:cs="仿宋_GB2312"/>
          <w:color w:val="000000"/>
          <w:spacing w:val="0"/>
          <w:w w:val="100"/>
          <w:position w:val="0"/>
          <w:sz w:val="32"/>
          <w:szCs w:val="32"/>
          <w:highlight w:val="none"/>
          <w:lang w:val="en-US" w:eastAsia="zh-CN"/>
        </w:rPr>
      </w:pPr>
      <w:r>
        <w:rPr>
          <w:rFonts w:hint="eastAsia" w:ascii="仿宋_GB2312" w:hAnsi="仿宋_GB2312" w:eastAsia="仿宋_GB2312" w:cs="仿宋_GB2312"/>
          <w:color w:val="000000"/>
          <w:spacing w:val="0"/>
          <w:w w:val="100"/>
          <w:position w:val="0"/>
          <w:sz w:val="32"/>
          <w:szCs w:val="32"/>
          <w:highlight w:val="none"/>
          <w:lang w:val="en-US" w:eastAsia="zh-CN"/>
        </w:rPr>
        <w:t>项目资金管理中做到合理分配，突出重点，不盲目立项、不无据支付。严格按照资金管理办法和绩效评价体系，做好各项目绩效目标任务，资金使用生产效益发挥充分，单位职能发挥充分。</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：本部分共包含三项内容，单位应根据实际填写具体内容，不得删除</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bidi="ar"/>
        </w:rPr>
        <w:t>部门至少公开1个部门评价（以部门为主体开展的重点绩效评价）报告；部门如有项目绩效自评情况，应同时附上项目绩效自评表，文字综述和绩效自评表相关内容应保持一致）</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另</w:t>
      </w:r>
      <w:r>
        <w:rPr>
          <w:rFonts w:hint="eastAsia" w:ascii="仿宋_GB2312" w:hAnsi="仿宋_GB2312" w:eastAsia="仿宋_GB2312" w:cs="仿宋_GB2312"/>
          <w:color w:val="000000"/>
          <w:spacing w:val="0"/>
          <w:w w:val="100"/>
          <w:position w:val="0"/>
          <w:sz w:val="32"/>
          <w:szCs w:val="32"/>
          <w:highlight w:val="none"/>
        </w:rPr>
        <w:t>：所有部门单位均应附《单位整体支出绩效自评报告》。如果单位本年无项目支出，则应在说明文字中补充：</w:t>
      </w:r>
      <w:r>
        <w:rPr>
          <w:rFonts w:hint="eastAsia" w:ascii="仿宋_GB2312" w:hAnsi="仿宋_GB2312" w:eastAsia="仿宋_GB2312" w:cs="仿宋_GB2312"/>
          <w:color w:val="000000"/>
          <w:spacing w:val="0"/>
          <w:w w:val="100"/>
          <w:position w:val="0"/>
          <w:sz w:val="32"/>
          <w:szCs w:val="32"/>
          <w:highlight w:val="none"/>
          <w:lang w:val="zh-CN" w:eastAsia="zh-CN" w:bidi="zh-CN"/>
        </w:rPr>
        <w:t>“我</w:t>
      </w:r>
      <w:r>
        <w:rPr>
          <w:rFonts w:hint="eastAsia" w:ascii="仿宋_GB2312" w:hAnsi="仿宋_GB2312" w:eastAsia="仿宋_GB2312" w:cs="仿宋_GB2312"/>
          <w:color w:val="000000"/>
          <w:spacing w:val="0"/>
          <w:w w:val="100"/>
          <w:position w:val="0"/>
          <w:sz w:val="32"/>
          <w:szCs w:val="32"/>
          <w:highlight w:val="none"/>
        </w:rPr>
        <w:t>部门（我单位）本年无项目支出，故未开展项目支出绩效自评”，不再附《单位项目支出绩效自评报告》</w:t>
      </w:r>
      <w:r>
        <w:rPr>
          <w:rFonts w:hint="eastAsia" w:ascii="仿宋_GB2312" w:hAnsi="仿宋_GB2312" w:eastAsia="仿宋_GB2312" w:cs="仿宋_GB2312"/>
          <w:color w:val="000000"/>
          <w:spacing w:val="0"/>
          <w:w w:val="100"/>
          <w:position w:val="0"/>
          <w:sz w:val="32"/>
          <w:szCs w:val="32"/>
          <w:highlight w:val="none"/>
          <w:lang w:eastAsia="zh-CN"/>
        </w:rPr>
        <w:t>。</w:t>
      </w:r>
      <w:r>
        <w:rPr>
          <w:rFonts w:hint="eastAsia" w:ascii="仿宋_GB2312" w:hAnsi="仿宋_GB2312" w:eastAsia="仿宋_GB2312" w:cs="仿宋_GB2312"/>
          <w:color w:val="000000"/>
          <w:spacing w:val="0"/>
          <w:w w:val="100"/>
          <w:position w:val="0"/>
          <w:sz w:val="32"/>
          <w:szCs w:val="32"/>
          <w:highlight w:val="none"/>
        </w:rPr>
        <w:t>）</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3" w:firstLineChars="200"/>
        <w:jc w:val="left"/>
        <w:textAlignment w:val="auto"/>
        <w:rPr>
          <w:rFonts w:hint="eastAsia" w:ascii="仿宋_GB2312" w:hAnsi="仿宋_GB2312" w:eastAsia="仿宋_GB2312" w:cs="仿宋_GB2312"/>
          <w:b/>
          <w:bCs/>
          <w:i w:val="0"/>
          <w:iCs w:val="0"/>
          <w:smallCaps w:val="0"/>
          <w:strike w:val="0"/>
          <w:color w:val="000000"/>
          <w:spacing w:val="0"/>
          <w:w w:val="100"/>
          <w:position w:val="0"/>
          <w:sz w:val="32"/>
          <w:szCs w:val="32"/>
          <w:highlight w:val="none"/>
        </w:rPr>
      </w:pP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第四部分</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lang w:val="en-US" w:eastAsia="zh-CN"/>
        </w:rPr>
        <w:t xml:space="preserve">   </w:t>
      </w:r>
      <w:r>
        <w:rPr>
          <w:rFonts w:hint="eastAsia" w:ascii="仿宋_GB2312" w:hAnsi="仿宋_GB2312" w:eastAsia="仿宋_GB2312" w:cs="仿宋_GB2312"/>
          <w:b/>
          <w:bCs/>
          <w:i w:val="0"/>
          <w:iCs w:val="0"/>
          <w:smallCaps w:val="0"/>
          <w:strike w:val="0"/>
          <w:color w:val="000000"/>
          <w:spacing w:val="0"/>
          <w:w w:val="100"/>
          <w:position w:val="0"/>
          <w:sz w:val="32"/>
          <w:szCs w:val="32"/>
          <w:highlight w:val="none"/>
        </w:rPr>
        <w:t>名词解释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一、财政拨款收入：指本年度从本级财政部门取得的财政拨款，包括一般公共预算财政拨款和政府性基金预算财政拨款。</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二、事业收入：指事业单位开展专业业务活动及其辅助活动取得的现金流入；事业单位收到的财政专户实际核拨的教育收费等资金在此反映。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三、经营收入：指事业单位在专业业务活动及其辅助活动之外开展非独立核算经营活动取得的现金流入。</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四、其他收入：指单位取得的除“财政拨款收入”、“事业收入”、“经营收入”等以外 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六、年初结转和结余：指单位上年结转本年使用的基本支出结转、项目支出结转和结余、经营结余。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七、结余分配：指单位按照国家有关规定，缴纳所得税、提取专用基金、转入事业基金等当年结余的分配情况。</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八、年末结转和结余：指单位结转下年的基本支出结转、项目支出结转和结余、经营结余。</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十、项目支出：指在基本支出之外为完成特定行政任务和事业发展目标所发生的支出。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十一、经营支出：指事业单位在专业业务活动及其辅助活动之外开展非独立核算经营活动发生的支出。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十二、“三公”经费： 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 留的公务用车燃料费、维修费、过路过桥费、保险费、安全奖励费用等支出；公务接待费反映单位按规定开支的各类公务接待（含外宾接待）支出。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十三、机关运行经费：为保障行政单位（含参照公务员法管理的事业单位）运行用于购买 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十四、工资福利支出（支出经济分类科目类级）：反映单位开支的在职职工和编制外长期聘用人员的各类劳动报酬，以及为上述人员缴纳的各项社会保险费等。</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十五、商品和服务支出（支出经济分类科目类级）：反映单位购买商品和服务的支出（不包括用于购置固定资产的支出、战略性和应急储备支出）。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十六、对个人和家庭的补助（支出经济分类科目类级）：反映用于对个人和家庭的补助支出。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center"/>
        <w:textAlignment w:val="auto"/>
        <w:rPr>
          <w:rFonts w:hint="eastAsia" w:ascii="仿宋_GB2312" w:hAnsi="仿宋_GB2312" w:eastAsia="仿宋_GB2312" w:cs="仿宋_GB2312"/>
          <w:color w:val="000000"/>
          <w:spacing w:val="0"/>
          <w:w w:val="100"/>
          <w:position w:val="0"/>
          <w:sz w:val="32"/>
          <w:szCs w:val="32"/>
          <w:highlight w:val="none"/>
        </w:rPr>
      </w:pPr>
      <w:r>
        <w:rPr>
          <w:rFonts w:hint="eastAsia" w:ascii="仿宋_GB2312" w:hAnsi="仿宋_GB2312" w:eastAsia="仿宋_GB2312" w:cs="仿宋_GB2312"/>
          <w:color w:val="000000"/>
          <w:spacing w:val="0"/>
          <w:w w:val="100"/>
          <w:position w:val="0"/>
          <w:sz w:val="32"/>
          <w:szCs w:val="32"/>
          <w:highlight w:val="none"/>
        </w:rPr>
        <w:t>（</w:t>
      </w:r>
      <w:r>
        <w:rPr>
          <w:rFonts w:hint="eastAsia" w:ascii="仿宋_GB2312" w:hAnsi="仿宋_GB2312" w:eastAsia="仿宋_GB2312" w:cs="仿宋_GB2312"/>
          <w:b/>
          <w:bCs/>
          <w:color w:val="000000"/>
          <w:spacing w:val="0"/>
          <w:w w:val="100"/>
          <w:position w:val="0"/>
          <w:sz w:val="32"/>
          <w:szCs w:val="32"/>
          <w:highlight w:val="none"/>
        </w:rPr>
        <w:t>注</w:t>
      </w:r>
      <w:r>
        <w:rPr>
          <w:rFonts w:hint="eastAsia" w:ascii="仿宋_GB2312" w:hAnsi="仿宋_GB2312" w:eastAsia="仿宋_GB2312" w:cs="仿宋_GB2312"/>
          <w:color w:val="000000"/>
          <w:spacing w:val="0"/>
          <w:w w:val="100"/>
          <w:position w:val="0"/>
          <w:sz w:val="32"/>
          <w:szCs w:val="32"/>
          <w:highlight w:val="none"/>
        </w:rPr>
        <w:t>：本部分至少应包含以上信息，不得删减。）</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highlight w:val="none"/>
        </w:rPr>
      </w:pP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附件1：</w:t>
      </w:r>
      <w:r>
        <w:rPr>
          <w:rFonts w:hint="eastAsia" w:ascii="仿宋_GB2312" w:hAnsi="仿宋_GB2312" w:eastAsia="仿宋_GB2312" w:cs="仿宋_GB2312"/>
          <w:color w:val="000000"/>
          <w:spacing w:val="0"/>
          <w:w w:val="100"/>
          <w:position w:val="0"/>
          <w:sz w:val="32"/>
          <w:szCs w:val="32"/>
          <w:highlight w:val="none"/>
          <w:lang w:eastAsia="zh-CN"/>
        </w:rPr>
        <w:t>2021</w:t>
      </w:r>
      <w:r>
        <w:rPr>
          <w:rFonts w:hint="eastAsia" w:ascii="仿宋_GB2312" w:hAnsi="仿宋_GB2312" w:eastAsia="仿宋_GB2312" w:cs="仿宋_GB2312"/>
          <w:color w:val="000000"/>
          <w:spacing w:val="0"/>
          <w:w w:val="100"/>
          <w:position w:val="0"/>
          <w:sz w:val="32"/>
          <w:szCs w:val="32"/>
          <w:highlight w:val="none"/>
        </w:rPr>
        <w:t>年度部门决算公开表（9张）</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附件2：《单位整体支出绩效自评报告》</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pacing w:val="0"/>
          <w:w w:val="100"/>
          <w:position w:val="0"/>
          <w:sz w:val="32"/>
          <w:szCs w:val="32"/>
          <w:highlight w:val="none"/>
        </w:rPr>
        <w:t>附件3:《单位项目支出绩效自评报告》（如无可不附）</w:t>
      </w:r>
    </w:p>
    <w:sectPr>
      <w:footerReference r:id="rId7" w:type="default"/>
      <w:footnotePr>
        <w:numFmt w:val="decimal"/>
      </w:footnotePr>
      <w:type w:val="continuous"/>
      <w:pgSz w:w="11900" w:h="16840"/>
      <w:pgMar w:top="1226" w:right="1820" w:bottom="1662" w:left="1632" w:header="798"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3642360</wp:posOffset>
              </wp:positionH>
              <wp:positionV relativeFrom="page">
                <wp:posOffset>9921240</wp:posOffset>
              </wp:positionV>
              <wp:extent cx="45720" cy="76200"/>
              <wp:effectExtent l="0" t="0" r="0" b="0"/>
              <wp:wrapNone/>
              <wp:docPr id="1" name="Shape 1"/>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286.8pt;margin-top:781.2pt;height:6pt;width:3.6pt;mso-position-horizontal-relative:page;mso-position-vertical-relative:page;mso-wrap-style:none;z-index:-251657216;mso-width-relative:page;mso-height-relative:page;" filled="f" stroked="f" coordsize="21600,21600" o:gfxdata="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HhuL52AAAAA0B&#10;AAAPAAAAAAAAAAEAIAAAACIAAABkcnMvZG93bnJldi54bWxQSwECFAAUAAAACACHTuJAvr2ADKkB&#10;AABtAwAADgAAAAAAAAABACAAAAAnAQAAZHJzL2Uyb0RvYy54bWxQSwUGAAAAAAYABgBZAQAAQgUA&#10;AAAA&#10;">
              <v:fill on="f" focussize="0,0"/>
              <v:stroke on="f"/>
              <v:imagedata o:title=""/>
              <o:lock v:ext="edit" aspectratio="f"/>
              <v:textbox inset="0mm,0mm,0mm,0mm" style="mso-fit-shape-to-text:t;">
                <w:txbxContent>
                  <w:p>
                    <w:pPr>
                      <w:pStyle w:val="15"/>
                      <w:keepNext w:val="0"/>
                      <w:keepLines w:val="0"/>
                      <w:widowControl w:val="0"/>
                      <w:shd w:val="clear" w:color="auto" w:fill="auto"/>
                      <w:bidi w:val="0"/>
                      <w:spacing w:before="0" w:after="0" w:line="240" w:lineRule="auto"/>
                      <w:ind w:left="0" w:right="0" w:firstLine="0"/>
                      <w:jc w:val="left"/>
                      <w:rPr>
                        <w:sz w:val="17"/>
                        <w:szCs w:val="17"/>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7"/>
                        <w:szCs w:val="17"/>
                      </w:rPr>
                      <w:t>#</w:t>
                    </w:r>
                    <w:r>
                      <w:rPr>
                        <w:rFonts w:ascii="Times New Roman" w:hAnsi="Times New Roman" w:eastAsia="Times New Roman" w:cs="Times New Roman"/>
                        <w:color w:val="000000"/>
                        <w:spacing w:val="0"/>
                        <w:w w:val="100"/>
                        <w:position w:val="0"/>
                        <w:sz w:val="17"/>
                        <w:szCs w:val="17"/>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3663315</wp:posOffset>
              </wp:positionH>
              <wp:positionV relativeFrom="page">
                <wp:posOffset>9918065</wp:posOffset>
              </wp:positionV>
              <wp:extent cx="100330" cy="76200"/>
              <wp:effectExtent l="0" t="0" r="0" b="0"/>
              <wp:wrapNone/>
              <wp:docPr id="5" name="Shape 5"/>
              <wp:cNvGraphicFramePr/>
              <a:graphic xmlns:a="http://schemas.openxmlformats.org/drawingml/2006/main">
                <a:graphicData uri="http://schemas.microsoft.com/office/word/2010/wordprocessingShape">
                  <wps:wsp>
                    <wps:cNvSpPr txBox="1"/>
                    <wps:spPr>
                      <a:xfrm>
                        <a:off x="0" y="0"/>
                        <a:ext cx="100330" cy="7620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288.45pt;margin-top:780.95pt;height:6pt;width:7.9pt;mso-position-horizontal-relative:page;mso-position-vertical-relative:page;mso-wrap-style:none;z-index:-251657216;mso-width-relative:page;mso-height-relative:page;" filled="f" stroked="f" coordsize="21600,21600" o:gfxdata="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MuT7tgAAAAN&#10;AQAADwAAAAAAAAABACAAAAAiAAAAZHJzL2Rvd25yZXYueG1sUEsBAhQAFAAAAAgAh07iQOGXCfOq&#10;AQAAbgMAAA4AAAAAAAAAAQAgAAAAJwEAAGRycy9lMm9Eb2MueG1sUEsFBgAAAAAGAAYAWQEAAEMF&#10;A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3676015</wp:posOffset>
              </wp:positionH>
              <wp:positionV relativeFrom="page">
                <wp:posOffset>9904095</wp:posOffset>
              </wp:positionV>
              <wp:extent cx="100330" cy="73025"/>
              <wp:effectExtent l="0" t="0" r="0" b="0"/>
              <wp:wrapNone/>
              <wp:docPr id="9" name="Shape 9"/>
              <wp:cNvGraphicFramePr/>
              <a:graphic xmlns:a="http://schemas.openxmlformats.org/drawingml/2006/main">
                <a:graphicData uri="http://schemas.microsoft.com/office/word/2010/wordprocessingShape">
                  <wps:wsp>
                    <wps:cNvSpPr txBox="1"/>
                    <wps:spPr>
                      <a:xfrm>
                        <a:off x="0" y="0"/>
                        <a:ext cx="100330" cy="73025"/>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wps:txbx>
                    <wps:bodyPr wrap="none" lIns="0" tIns="0" rIns="0" bIns="0">
                      <a:spAutoFit/>
                    </wps:bodyPr>
                  </wps:wsp>
                </a:graphicData>
              </a:graphic>
            </wp:anchor>
          </w:drawing>
        </mc:Choice>
        <mc:Fallback>
          <w:pict>
            <v:shape id="Shape 9" o:spid="_x0000_s1026" o:spt="202" type="#_x0000_t202" style="position:absolute;left:0pt;margin-left:289.45pt;margin-top:779.85pt;height:5.75pt;width:7.9pt;mso-position-horizontal-relative:page;mso-position-vertical-relative:page;mso-wrap-style:none;z-index:-251657216;mso-width-relative:page;mso-height-relative:page;" filled="f" stroked="f" coordsize="21600,21600" o:gfxdata="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Xy6yzYAAAA&#10;DQEAAA8AAAAAAAAAAQAgAAAAIgAAAGRycy9kb3ducmV2LnhtbFBLAQIUABQAAAAIAIdO4kBIqTov&#10;qwEAAG4DAAAOAAAAAAAAAAEAIAAAACcBAABkcnMvZTJvRG9jLnhtbFBLBQYAAAAABgAGAFkBAABE&#10;BQAAAAA=&#10;">
              <v:fill on="f" focussize="0,0"/>
              <v:stroke on="f"/>
              <v:imagedata o:title=""/>
              <o:lock v:ext="edit" aspectratio="f"/>
              <v:textbox inset="0mm,0mm,0mm,0mm" style="mso-fit-shape-to-text:t;">
                <w:txbxContent>
                  <w:p>
                    <w:pPr>
                      <w:pStyle w:val="1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BE8353"/>
    <w:multiLevelType w:val="singleLevel"/>
    <w:tmpl w:val="37BE8353"/>
    <w:lvl w:ilvl="0" w:tentative="0">
      <w:start w:val="3"/>
      <w:numFmt w:val="chineseCounting"/>
      <w:suff w:val="space"/>
      <w:lvlText w:val="第%1部分"/>
      <w:lvlJc w:val="left"/>
      <w:rPr>
        <w:rFonts w:hint="eastAsia"/>
      </w:rPr>
    </w:lvl>
  </w:abstractNum>
  <w:abstractNum w:abstractNumId="1">
    <w:nsid w:val="3FA184EB"/>
    <w:multiLevelType w:val="singleLevel"/>
    <w:tmpl w:val="3FA184EB"/>
    <w:lvl w:ilvl="0" w:tentative="0">
      <w:start w:val="8"/>
      <w:numFmt w:val="chineseCount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MTQ2NTE5Y2VlMzFjZWE0MTMxZDg3MTAyYjdlNzZkZjAifQ=="/>
  </w:docVars>
  <w:rsids>
    <w:rsidRoot w:val="00172A27"/>
    <w:rsid w:val="05036CC0"/>
    <w:rsid w:val="0511788F"/>
    <w:rsid w:val="05634B2B"/>
    <w:rsid w:val="06253508"/>
    <w:rsid w:val="06497B03"/>
    <w:rsid w:val="06AA1511"/>
    <w:rsid w:val="07795467"/>
    <w:rsid w:val="0A4322AB"/>
    <w:rsid w:val="0A4C6688"/>
    <w:rsid w:val="0A5D00F5"/>
    <w:rsid w:val="0B7865E9"/>
    <w:rsid w:val="0BCF61C3"/>
    <w:rsid w:val="1739327C"/>
    <w:rsid w:val="19BA4320"/>
    <w:rsid w:val="19E853BD"/>
    <w:rsid w:val="1A974E89"/>
    <w:rsid w:val="1B205130"/>
    <w:rsid w:val="1B430B6D"/>
    <w:rsid w:val="1B9A16A0"/>
    <w:rsid w:val="1E712589"/>
    <w:rsid w:val="1F523B54"/>
    <w:rsid w:val="20F841A8"/>
    <w:rsid w:val="24271B0F"/>
    <w:rsid w:val="25FD0C5D"/>
    <w:rsid w:val="266D4CF0"/>
    <w:rsid w:val="27161D7A"/>
    <w:rsid w:val="276A2075"/>
    <w:rsid w:val="28A80261"/>
    <w:rsid w:val="29C05E6C"/>
    <w:rsid w:val="2A453BB1"/>
    <w:rsid w:val="2ABE1AEB"/>
    <w:rsid w:val="2B0C4E4F"/>
    <w:rsid w:val="2BF51A0F"/>
    <w:rsid w:val="2D8B7FDB"/>
    <w:rsid w:val="2E297AB0"/>
    <w:rsid w:val="2F57478F"/>
    <w:rsid w:val="2F990904"/>
    <w:rsid w:val="31010C0A"/>
    <w:rsid w:val="31186324"/>
    <w:rsid w:val="3126266B"/>
    <w:rsid w:val="313F372D"/>
    <w:rsid w:val="335039CF"/>
    <w:rsid w:val="3364747B"/>
    <w:rsid w:val="36F12547"/>
    <w:rsid w:val="39F46F0A"/>
    <w:rsid w:val="39FA4135"/>
    <w:rsid w:val="3ABD5DEE"/>
    <w:rsid w:val="3B98641A"/>
    <w:rsid w:val="3BD710AD"/>
    <w:rsid w:val="3EB67FF3"/>
    <w:rsid w:val="406960D0"/>
    <w:rsid w:val="41670196"/>
    <w:rsid w:val="426052B1"/>
    <w:rsid w:val="42736B67"/>
    <w:rsid w:val="43D445BB"/>
    <w:rsid w:val="47FF0A50"/>
    <w:rsid w:val="498012BE"/>
    <w:rsid w:val="4A7675C1"/>
    <w:rsid w:val="4B0D354C"/>
    <w:rsid w:val="4B60103E"/>
    <w:rsid w:val="4C412CB2"/>
    <w:rsid w:val="4C4D7B1F"/>
    <w:rsid w:val="4E10402F"/>
    <w:rsid w:val="4F1428B3"/>
    <w:rsid w:val="50CA4969"/>
    <w:rsid w:val="50CE26AB"/>
    <w:rsid w:val="50E023DF"/>
    <w:rsid w:val="5139389D"/>
    <w:rsid w:val="51A01DCB"/>
    <w:rsid w:val="52065E75"/>
    <w:rsid w:val="52D13629"/>
    <w:rsid w:val="53376BB8"/>
    <w:rsid w:val="537062B7"/>
    <w:rsid w:val="537806AC"/>
    <w:rsid w:val="56101070"/>
    <w:rsid w:val="57D535F7"/>
    <w:rsid w:val="58806626"/>
    <w:rsid w:val="58ED38EB"/>
    <w:rsid w:val="59FD5DAF"/>
    <w:rsid w:val="5AB319E6"/>
    <w:rsid w:val="5B442AB9"/>
    <w:rsid w:val="5C5C64EF"/>
    <w:rsid w:val="5C713B4F"/>
    <w:rsid w:val="5E251431"/>
    <w:rsid w:val="5EB10F16"/>
    <w:rsid w:val="5EDD0186"/>
    <w:rsid w:val="60D720E0"/>
    <w:rsid w:val="62922058"/>
    <w:rsid w:val="6623094C"/>
    <w:rsid w:val="682664D1"/>
    <w:rsid w:val="69472BA3"/>
    <w:rsid w:val="6AA15957"/>
    <w:rsid w:val="6DD436CF"/>
    <w:rsid w:val="6F436122"/>
    <w:rsid w:val="71305BA9"/>
    <w:rsid w:val="71E44F70"/>
    <w:rsid w:val="720E4E8D"/>
    <w:rsid w:val="726D3C91"/>
    <w:rsid w:val="73EF6311"/>
    <w:rsid w:val="745D61E5"/>
    <w:rsid w:val="75935E9A"/>
    <w:rsid w:val="75C14171"/>
    <w:rsid w:val="765E777E"/>
    <w:rsid w:val="76EA2DC0"/>
    <w:rsid w:val="77440E42"/>
    <w:rsid w:val="785A5C57"/>
    <w:rsid w:val="794C38BE"/>
    <w:rsid w:val="7A9E45ED"/>
    <w:rsid w:val="7BCD3241"/>
    <w:rsid w:val="7BCD518A"/>
    <w:rsid w:val="7C584EE5"/>
    <w:rsid w:val="7CF449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qFormat/>
    <w:uiPriority w:val="0"/>
    <w:rPr>
      <w:color w:val="333333"/>
      <w:u w:val="none"/>
    </w:rPr>
  </w:style>
  <w:style w:type="character" w:styleId="7">
    <w:name w:val="HTML Definition"/>
    <w:basedOn w:val="4"/>
    <w:qFormat/>
    <w:uiPriority w:val="0"/>
    <w:rPr>
      <w:i/>
      <w:iCs/>
    </w:rPr>
  </w:style>
  <w:style w:type="character" w:styleId="8">
    <w:name w:val="Hyperlink"/>
    <w:basedOn w:val="4"/>
    <w:qFormat/>
    <w:uiPriority w:val="0"/>
    <w:rPr>
      <w:color w:val="333333"/>
      <w:u w:val="none"/>
    </w:rPr>
  </w:style>
  <w:style w:type="character" w:styleId="9">
    <w:name w:val="HTML Code"/>
    <w:basedOn w:val="4"/>
    <w:qFormat/>
    <w:uiPriority w:val="0"/>
    <w:rPr>
      <w:rFonts w:ascii="Consolas" w:hAnsi="Consolas" w:eastAsia="Consolas" w:cs="Consolas"/>
      <w:color w:val="C7254E"/>
      <w:sz w:val="21"/>
      <w:szCs w:val="21"/>
      <w:shd w:val="clear" w:fill="F9F2F4"/>
    </w:rPr>
  </w:style>
  <w:style w:type="character" w:styleId="10">
    <w:name w:val="HTML Keyboard"/>
    <w:basedOn w:val="4"/>
    <w:qFormat/>
    <w:uiPriority w:val="0"/>
    <w:rPr>
      <w:rFonts w:hint="default" w:ascii="Consolas" w:hAnsi="Consolas" w:eastAsia="Consolas" w:cs="Consolas"/>
      <w:color w:val="FFFFFF"/>
      <w:sz w:val="21"/>
      <w:szCs w:val="21"/>
      <w:shd w:val="clear" w:fill="333333"/>
    </w:rPr>
  </w:style>
  <w:style w:type="character" w:styleId="11">
    <w:name w:val="HTML Sample"/>
    <w:basedOn w:val="4"/>
    <w:qFormat/>
    <w:uiPriority w:val="0"/>
    <w:rPr>
      <w:rFonts w:hint="default" w:ascii="Consolas" w:hAnsi="Consolas" w:eastAsia="Consolas" w:cs="Consolas"/>
      <w:sz w:val="21"/>
      <w:szCs w:val="21"/>
    </w:rPr>
  </w:style>
  <w:style w:type="character" w:customStyle="1" w:styleId="12">
    <w:name w:val="Body text|1_"/>
    <w:basedOn w:val="4"/>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er or footer|2_"/>
    <w:basedOn w:val="4"/>
    <w:link w:val="15"/>
    <w:qFormat/>
    <w:uiPriority w:val="0"/>
    <w:rPr>
      <w:sz w:val="20"/>
      <w:szCs w:val="20"/>
      <w:u w:val="none"/>
      <w:shd w:val="clear" w:color="auto" w:fill="auto"/>
      <w:lang w:val="zh-TW" w:eastAsia="zh-TW" w:bidi="zh-TW"/>
    </w:rPr>
  </w:style>
  <w:style w:type="paragraph" w:customStyle="1" w:styleId="15">
    <w:name w:val="Header or footer|2"/>
    <w:basedOn w:val="1"/>
    <w:link w:val="14"/>
    <w:qFormat/>
    <w:uiPriority w:val="0"/>
    <w:pPr>
      <w:widowControl w:val="0"/>
      <w:shd w:val="clear" w:color="auto" w:fill="auto"/>
    </w:pPr>
    <w:rPr>
      <w:sz w:val="20"/>
      <w:szCs w:val="20"/>
      <w:u w:val="none"/>
      <w:shd w:val="clear" w:color="auto" w:fill="auto"/>
      <w:lang w:val="zh-TW" w:eastAsia="zh-TW" w:bidi="zh-TW"/>
    </w:rPr>
  </w:style>
  <w:style w:type="character" w:customStyle="1" w:styleId="16">
    <w:name w:val="Heading #1|1_"/>
    <w:basedOn w:val="4"/>
    <w:link w:val="17"/>
    <w:qFormat/>
    <w:uiPriority w:val="0"/>
    <w:rPr>
      <w:rFonts w:ascii="宋体" w:hAnsi="宋体" w:eastAsia="宋体" w:cs="宋体"/>
      <w:sz w:val="34"/>
      <w:szCs w:val="34"/>
      <w:u w:val="none"/>
      <w:shd w:val="clear" w:color="auto" w:fill="FFFFFF"/>
      <w:lang w:val="zh-TW" w:eastAsia="zh-TW" w:bidi="zh-TW"/>
    </w:rPr>
  </w:style>
  <w:style w:type="paragraph" w:customStyle="1" w:styleId="17">
    <w:name w:val="Heading #1|1"/>
    <w:basedOn w:val="1"/>
    <w:link w:val="16"/>
    <w:qFormat/>
    <w:uiPriority w:val="0"/>
    <w:pPr>
      <w:widowControl w:val="0"/>
      <w:shd w:val="clear" w:color="auto" w:fill="auto"/>
      <w:spacing w:line="1262" w:lineRule="exact"/>
      <w:outlineLvl w:val="0"/>
    </w:pPr>
    <w:rPr>
      <w:rFonts w:ascii="宋体" w:hAnsi="宋体" w:eastAsia="宋体" w:cs="宋体"/>
      <w:sz w:val="34"/>
      <w:szCs w:val="34"/>
      <w:u w:val="none"/>
      <w:shd w:val="clear" w:color="auto" w:fill="FFFFFF"/>
      <w:lang w:val="zh-TW" w:eastAsia="zh-TW" w:bidi="zh-TW"/>
    </w:rPr>
  </w:style>
  <w:style w:type="character" w:customStyle="1" w:styleId="18">
    <w:name w:val="Header or footer|1_"/>
    <w:basedOn w:val="4"/>
    <w:link w:val="19"/>
    <w:qFormat/>
    <w:uiPriority w:val="0"/>
    <w:rPr>
      <w:sz w:val="17"/>
      <w:szCs w:val="17"/>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sz w:val="17"/>
      <w:szCs w:val="17"/>
      <w:u w:val="none"/>
      <w:shd w:val="clear" w:color="auto" w:fill="auto"/>
      <w:lang w:val="zh-TW" w:eastAsia="zh-TW" w:bidi="zh-TW"/>
    </w:rPr>
  </w:style>
  <w:style w:type="character" w:customStyle="1" w:styleId="20">
    <w:name w:val="Table of contents|1_"/>
    <w:basedOn w:val="4"/>
    <w:link w:val="21"/>
    <w:qFormat/>
    <w:uiPriority w:val="0"/>
    <w:rPr>
      <w:rFonts w:ascii="宋体" w:hAnsi="宋体" w:eastAsia="宋体" w:cs="宋体"/>
      <w:sz w:val="30"/>
      <w:szCs w:val="30"/>
      <w:u w:val="none"/>
      <w:shd w:val="clear" w:color="auto" w:fill="auto"/>
      <w:lang w:val="zh-TW" w:eastAsia="zh-TW" w:bidi="zh-TW"/>
    </w:rPr>
  </w:style>
  <w:style w:type="paragraph" w:customStyle="1" w:styleId="21">
    <w:name w:val="Table of contents|1"/>
    <w:basedOn w:val="1"/>
    <w:link w:val="20"/>
    <w:qFormat/>
    <w:uiPriority w:val="0"/>
    <w:pPr>
      <w:widowControl w:val="0"/>
      <w:shd w:val="clear" w:color="auto" w:fill="auto"/>
      <w:spacing w:after="260"/>
      <w:ind w:firstLine="320"/>
    </w:pPr>
    <w:rPr>
      <w:rFonts w:ascii="宋体" w:hAnsi="宋体" w:eastAsia="宋体" w:cs="宋体"/>
      <w:sz w:val="30"/>
      <w:szCs w:val="30"/>
      <w:u w:val="none"/>
      <w:shd w:val="clear" w:color="auto" w:fill="auto"/>
      <w:lang w:val="zh-TW" w:eastAsia="zh-TW" w:bidi="zh-TW"/>
    </w:rPr>
  </w:style>
  <w:style w:type="character" w:customStyle="1" w:styleId="22">
    <w:name w:val="zwxxgk_bnt6"/>
    <w:basedOn w:val="4"/>
    <w:qFormat/>
    <w:uiPriority w:val="0"/>
  </w:style>
  <w:style w:type="character" w:customStyle="1" w:styleId="23">
    <w:name w:val="zwxxgk_bnt61"/>
    <w:basedOn w:val="4"/>
    <w:qFormat/>
    <w:uiPriority w:val="0"/>
  </w:style>
  <w:style w:type="character" w:customStyle="1" w:styleId="24">
    <w:name w:val="zwxxgk_bnt62"/>
    <w:basedOn w:val="4"/>
    <w:qFormat/>
    <w:uiPriority w:val="0"/>
  </w:style>
  <w:style w:type="character" w:customStyle="1" w:styleId="25">
    <w:name w:val="zwxxgk_bnt5"/>
    <w:basedOn w:val="4"/>
    <w:qFormat/>
    <w:uiPriority w:val="0"/>
  </w:style>
  <w:style w:type="character" w:customStyle="1" w:styleId="26">
    <w:name w:val="zwxxgk_bnt51"/>
    <w:basedOn w:val="4"/>
    <w:qFormat/>
    <w:uiPriority w:val="0"/>
  </w:style>
  <w:style w:type="character" w:customStyle="1" w:styleId="27">
    <w:name w:val="zwxxgk_bnt52"/>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20</Pages>
  <Words>8412</Words>
  <Characters>9178</Characters>
  <TotalTime>51</TotalTime>
  <ScaleCrop>false</ScaleCrop>
  <LinksUpToDate>false</LinksUpToDate>
  <CharactersWithSpaces>9224</CharactersWithSpaces>
  <Application>WPS Office_11.1.0.12156_F1E327BC-269C-435d-A152-05C5408002CA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2022-08-24T07:12:00Z</dcterms:created>
  <dc:creator>lenovo</dc:creator>
  <cp:lastModifiedBy>吃死不胖</cp:lastModifiedBy>
  <cp:lastPrinted>2022-08-31T08:40:00Z</cp:lastPrinted>
  <dcterms:modified xsi:type="dcterms:W3CDTF">2022-09-22T01:55:04Z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3FB965A942B84C0B8C0D4DECFF396933</vt:lpwstr>
  </property>
</Properties>
</file>