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1"/>
      <w:bookmarkStart w:id="1" w:name="bookmark0"/>
      <w:bookmarkStart w:id="2" w:name="bookmark2"/>
      <w:r>
        <w:rPr>
          <w:rFonts w:hint="eastAsia" w:ascii="方正小标宋_GBK" w:hAnsi="方正小标宋_GBK" w:eastAsia="方正小标宋_GBK" w:cs="方正小标宋_GBK"/>
          <w:sz w:val="40"/>
          <w:szCs w:val="40"/>
          <w:lang w:eastAsia="zh-CN"/>
        </w:rPr>
        <w:t>文化馆</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县文化馆主要职能：东乡县文化馆主要职能：坚持“为人民服务、为社会主义服务”的方向和“百花齐放、百家争鸣”的方针，运用各种文艺形式宣传党的路线、方针、政策和国家法律法规，普及科学文化知识；组织开展各类群众文化活动；承担大型文化活动的策划、组织和实施工作；指导全县群众文化工作，开展群众文艺创作、文化艺术培训和非物质文化遗产保护和传承工作；开展对外民间文化交流；承办县政府和上级主管部门交办的其它事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东乡族自治县文化馆为财政一级预算单位，属于财政补助公益一类事业单位，执行政府会计制度。县文化馆隶属于县文体广电和旅游局，事业编制人数1</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人，202</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年年末实有人员1</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人，其中正科</w:t>
      </w:r>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color w:val="000000"/>
          <w:spacing w:val="0"/>
          <w:w w:val="100"/>
          <w:position w:val="0"/>
          <w:sz w:val="32"/>
          <w:szCs w:val="32"/>
        </w:rPr>
        <w:t>人，副科</w:t>
      </w:r>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rPr>
        <w:t>人，一般干部8人。</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tbl>
      <w:tblPr>
        <w:tblStyle w:val="11"/>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713"/>
        <w:gridCol w:w="599"/>
        <w:gridCol w:w="1653"/>
        <w:gridCol w:w="1395"/>
        <w:gridCol w:w="100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4" w:hRule="atLeast"/>
        </w:trPr>
        <w:tc>
          <w:tcPr>
            <w:tcW w:w="8330" w:type="dxa"/>
            <w:gridSpan w:val="6"/>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1713" w:type="dxa"/>
            <w:shd w:val="clear" w:color="auto" w:fill="auto"/>
            <w:vAlign w:val="bottom"/>
          </w:tcPr>
          <w:p>
            <w:pPr>
              <w:rPr>
                <w:rFonts w:hint="eastAsia" w:ascii="Arial" w:hAnsi="Arial" w:cs="Arial"/>
                <w:i w:val="0"/>
                <w:color w:val="000000"/>
                <w:sz w:val="20"/>
                <w:szCs w:val="20"/>
                <w:u w:val="none"/>
              </w:rPr>
            </w:pPr>
          </w:p>
        </w:tc>
        <w:tc>
          <w:tcPr>
            <w:tcW w:w="599" w:type="dxa"/>
            <w:shd w:val="clear" w:color="auto" w:fill="auto"/>
            <w:vAlign w:val="bottom"/>
          </w:tcPr>
          <w:p>
            <w:pPr>
              <w:rPr>
                <w:rFonts w:hint="default" w:ascii="Arial" w:hAnsi="Arial" w:cs="Arial"/>
                <w:i w:val="0"/>
                <w:color w:val="000000"/>
                <w:sz w:val="20"/>
                <w:szCs w:val="20"/>
                <w:u w:val="none"/>
              </w:rPr>
            </w:pPr>
          </w:p>
        </w:tc>
        <w:tc>
          <w:tcPr>
            <w:tcW w:w="1653"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1005" w:type="dxa"/>
            <w:shd w:val="clear" w:color="auto" w:fill="auto"/>
            <w:vAlign w:val="bottom"/>
          </w:tcPr>
          <w:p>
            <w:pPr>
              <w:rPr>
                <w:rFonts w:hint="default" w:ascii="Arial" w:hAnsi="Arial" w:cs="Arial"/>
                <w:i w:val="0"/>
                <w:color w:val="000000"/>
                <w:sz w:val="20"/>
                <w:szCs w:val="20"/>
                <w:u w:val="none"/>
              </w:rPr>
            </w:pPr>
          </w:p>
        </w:tc>
        <w:tc>
          <w:tcPr>
            <w:tcW w:w="19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3" w:hRule="atLeast"/>
        </w:trPr>
        <w:tc>
          <w:tcPr>
            <w:tcW w:w="1713"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599" w:type="dxa"/>
            <w:shd w:val="clear" w:color="auto" w:fill="auto"/>
            <w:vAlign w:val="bottom"/>
          </w:tcPr>
          <w:p>
            <w:pPr>
              <w:rPr>
                <w:rFonts w:hint="default" w:ascii="Arial" w:hAnsi="Arial" w:cs="Arial"/>
                <w:i w:val="0"/>
                <w:color w:val="000000"/>
                <w:sz w:val="20"/>
                <w:szCs w:val="20"/>
                <w:u w:val="none"/>
              </w:rPr>
            </w:pPr>
          </w:p>
        </w:tc>
        <w:tc>
          <w:tcPr>
            <w:tcW w:w="1653"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1005" w:type="dxa"/>
            <w:shd w:val="clear" w:color="auto" w:fill="auto"/>
            <w:vAlign w:val="bottom"/>
          </w:tcPr>
          <w:p>
            <w:pPr>
              <w:rPr>
                <w:rFonts w:hint="default" w:ascii="Arial" w:hAnsi="Arial" w:cs="Arial"/>
                <w:i w:val="0"/>
                <w:color w:val="000000"/>
                <w:sz w:val="20"/>
                <w:szCs w:val="20"/>
                <w:u w:val="none"/>
              </w:rPr>
            </w:pPr>
          </w:p>
        </w:tc>
        <w:tc>
          <w:tcPr>
            <w:tcW w:w="1965"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3965"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收入</w:t>
            </w:r>
          </w:p>
        </w:tc>
        <w:tc>
          <w:tcPr>
            <w:tcW w:w="436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165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金额</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196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599"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5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1005"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96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一、一般公共预算财政拨款收入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65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一、一般公共服务支出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32</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73,405.00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二、政府性基金预算财政拨款收入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二、外交支出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33</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三、国有资本经营预算财政拨款收入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三、国防支出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四、上级补助收入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四、公共安全支出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35</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五、事业收入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五、教育支出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36</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六、经营收入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六、科学技术支出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37</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七、附属单位上缴收入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七、文化旅游体育与传媒支出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38</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1,447,312.02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八、其他收入</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165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84,000.00</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八、社会保障和就业支出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九、卫生健康支出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40</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十、节能环保支出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41</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十一、城乡社区支出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42</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十二、农林水支出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43</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十三、交通运输支出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44</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十四、资源勘探工业信息等支出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45</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十五、商业服务业等支出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十六、金融支出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47</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十七、援助其他地区支出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48</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十八、自然资源海洋气象等支出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19</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十九、住房保障支出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50</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二十、粮油物资储备支出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51</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二十一、国有资本经营预算支出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52</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22</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二十二、灾害防治及应急管理支出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53</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23</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二十三、其他支出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54</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24</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二十四、债务还本支出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55</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25</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二十五、债务付息支出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56</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26</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二十六、抗疫特别国债安排的支出</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57</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本年收入合计</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27</w:t>
            </w:r>
          </w:p>
        </w:tc>
        <w:tc>
          <w:tcPr>
            <w:tcW w:w="165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1,716,973.30</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本年支出合计</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58</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1,716,973.30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使用非财政拨款结余</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28</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结余分配</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59</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年初结转和结余</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29</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年末结转和结余</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60</w:t>
            </w:r>
          </w:p>
        </w:tc>
        <w:tc>
          <w:tcPr>
            <w:tcW w:w="196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w:t>
            </w:r>
          </w:p>
        </w:tc>
        <w:tc>
          <w:tcPr>
            <w:tcW w:w="165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139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61</w:t>
            </w:r>
          </w:p>
        </w:tc>
        <w:tc>
          <w:tcPr>
            <w:tcW w:w="1965"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71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总计</w:t>
            </w:r>
          </w:p>
        </w:tc>
        <w:tc>
          <w:tcPr>
            <w:tcW w:w="5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w:t>
            </w:r>
          </w:p>
        </w:tc>
        <w:tc>
          <w:tcPr>
            <w:tcW w:w="165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1,716,973.30</w:t>
            </w:r>
          </w:p>
        </w:tc>
        <w:tc>
          <w:tcPr>
            <w:tcW w:w="13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总计</w:t>
            </w:r>
          </w:p>
        </w:tc>
        <w:tc>
          <w:tcPr>
            <w:tcW w:w="10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62</w:t>
            </w:r>
          </w:p>
        </w:tc>
        <w:tc>
          <w:tcPr>
            <w:tcW w:w="1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1,716,973.30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833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833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1.本表依据《收入支出决算总表》（财决01表）进行批复。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8330"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1713" w:type="dxa"/>
            <w:shd w:val="clear" w:color="auto" w:fill="auto"/>
            <w:vAlign w:val="bottom"/>
          </w:tcPr>
          <w:p>
            <w:pPr>
              <w:rPr>
                <w:rFonts w:hint="default" w:ascii="Arial" w:hAnsi="Arial" w:cs="Arial"/>
                <w:i w:val="0"/>
                <w:color w:val="000000"/>
                <w:sz w:val="20"/>
                <w:szCs w:val="20"/>
                <w:u w:val="none"/>
              </w:rPr>
            </w:pPr>
          </w:p>
        </w:tc>
        <w:tc>
          <w:tcPr>
            <w:tcW w:w="599" w:type="dxa"/>
            <w:shd w:val="clear" w:color="auto" w:fill="auto"/>
            <w:vAlign w:val="bottom"/>
          </w:tcPr>
          <w:p>
            <w:pPr>
              <w:rPr>
                <w:rFonts w:hint="default" w:ascii="Arial" w:hAnsi="Arial" w:cs="Arial"/>
                <w:i w:val="0"/>
                <w:color w:val="000000"/>
                <w:sz w:val="20"/>
                <w:szCs w:val="20"/>
                <w:u w:val="none"/>
              </w:rPr>
            </w:pPr>
          </w:p>
        </w:tc>
        <w:tc>
          <w:tcPr>
            <w:tcW w:w="1653" w:type="dxa"/>
            <w:shd w:val="clear" w:color="auto" w:fill="auto"/>
            <w:vAlign w:val="bottom"/>
          </w:tcPr>
          <w:p>
            <w:pPr>
              <w:rPr>
                <w:rFonts w:hint="default" w:ascii="Arial" w:hAnsi="Arial" w:cs="Arial"/>
                <w:i w:val="0"/>
                <w:color w:val="000000"/>
                <w:sz w:val="20"/>
                <w:szCs w:val="20"/>
                <w:u w:val="none"/>
              </w:rPr>
            </w:pPr>
          </w:p>
        </w:tc>
        <w:tc>
          <w:tcPr>
            <w:tcW w:w="1395" w:type="dxa"/>
            <w:shd w:val="clear" w:color="auto" w:fill="auto"/>
            <w:vAlign w:val="bottom"/>
          </w:tcPr>
          <w:p>
            <w:pPr>
              <w:rPr>
                <w:rFonts w:hint="default" w:ascii="Arial" w:hAnsi="Arial" w:cs="Arial"/>
                <w:i w:val="0"/>
                <w:color w:val="000000"/>
                <w:sz w:val="20"/>
                <w:szCs w:val="20"/>
                <w:u w:val="none"/>
              </w:rPr>
            </w:pPr>
          </w:p>
        </w:tc>
        <w:tc>
          <w:tcPr>
            <w:tcW w:w="1005" w:type="dxa"/>
            <w:shd w:val="clear" w:color="auto" w:fill="auto"/>
            <w:vAlign w:val="bottom"/>
          </w:tcPr>
          <w:p>
            <w:pPr>
              <w:rPr>
                <w:rFonts w:hint="default" w:ascii="Arial" w:hAnsi="Arial" w:cs="Arial"/>
                <w:i w:val="0"/>
                <w:color w:val="000000"/>
                <w:sz w:val="20"/>
                <w:szCs w:val="20"/>
                <w:u w:val="none"/>
              </w:rPr>
            </w:pPr>
          </w:p>
        </w:tc>
        <w:tc>
          <w:tcPr>
            <w:tcW w:w="1965" w:type="dxa"/>
            <w:shd w:val="clear" w:color="auto" w:fill="auto"/>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9" w:hRule="atLeast"/>
        </w:trPr>
        <w:tc>
          <w:tcPr>
            <w:tcW w:w="1713" w:type="dxa"/>
            <w:shd w:val="clear" w:color="auto" w:fill="auto"/>
            <w:vAlign w:val="bottom"/>
          </w:tcPr>
          <w:p>
            <w:pPr>
              <w:rPr>
                <w:rFonts w:hint="default" w:ascii="Arial" w:hAnsi="Arial" w:cs="Arial"/>
                <w:i w:val="0"/>
                <w:color w:val="000000"/>
                <w:sz w:val="20"/>
                <w:szCs w:val="20"/>
                <w:u w:val="none"/>
              </w:rPr>
            </w:pPr>
          </w:p>
        </w:tc>
        <w:tc>
          <w:tcPr>
            <w:tcW w:w="599" w:type="dxa"/>
            <w:shd w:val="clear" w:color="auto" w:fill="auto"/>
            <w:vAlign w:val="bottom"/>
          </w:tcPr>
          <w:p>
            <w:pPr>
              <w:rPr>
                <w:rFonts w:hint="default" w:ascii="Arial" w:hAnsi="Arial" w:cs="Arial"/>
                <w:i w:val="0"/>
                <w:color w:val="000000"/>
                <w:sz w:val="20"/>
                <w:szCs w:val="20"/>
                <w:u w:val="none"/>
              </w:rPr>
            </w:pPr>
          </w:p>
        </w:tc>
        <w:tc>
          <w:tcPr>
            <w:tcW w:w="1653"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 1 —</w:t>
            </w:r>
          </w:p>
        </w:tc>
        <w:tc>
          <w:tcPr>
            <w:tcW w:w="1395" w:type="dxa"/>
            <w:shd w:val="clear" w:color="auto" w:fill="auto"/>
            <w:vAlign w:val="bottom"/>
          </w:tcPr>
          <w:p>
            <w:pPr>
              <w:rPr>
                <w:rFonts w:hint="default" w:ascii="Arial" w:hAnsi="Arial" w:cs="Arial"/>
                <w:i w:val="0"/>
                <w:color w:val="000000"/>
                <w:sz w:val="20"/>
                <w:szCs w:val="20"/>
                <w:u w:val="none"/>
              </w:rPr>
            </w:pPr>
          </w:p>
        </w:tc>
        <w:tc>
          <w:tcPr>
            <w:tcW w:w="1005" w:type="dxa"/>
            <w:shd w:val="clear" w:color="auto" w:fill="auto"/>
            <w:vAlign w:val="bottom"/>
          </w:tcPr>
          <w:p>
            <w:pPr>
              <w:rPr>
                <w:rFonts w:hint="default" w:ascii="Arial" w:hAnsi="Arial" w:cs="Arial"/>
                <w:i w:val="0"/>
                <w:color w:val="000000"/>
                <w:sz w:val="20"/>
                <w:szCs w:val="20"/>
                <w:u w:val="none"/>
              </w:rPr>
            </w:pPr>
          </w:p>
        </w:tc>
        <w:tc>
          <w:tcPr>
            <w:tcW w:w="1965" w:type="dxa"/>
            <w:shd w:val="clear" w:color="auto" w:fill="auto"/>
            <w:vAlign w:val="bottom"/>
          </w:tcPr>
          <w:p>
            <w:pPr>
              <w:rPr>
                <w:rFonts w:hint="default" w:ascii="Arial" w:hAnsi="Arial" w:cs="Arial"/>
                <w:i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tbl>
      <w:tblPr>
        <w:tblW w:w="10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43"/>
        <w:gridCol w:w="465"/>
        <w:gridCol w:w="375"/>
        <w:gridCol w:w="1845"/>
        <w:gridCol w:w="1725"/>
        <w:gridCol w:w="1792"/>
        <w:gridCol w:w="674"/>
        <w:gridCol w:w="586"/>
        <w:gridCol w:w="586"/>
        <w:gridCol w:w="580"/>
        <w:gridCol w:w="10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23" w:hRule="atLeast"/>
        </w:trPr>
        <w:tc>
          <w:tcPr>
            <w:tcW w:w="10000" w:type="dxa"/>
            <w:gridSpan w:val="11"/>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收入决算批复表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trPr>
        <w:tc>
          <w:tcPr>
            <w:tcW w:w="343" w:type="dxa"/>
            <w:shd w:val="clear"/>
            <w:vAlign w:val="bottom"/>
          </w:tcPr>
          <w:p>
            <w:pPr>
              <w:rPr>
                <w:rFonts w:hint="eastAsia" w:ascii="Arial" w:hAnsi="Arial" w:cs="Arial"/>
                <w:i w:val="0"/>
                <w:color w:val="000000"/>
                <w:sz w:val="20"/>
                <w:szCs w:val="20"/>
                <w:u w:val="none"/>
              </w:rPr>
            </w:pPr>
          </w:p>
        </w:tc>
        <w:tc>
          <w:tcPr>
            <w:tcW w:w="465" w:type="dxa"/>
            <w:shd w:val="clear"/>
            <w:vAlign w:val="bottom"/>
          </w:tcPr>
          <w:p>
            <w:pPr>
              <w:rPr>
                <w:rFonts w:hint="default" w:ascii="Arial" w:hAnsi="Arial" w:cs="Arial"/>
                <w:i w:val="0"/>
                <w:color w:val="000000"/>
                <w:sz w:val="20"/>
                <w:szCs w:val="20"/>
                <w:u w:val="none"/>
              </w:rPr>
            </w:pPr>
          </w:p>
        </w:tc>
        <w:tc>
          <w:tcPr>
            <w:tcW w:w="375" w:type="dxa"/>
            <w:shd w:val="clear"/>
            <w:vAlign w:val="bottom"/>
          </w:tcPr>
          <w:p>
            <w:pPr>
              <w:rPr>
                <w:rFonts w:hint="default" w:ascii="Arial" w:hAnsi="Arial" w:cs="Arial"/>
                <w:i w:val="0"/>
                <w:color w:val="000000"/>
                <w:sz w:val="20"/>
                <w:szCs w:val="20"/>
                <w:u w:val="none"/>
              </w:rPr>
            </w:pPr>
          </w:p>
        </w:tc>
        <w:tc>
          <w:tcPr>
            <w:tcW w:w="1845" w:type="dxa"/>
            <w:shd w:val="clear"/>
            <w:vAlign w:val="bottom"/>
          </w:tcPr>
          <w:p>
            <w:pPr>
              <w:rPr>
                <w:rFonts w:hint="default" w:ascii="Arial" w:hAnsi="Arial" w:cs="Arial"/>
                <w:i w:val="0"/>
                <w:color w:val="000000"/>
                <w:sz w:val="20"/>
                <w:szCs w:val="20"/>
                <w:u w:val="none"/>
              </w:rPr>
            </w:pPr>
          </w:p>
        </w:tc>
        <w:tc>
          <w:tcPr>
            <w:tcW w:w="1725" w:type="dxa"/>
            <w:shd w:val="clear"/>
            <w:vAlign w:val="bottom"/>
          </w:tcPr>
          <w:p>
            <w:pPr>
              <w:rPr>
                <w:rFonts w:hint="default" w:ascii="Arial" w:hAnsi="Arial" w:cs="Arial"/>
                <w:i w:val="0"/>
                <w:color w:val="000000"/>
                <w:sz w:val="20"/>
                <w:szCs w:val="20"/>
                <w:u w:val="none"/>
              </w:rPr>
            </w:pPr>
          </w:p>
        </w:tc>
        <w:tc>
          <w:tcPr>
            <w:tcW w:w="1792" w:type="dxa"/>
            <w:shd w:val="clear"/>
            <w:vAlign w:val="bottom"/>
          </w:tcPr>
          <w:p>
            <w:pPr>
              <w:rPr>
                <w:rFonts w:hint="default" w:ascii="Arial" w:hAnsi="Arial" w:cs="Arial"/>
                <w:i w:val="0"/>
                <w:color w:val="000000"/>
                <w:sz w:val="20"/>
                <w:szCs w:val="20"/>
                <w:u w:val="none"/>
              </w:rPr>
            </w:pPr>
          </w:p>
        </w:tc>
        <w:tc>
          <w:tcPr>
            <w:tcW w:w="674"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0" w:type="dxa"/>
            <w:shd w:val="clear"/>
            <w:vAlign w:val="bottom"/>
          </w:tcPr>
          <w:p>
            <w:pPr>
              <w:rPr>
                <w:rFonts w:hint="default" w:ascii="Arial" w:hAnsi="Arial" w:cs="Arial"/>
                <w:i w:val="0"/>
                <w:color w:val="000000"/>
                <w:sz w:val="20"/>
                <w:szCs w:val="20"/>
                <w:u w:val="none"/>
              </w:rPr>
            </w:pPr>
          </w:p>
        </w:tc>
        <w:tc>
          <w:tcPr>
            <w:tcW w:w="1029"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6" w:hRule="atLeast"/>
        </w:trPr>
        <w:tc>
          <w:tcPr>
            <w:tcW w:w="4753" w:type="dxa"/>
            <w:gridSpan w:val="5"/>
            <w:shd w:val="clear"/>
            <w:vAlign w:val="bottom"/>
          </w:tcPr>
          <w:p>
            <w:pPr>
              <w:rPr>
                <w:rFonts w:hint="default" w:ascii="Arial" w:hAnsi="Arial" w:cs="Arial"/>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1792" w:type="dxa"/>
            <w:shd w:val="clear"/>
            <w:vAlign w:val="bottom"/>
          </w:tcPr>
          <w:p>
            <w:pPr>
              <w:rPr>
                <w:rFonts w:hint="default" w:ascii="Arial" w:hAnsi="Arial" w:cs="Arial"/>
                <w:i w:val="0"/>
                <w:color w:val="000000"/>
                <w:sz w:val="20"/>
                <w:szCs w:val="20"/>
                <w:u w:val="none"/>
              </w:rPr>
            </w:pPr>
          </w:p>
        </w:tc>
        <w:tc>
          <w:tcPr>
            <w:tcW w:w="674"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0" w:type="dxa"/>
            <w:shd w:val="clear"/>
            <w:vAlign w:val="bottom"/>
          </w:tcPr>
          <w:p>
            <w:pPr>
              <w:rPr>
                <w:rFonts w:hint="default" w:ascii="Arial" w:hAnsi="Arial" w:cs="Arial"/>
                <w:i w:val="0"/>
                <w:color w:val="000000"/>
                <w:sz w:val="20"/>
                <w:szCs w:val="20"/>
                <w:u w:val="none"/>
              </w:rPr>
            </w:pPr>
          </w:p>
        </w:tc>
        <w:tc>
          <w:tcPr>
            <w:tcW w:w="1029"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183"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184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72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本年收入合计</w:t>
            </w:r>
          </w:p>
        </w:tc>
        <w:tc>
          <w:tcPr>
            <w:tcW w:w="179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财政拨款收入</w:t>
            </w:r>
          </w:p>
        </w:tc>
        <w:tc>
          <w:tcPr>
            <w:tcW w:w="674"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上级补助收入</w:t>
            </w:r>
          </w:p>
        </w:tc>
        <w:tc>
          <w:tcPr>
            <w:tcW w:w="58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事业收入</w:t>
            </w:r>
          </w:p>
        </w:tc>
        <w:tc>
          <w:tcPr>
            <w:tcW w:w="586"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经营收入</w:t>
            </w:r>
          </w:p>
        </w:tc>
        <w:tc>
          <w:tcPr>
            <w:tcW w:w="58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附属单位上缴收入</w:t>
            </w:r>
          </w:p>
        </w:tc>
        <w:tc>
          <w:tcPr>
            <w:tcW w:w="1029"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18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9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18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9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183"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4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2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9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4"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6"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29"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343"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类</w:t>
            </w:r>
          </w:p>
        </w:tc>
        <w:tc>
          <w:tcPr>
            <w:tcW w:w="46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款</w:t>
            </w:r>
          </w:p>
        </w:tc>
        <w:tc>
          <w:tcPr>
            <w:tcW w:w="37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w:t>
            </w:r>
          </w:p>
        </w:tc>
        <w:tc>
          <w:tcPr>
            <w:tcW w:w="184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172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79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67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5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58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5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102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343"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6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7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4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1,716,973.30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1,632,973.30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84,000.00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一般公共服务支出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73,405.00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群众团体事务</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2012906</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工会事务</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20134</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统战事务</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79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2013401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79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文化旅游体育与传媒支出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1,447,312.02</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文化和旅游</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2070111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文化创作与保护</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2070199</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其他文化和旅游支出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20799</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其他文化旅游体育与传媒支出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79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2079999</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79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社会保障和就业支出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行政事业单位养老支出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2080505</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卫生健康支出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财政对基本医疗保险基金的补助</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4"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农林水支出</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扶贫</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183"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2130501</w:t>
            </w:r>
          </w:p>
        </w:tc>
        <w:tc>
          <w:tcPr>
            <w:tcW w:w="184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72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79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67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2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3" w:hRule="atLeast"/>
        </w:trPr>
        <w:tc>
          <w:tcPr>
            <w:tcW w:w="10000" w:type="dxa"/>
            <w:gridSpan w:val="11"/>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0000" w:type="dxa"/>
            <w:gridSpan w:val="11"/>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0000" w:type="dxa"/>
            <w:gridSpan w:val="11"/>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0000" w:type="dxa"/>
            <w:gridSpan w:val="11"/>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4.本表以“万元”为金额单位（保留两位小数）。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8" w:hRule="atLeast"/>
        </w:trPr>
        <w:tc>
          <w:tcPr>
            <w:tcW w:w="343" w:type="dxa"/>
            <w:shd w:val="clear"/>
            <w:vAlign w:val="bottom"/>
          </w:tcPr>
          <w:p>
            <w:pPr>
              <w:rPr>
                <w:rFonts w:hint="default" w:ascii="Arial" w:hAnsi="Arial" w:cs="Arial"/>
                <w:i w:val="0"/>
                <w:color w:val="000000"/>
                <w:sz w:val="20"/>
                <w:szCs w:val="20"/>
                <w:u w:val="none"/>
              </w:rPr>
            </w:pPr>
          </w:p>
        </w:tc>
        <w:tc>
          <w:tcPr>
            <w:tcW w:w="465" w:type="dxa"/>
            <w:shd w:val="clear"/>
            <w:vAlign w:val="bottom"/>
          </w:tcPr>
          <w:p>
            <w:pPr>
              <w:rPr>
                <w:rFonts w:hint="default" w:ascii="Arial" w:hAnsi="Arial" w:cs="Arial"/>
                <w:i w:val="0"/>
                <w:color w:val="000000"/>
                <w:sz w:val="20"/>
                <w:szCs w:val="20"/>
                <w:u w:val="none"/>
              </w:rPr>
            </w:pPr>
          </w:p>
        </w:tc>
        <w:tc>
          <w:tcPr>
            <w:tcW w:w="375" w:type="dxa"/>
            <w:shd w:val="clear"/>
            <w:vAlign w:val="bottom"/>
          </w:tcPr>
          <w:p>
            <w:pPr>
              <w:rPr>
                <w:rFonts w:hint="default" w:ascii="Arial" w:hAnsi="Arial" w:cs="Arial"/>
                <w:i w:val="0"/>
                <w:color w:val="000000"/>
                <w:sz w:val="20"/>
                <w:szCs w:val="20"/>
                <w:u w:val="none"/>
              </w:rPr>
            </w:pPr>
          </w:p>
        </w:tc>
        <w:tc>
          <w:tcPr>
            <w:tcW w:w="1845" w:type="dxa"/>
            <w:shd w:val="clear"/>
            <w:vAlign w:val="bottom"/>
          </w:tcPr>
          <w:p>
            <w:pPr>
              <w:rPr>
                <w:rFonts w:hint="default" w:ascii="Arial" w:hAnsi="Arial" w:cs="Arial"/>
                <w:i w:val="0"/>
                <w:color w:val="000000"/>
                <w:sz w:val="20"/>
                <w:szCs w:val="20"/>
                <w:u w:val="none"/>
              </w:rPr>
            </w:pPr>
          </w:p>
        </w:tc>
        <w:tc>
          <w:tcPr>
            <w:tcW w:w="1725" w:type="dxa"/>
            <w:shd w:val="clear"/>
            <w:vAlign w:val="bottom"/>
          </w:tcPr>
          <w:p>
            <w:pPr>
              <w:rPr>
                <w:rFonts w:hint="default" w:ascii="Arial" w:hAnsi="Arial" w:cs="Arial"/>
                <w:i w:val="0"/>
                <w:color w:val="000000"/>
                <w:sz w:val="20"/>
                <w:szCs w:val="20"/>
                <w:u w:val="none"/>
              </w:rPr>
            </w:pPr>
          </w:p>
        </w:tc>
        <w:tc>
          <w:tcPr>
            <w:tcW w:w="1792" w:type="dxa"/>
            <w:shd w:val="clear"/>
            <w:vAlign w:val="bottom"/>
          </w:tcPr>
          <w:p>
            <w:pPr>
              <w:rPr>
                <w:rFonts w:hint="default" w:ascii="Arial" w:hAnsi="Arial" w:cs="Arial"/>
                <w:i w:val="0"/>
                <w:color w:val="000000"/>
                <w:sz w:val="20"/>
                <w:szCs w:val="20"/>
                <w:u w:val="none"/>
              </w:rPr>
            </w:pPr>
          </w:p>
        </w:tc>
        <w:tc>
          <w:tcPr>
            <w:tcW w:w="674"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0" w:type="dxa"/>
            <w:shd w:val="clear"/>
            <w:vAlign w:val="bottom"/>
          </w:tcPr>
          <w:p>
            <w:pPr>
              <w:rPr>
                <w:rFonts w:hint="default" w:ascii="Arial" w:hAnsi="Arial" w:cs="Arial"/>
                <w:i w:val="0"/>
                <w:color w:val="000000"/>
                <w:sz w:val="20"/>
                <w:szCs w:val="20"/>
                <w:u w:val="none"/>
              </w:rPr>
            </w:pPr>
          </w:p>
        </w:tc>
        <w:tc>
          <w:tcPr>
            <w:tcW w:w="1029"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8" w:hRule="atLeast"/>
        </w:trPr>
        <w:tc>
          <w:tcPr>
            <w:tcW w:w="343" w:type="dxa"/>
            <w:shd w:val="clear"/>
            <w:vAlign w:val="bottom"/>
          </w:tcPr>
          <w:p>
            <w:pPr>
              <w:rPr>
                <w:rFonts w:hint="default" w:ascii="Arial" w:hAnsi="Arial" w:cs="Arial"/>
                <w:i w:val="0"/>
                <w:color w:val="000000"/>
                <w:sz w:val="20"/>
                <w:szCs w:val="20"/>
                <w:u w:val="none"/>
              </w:rPr>
            </w:pPr>
          </w:p>
        </w:tc>
        <w:tc>
          <w:tcPr>
            <w:tcW w:w="465" w:type="dxa"/>
            <w:shd w:val="clear"/>
            <w:vAlign w:val="bottom"/>
          </w:tcPr>
          <w:p>
            <w:pPr>
              <w:rPr>
                <w:rFonts w:hint="default" w:ascii="Arial" w:hAnsi="Arial" w:cs="Arial"/>
                <w:i w:val="0"/>
                <w:color w:val="000000"/>
                <w:sz w:val="20"/>
                <w:szCs w:val="20"/>
                <w:u w:val="none"/>
              </w:rPr>
            </w:pPr>
          </w:p>
        </w:tc>
        <w:tc>
          <w:tcPr>
            <w:tcW w:w="375" w:type="dxa"/>
            <w:shd w:val="clear"/>
            <w:vAlign w:val="bottom"/>
          </w:tcPr>
          <w:p>
            <w:pPr>
              <w:rPr>
                <w:rFonts w:hint="default" w:ascii="Arial" w:hAnsi="Arial" w:cs="Arial"/>
                <w:i w:val="0"/>
                <w:color w:val="000000"/>
                <w:sz w:val="20"/>
                <w:szCs w:val="20"/>
                <w:u w:val="none"/>
              </w:rPr>
            </w:pPr>
          </w:p>
        </w:tc>
        <w:tc>
          <w:tcPr>
            <w:tcW w:w="1845" w:type="dxa"/>
            <w:shd w:val="clear"/>
            <w:vAlign w:val="bottom"/>
          </w:tcPr>
          <w:p>
            <w:pPr>
              <w:rPr>
                <w:rFonts w:hint="default" w:ascii="Arial" w:hAnsi="Arial" w:cs="Arial"/>
                <w:i w:val="0"/>
                <w:color w:val="000000"/>
                <w:sz w:val="20"/>
                <w:szCs w:val="20"/>
                <w:u w:val="none"/>
              </w:rPr>
            </w:pPr>
          </w:p>
        </w:tc>
        <w:tc>
          <w:tcPr>
            <w:tcW w:w="1725" w:type="dxa"/>
            <w:shd w:val="clear"/>
            <w:vAlign w:val="bottom"/>
          </w:tcPr>
          <w:p>
            <w:pPr>
              <w:rPr>
                <w:rFonts w:hint="default" w:ascii="Arial" w:hAnsi="Arial" w:cs="Arial"/>
                <w:i w:val="0"/>
                <w:color w:val="000000"/>
                <w:sz w:val="20"/>
                <w:szCs w:val="20"/>
                <w:u w:val="none"/>
              </w:rPr>
            </w:pPr>
          </w:p>
        </w:tc>
        <w:tc>
          <w:tcPr>
            <w:tcW w:w="1792" w:type="dxa"/>
            <w:shd w:val="clear"/>
            <w:vAlign w:val="bottom"/>
          </w:tcPr>
          <w:p>
            <w:pPr>
              <w:rPr>
                <w:rFonts w:hint="default" w:ascii="Arial" w:hAnsi="Arial" w:cs="Arial"/>
                <w:i w:val="0"/>
                <w:color w:val="000000"/>
                <w:sz w:val="20"/>
                <w:szCs w:val="20"/>
                <w:u w:val="none"/>
              </w:rPr>
            </w:pPr>
          </w:p>
        </w:tc>
        <w:tc>
          <w:tcPr>
            <w:tcW w:w="674"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—2.%d —</w:t>
            </w:r>
          </w:p>
        </w:tc>
        <w:tc>
          <w:tcPr>
            <w:tcW w:w="586" w:type="dxa"/>
            <w:shd w:val="clear"/>
            <w:vAlign w:val="bottom"/>
          </w:tcPr>
          <w:p>
            <w:pPr>
              <w:rPr>
                <w:rFonts w:hint="default" w:ascii="Arial" w:hAnsi="Arial" w:cs="Arial"/>
                <w:i w:val="0"/>
                <w:color w:val="000000"/>
                <w:sz w:val="20"/>
                <w:szCs w:val="20"/>
                <w:u w:val="none"/>
              </w:rPr>
            </w:pPr>
          </w:p>
        </w:tc>
        <w:tc>
          <w:tcPr>
            <w:tcW w:w="586" w:type="dxa"/>
            <w:shd w:val="clear"/>
            <w:vAlign w:val="bottom"/>
          </w:tcPr>
          <w:p>
            <w:pPr>
              <w:rPr>
                <w:rFonts w:hint="default" w:ascii="Arial" w:hAnsi="Arial" w:cs="Arial"/>
                <w:i w:val="0"/>
                <w:color w:val="000000"/>
                <w:sz w:val="20"/>
                <w:szCs w:val="20"/>
                <w:u w:val="none"/>
              </w:rPr>
            </w:pPr>
          </w:p>
        </w:tc>
        <w:tc>
          <w:tcPr>
            <w:tcW w:w="580" w:type="dxa"/>
            <w:shd w:val="clear"/>
            <w:vAlign w:val="bottom"/>
          </w:tcPr>
          <w:p>
            <w:pPr>
              <w:rPr>
                <w:rFonts w:hint="default" w:ascii="Arial" w:hAnsi="Arial" w:cs="Arial"/>
                <w:i w:val="0"/>
                <w:color w:val="000000"/>
                <w:sz w:val="20"/>
                <w:szCs w:val="20"/>
                <w:u w:val="none"/>
              </w:rPr>
            </w:pPr>
          </w:p>
        </w:tc>
        <w:tc>
          <w:tcPr>
            <w:tcW w:w="1029" w:type="dxa"/>
            <w:shd w:val="clear"/>
            <w:vAlign w:val="bottom"/>
          </w:tcPr>
          <w:p>
            <w:pPr>
              <w:rPr>
                <w:rFonts w:hint="default" w:ascii="Arial" w:hAnsi="Arial" w:cs="Arial"/>
                <w:i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tbl>
      <w:tblPr>
        <w:tblW w:w="100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5"/>
        <w:gridCol w:w="672"/>
        <w:gridCol w:w="673"/>
        <w:gridCol w:w="1638"/>
        <w:gridCol w:w="1680"/>
        <w:gridCol w:w="1530"/>
        <w:gridCol w:w="1305"/>
        <w:gridCol w:w="795"/>
        <w:gridCol w:w="615"/>
        <w:gridCol w:w="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8" w:hRule="atLeast"/>
        </w:trPr>
        <w:tc>
          <w:tcPr>
            <w:tcW w:w="10040" w:type="dxa"/>
            <w:gridSpan w:val="10"/>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0" w:hRule="atLeast"/>
        </w:trPr>
        <w:tc>
          <w:tcPr>
            <w:tcW w:w="255" w:type="dxa"/>
            <w:shd w:val="clear"/>
            <w:vAlign w:val="bottom"/>
          </w:tcPr>
          <w:p>
            <w:pPr>
              <w:rPr>
                <w:rFonts w:hint="eastAsia" w:ascii="Arial" w:hAnsi="Arial" w:cs="Arial"/>
                <w:i w:val="0"/>
                <w:color w:val="000000"/>
                <w:sz w:val="20"/>
                <w:szCs w:val="20"/>
                <w:u w:val="none"/>
              </w:rPr>
            </w:pPr>
          </w:p>
        </w:tc>
        <w:tc>
          <w:tcPr>
            <w:tcW w:w="672" w:type="dxa"/>
            <w:shd w:val="clear"/>
            <w:vAlign w:val="bottom"/>
          </w:tcPr>
          <w:p>
            <w:pPr>
              <w:rPr>
                <w:rFonts w:hint="default" w:ascii="Arial" w:hAnsi="Arial" w:cs="Arial"/>
                <w:i w:val="0"/>
                <w:color w:val="000000"/>
                <w:sz w:val="20"/>
                <w:szCs w:val="20"/>
                <w:u w:val="none"/>
              </w:rPr>
            </w:pPr>
          </w:p>
        </w:tc>
        <w:tc>
          <w:tcPr>
            <w:tcW w:w="673" w:type="dxa"/>
            <w:shd w:val="clear"/>
            <w:vAlign w:val="bottom"/>
          </w:tcPr>
          <w:p>
            <w:pPr>
              <w:rPr>
                <w:rFonts w:hint="default" w:ascii="Arial" w:hAnsi="Arial" w:cs="Arial"/>
                <w:i w:val="0"/>
                <w:color w:val="000000"/>
                <w:sz w:val="20"/>
                <w:szCs w:val="20"/>
                <w:u w:val="none"/>
              </w:rPr>
            </w:pPr>
          </w:p>
        </w:tc>
        <w:tc>
          <w:tcPr>
            <w:tcW w:w="1638" w:type="dxa"/>
            <w:shd w:val="clear"/>
            <w:vAlign w:val="bottom"/>
          </w:tcPr>
          <w:p>
            <w:pPr>
              <w:rPr>
                <w:rFonts w:hint="default" w:ascii="Arial" w:hAnsi="Arial" w:cs="Arial"/>
                <w:i w:val="0"/>
                <w:color w:val="000000"/>
                <w:sz w:val="20"/>
                <w:szCs w:val="20"/>
                <w:u w:val="none"/>
              </w:rPr>
            </w:pPr>
          </w:p>
        </w:tc>
        <w:tc>
          <w:tcPr>
            <w:tcW w:w="1680" w:type="dxa"/>
            <w:shd w:val="clear"/>
            <w:vAlign w:val="bottom"/>
          </w:tcPr>
          <w:p>
            <w:pPr>
              <w:rPr>
                <w:rFonts w:hint="default" w:ascii="Arial" w:hAnsi="Arial" w:cs="Arial"/>
                <w:i w:val="0"/>
                <w:color w:val="000000"/>
                <w:sz w:val="20"/>
                <w:szCs w:val="20"/>
                <w:u w:val="none"/>
              </w:rPr>
            </w:pPr>
          </w:p>
        </w:tc>
        <w:tc>
          <w:tcPr>
            <w:tcW w:w="1530" w:type="dxa"/>
            <w:shd w:val="clear"/>
            <w:vAlign w:val="bottom"/>
          </w:tcPr>
          <w:p>
            <w:pPr>
              <w:rPr>
                <w:rFonts w:hint="default" w:ascii="Arial" w:hAnsi="Arial" w:cs="Arial"/>
                <w:i w:val="0"/>
                <w:color w:val="000000"/>
                <w:sz w:val="20"/>
                <w:szCs w:val="20"/>
                <w:u w:val="none"/>
              </w:rPr>
            </w:pPr>
          </w:p>
        </w:tc>
        <w:tc>
          <w:tcPr>
            <w:tcW w:w="1305" w:type="dxa"/>
            <w:shd w:val="clear"/>
            <w:vAlign w:val="bottom"/>
          </w:tcPr>
          <w:p>
            <w:pPr>
              <w:rPr>
                <w:rFonts w:hint="default" w:ascii="Arial" w:hAnsi="Arial" w:cs="Arial"/>
                <w:i w:val="0"/>
                <w:color w:val="000000"/>
                <w:sz w:val="20"/>
                <w:szCs w:val="20"/>
                <w:u w:val="none"/>
              </w:rPr>
            </w:pPr>
          </w:p>
        </w:tc>
        <w:tc>
          <w:tcPr>
            <w:tcW w:w="2287" w:type="dxa"/>
            <w:gridSpan w:val="3"/>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7753" w:type="dxa"/>
            <w:gridSpan w:val="7"/>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795" w:type="dxa"/>
            <w:shd w:val="clear"/>
            <w:vAlign w:val="bottom"/>
          </w:tcPr>
          <w:p>
            <w:pPr>
              <w:rPr>
                <w:rFonts w:hint="default" w:ascii="Arial" w:hAnsi="Arial" w:cs="Arial"/>
                <w:i w:val="0"/>
                <w:color w:val="000000"/>
                <w:sz w:val="20"/>
                <w:szCs w:val="20"/>
                <w:u w:val="none"/>
              </w:rPr>
            </w:pPr>
          </w:p>
        </w:tc>
        <w:tc>
          <w:tcPr>
            <w:tcW w:w="615" w:type="dxa"/>
            <w:shd w:val="clear"/>
            <w:vAlign w:val="bottom"/>
          </w:tcPr>
          <w:p>
            <w:pPr>
              <w:rPr>
                <w:rFonts w:hint="default" w:ascii="Arial" w:hAnsi="Arial" w:cs="Arial"/>
                <w:i w:val="0"/>
                <w:color w:val="000000"/>
                <w:sz w:val="20"/>
                <w:szCs w:val="20"/>
                <w:u w:val="none"/>
              </w:rPr>
            </w:pPr>
          </w:p>
        </w:tc>
        <w:tc>
          <w:tcPr>
            <w:tcW w:w="877"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160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1638"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68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本年支出合计</w:t>
            </w:r>
          </w:p>
        </w:tc>
        <w:tc>
          <w:tcPr>
            <w:tcW w:w="153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w:t>
            </w:r>
          </w:p>
        </w:tc>
        <w:tc>
          <w:tcPr>
            <w:tcW w:w="130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w:t>
            </w:r>
          </w:p>
        </w:tc>
        <w:tc>
          <w:tcPr>
            <w:tcW w:w="79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上缴上级支出</w:t>
            </w:r>
          </w:p>
        </w:tc>
        <w:tc>
          <w:tcPr>
            <w:tcW w:w="61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经营支出</w:t>
            </w:r>
          </w:p>
        </w:tc>
        <w:tc>
          <w:tcPr>
            <w:tcW w:w="877"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160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160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60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38"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3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0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9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77"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255"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类</w:t>
            </w:r>
          </w:p>
        </w:tc>
        <w:tc>
          <w:tcPr>
            <w:tcW w:w="67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款</w:t>
            </w:r>
          </w:p>
        </w:tc>
        <w:tc>
          <w:tcPr>
            <w:tcW w:w="67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w:t>
            </w:r>
          </w:p>
        </w:tc>
        <w:tc>
          <w:tcPr>
            <w:tcW w:w="163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16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53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30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7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61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8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255"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7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3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1,716,973.30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1,375,795.30</w:t>
            </w:r>
          </w:p>
        </w:tc>
        <w:tc>
          <w:tcPr>
            <w:tcW w:w="130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341,178.00</w:t>
            </w: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一般公共服务支出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73,405.00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73,405.00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群众团体事务</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2012906</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工会事务</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20134</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统战事务</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2013401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64,000.00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文化旅游体育与传媒支出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1,447,312.02</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1,106,134.02</w:t>
            </w:r>
          </w:p>
        </w:tc>
        <w:tc>
          <w:tcPr>
            <w:tcW w:w="130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341,178.00</w:t>
            </w: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文化和旅游</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30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341,178.00</w:t>
            </w: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2070111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文化创作与保护</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c>
          <w:tcPr>
            <w:tcW w:w="153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0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2070199</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其他文化和旅游支出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c>
          <w:tcPr>
            <w:tcW w:w="1530"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0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20799</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其他文化旅游体育与传媒支出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2079999</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其他文化旅游体育与传媒支出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20,000.00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社会保障和就业支出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行政事业单位养老支出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2080505</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卫生健康支出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财政对基本医疗保险基金的补助</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6"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农林水支出</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扶贫</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600"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2130501</w:t>
            </w:r>
          </w:p>
        </w:tc>
        <w:tc>
          <w:tcPr>
            <w:tcW w:w="1638"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68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53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0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61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87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0040" w:type="dxa"/>
            <w:gridSpan w:val="10"/>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注：1.本表依据《支出决算表》（财决04表）进行批复。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10040" w:type="dxa"/>
            <w:gridSpan w:val="10"/>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10040" w:type="dxa"/>
            <w:gridSpan w:val="10"/>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9" w:hRule="atLeast"/>
        </w:trPr>
        <w:tc>
          <w:tcPr>
            <w:tcW w:w="10040" w:type="dxa"/>
            <w:gridSpan w:val="10"/>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4.本表以“万元”为金额单位（保留两位小数）。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255" w:type="dxa"/>
            <w:shd w:val="clear"/>
            <w:vAlign w:val="bottom"/>
          </w:tcPr>
          <w:p>
            <w:pPr>
              <w:rPr>
                <w:rFonts w:hint="default" w:ascii="Arial" w:hAnsi="Arial" w:cs="Arial"/>
                <w:i w:val="0"/>
                <w:color w:val="000000"/>
                <w:sz w:val="20"/>
                <w:szCs w:val="20"/>
                <w:u w:val="none"/>
              </w:rPr>
            </w:pPr>
          </w:p>
        </w:tc>
        <w:tc>
          <w:tcPr>
            <w:tcW w:w="672" w:type="dxa"/>
            <w:shd w:val="clear"/>
            <w:vAlign w:val="bottom"/>
          </w:tcPr>
          <w:p>
            <w:pPr>
              <w:rPr>
                <w:rFonts w:hint="default" w:ascii="Arial" w:hAnsi="Arial" w:cs="Arial"/>
                <w:i w:val="0"/>
                <w:color w:val="000000"/>
                <w:sz w:val="20"/>
                <w:szCs w:val="20"/>
                <w:u w:val="none"/>
              </w:rPr>
            </w:pPr>
          </w:p>
        </w:tc>
        <w:tc>
          <w:tcPr>
            <w:tcW w:w="673" w:type="dxa"/>
            <w:shd w:val="clear"/>
            <w:vAlign w:val="bottom"/>
          </w:tcPr>
          <w:p>
            <w:pPr>
              <w:rPr>
                <w:rFonts w:hint="default" w:ascii="Arial" w:hAnsi="Arial" w:cs="Arial"/>
                <w:i w:val="0"/>
                <w:color w:val="000000"/>
                <w:sz w:val="20"/>
                <w:szCs w:val="20"/>
                <w:u w:val="none"/>
              </w:rPr>
            </w:pPr>
          </w:p>
        </w:tc>
        <w:tc>
          <w:tcPr>
            <w:tcW w:w="1638" w:type="dxa"/>
            <w:shd w:val="clear"/>
            <w:vAlign w:val="bottom"/>
          </w:tcPr>
          <w:p>
            <w:pPr>
              <w:rPr>
                <w:rFonts w:hint="default" w:ascii="Arial" w:hAnsi="Arial" w:cs="Arial"/>
                <w:i w:val="0"/>
                <w:color w:val="000000"/>
                <w:sz w:val="20"/>
                <w:szCs w:val="20"/>
                <w:u w:val="none"/>
              </w:rPr>
            </w:pPr>
          </w:p>
        </w:tc>
        <w:tc>
          <w:tcPr>
            <w:tcW w:w="1680" w:type="dxa"/>
            <w:shd w:val="clear"/>
            <w:vAlign w:val="bottom"/>
          </w:tcPr>
          <w:p>
            <w:pPr>
              <w:rPr>
                <w:rFonts w:hint="default" w:ascii="Arial" w:hAnsi="Arial" w:cs="Arial"/>
                <w:i w:val="0"/>
                <w:color w:val="000000"/>
                <w:sz w:val="20"/>
                <w:szCs w:val="20"/>
                <w:u w:val="none"/>
              </w:rPr>
            </w:pPr>
          </w:p>
        </w:tc>
        <w:tc>
          <w:tcPr>
            <w:tcW w:w="1530" w:type="dxa"/>
            <w:shd w:val="clear"/>
            <w:vAlign w:val="bottom"/>
          </w:tcPr>
          <w:p>
            <w:pPr>
              <w:rPr>
                <w:rFonts w:hint="default" w:ascii="Arial" w:hAnsi="Arial" w:cs="Arial"/>
                <w:i w:val="0"/>
                <w:color w:val="000000"/>
                <w:sz w:val="20"/>
                <w:szCs w:val="20"/>
                <w:u w:val="none"/>
              </w:rPr>
            </w:pPr>
          </w:p>
        </w:tc>
        <w:tc>
          <w:tcPr>
            <w:tcW w:w="1305" w:type="dxa"/>
            <w:shd w:val="clear"/>
            <w:vAlign w:val="bottom"/>
          </w:tcPr>
          <w:p>
            <w:pPr>
              <w:rPr>
                <w:rFonts w:hint="default" w:ascii="Arial" w:hAnsi="Arial" w:cs="Arial"/>
                <w:i w:val="0"/>
                <w:color w:val="000000"/>
                <w:sz w:val="20"/>
                <w:szCs w:val="20"/>
                <w:u w:val="none"/>
              </w:rPr>
            </w:pPr>
          </w:p>
        </w:tc>
        <w:tc>
          <w:tcPr>
            <w:tcW w:w="795" w:type="dxa"/>
            <w:shd w:val="clear"/>
            <w:vAlign w:val="bottom"/>
          </w:tcPr>
          <w:p>
            <w:pPr>
              <w:rPr>
                <w:rFonts w:hint="default" w:ascii="Arial" w:hAnsi="Arial" w:cs="Arial"/>
                <w:i w:val="0"/>
                <w:color w:val="000000"/>
                <w:sz w:val="20"/>
                <w:szCs w:val="20"/>
                <w:u w:val="none"/>
              </w:rPr>
            </w:pPr>
          </w:p>
        </w:tc>
        <w:tc>
          <w:tcPr>
            <w:tcW w:w="615" w:type="dxa"/>
            <w:shd w:val="clear"/>
            <w:vAlign w:val="bottom"/>
          </w:tcPr>
          <w:p>
            <w:pPr>
              <w:rPr>
                <w:rFonts w:hint="default" w:ascii="Arial" w:hAnsi="Arial" w:cs="Arial"/>
                <w:i w:val="0"/>
                <w:color w:val="000000"/>
                <w:sz w:val="20"/>
                <w:szCs w:val="20"/>
                <w:u w:val="none"/>
              </w:rPr>
            </w:pPr>
          </w:p>
        </w:tc>
        <w:tc>
          <w:tcPr>
            <w:tcW w:w="877"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4" w:hRule="atLeast"/>
        </w:trPr>
        <w:tc>
          <w:tcPr>
            <w:tcW w:w="255" w:type="dxa"/>
            <w:shd w:val="clear"/>
            <w:vAlign w:val="bottom"/>
          </w:tcPr>
          <w:p>
            <w:pPr>
              <w:rPr>
                <w:rFonts w:hint="default" w:ascii="Arial" w:hAnsi="Arial" w:cs="Arial"/>
                <w:i w:val="0"/>
                <w:color w:val="000000"/>
                <w:sz w:val="20"/>
                <w:szCs w:val="20"/>
                <w:u w:val="none"/>
              </w:rPr>
            </w:pPr>
          </w:p>
        </w:tc>
        <w:tc>
          <w:tcPr>
            <w:tcW w:w="672" w:type="dxa"/>
            <w:shd w:val="clear"/>
            <w:vAlign w:val="bottom"/>
          </w:tcPr>
          <w:p>
            <w:pPr>
              <w:rPr>
                <w:rFonts w:hint="default" w:ascii="Arial" w:hAnsi="Arial" w:cs="Arial"/>
                <w:i w:val="0"/>
                <w:color w:val="000000"/>
                <w:sz w:val="20"/>
                <w:szCs w:val="20"/>
                <w:u w:val="none"/>
              </w:rPr>
            </w:pPr>
          </w:p>
        </w:tc>
        <w:tc>
          <w:tcPr>
            <w:tcW w:w="673" w:type="dxa"/>
            <w:shd w:val="clear"/>
            <w:vAlign w:val="bottom"/>
          </w:tcPr>
          <w:p>
            <w:pPr>
              <w:rPr>
                <w:rFonts w:hint="default" w:ascii="Arial" w:hAnsi="Arial" w:cs="Arial"/>
                <w:i w:val="0"/>
                <w:color w:val="000000"/>
                <w:sz w:val="20"/>
                <w:szCs w:val="20"/>
                <w:u w:val="none"/>
              </w:rPr>
            </w:pPr>
          </w:p>
        </w:tc>
        <w:tc>
          <w:tcPr>
            <w:tcW w:w="1638" w:type="dxa"/>
            <w:shd w:val="clear"/>
            <w:vAlign w:val="bottom"/>
          </w:tcPr>
          <w:p>
            <w:pPr>
              <w:rPr>
                <w:rFonts w:hint="default" w:ascii="Arial" w:hAnsi="Arial" w:cs="Arial"/>
                <w:i w:val="0"/>
                <w:color w:val="000000"/>
                <w:sz w:val="20"/>
                <w:szCs w:val="20"/>
                <w:u w:val="none"/>
              </w:rPr>
            </w:pPr>
          </w:p>
        </w:tc>
        <w:tc>
          <w:tcPr>
            <w:tcW w:w="1680" w:type="dxa"/>
            <w:shd w:val="clear"/>
            <w:vAlign w:val="bottom"/>
          </w:tcPr>
          <w:p>
            <w:pPr>
              <w:rPr>
                <w:rFonts w:hint="default" w:ascii="Arial" w:hAnsi="Arial" w:cs="Arial"/>
                <w:i w:val="0"/>
                <w:color w:val="000000"/>
                <w:sz w:val="20"/>
                <w:szCs w:val="20"/>
                <w:u w:val="none"/>
              </w:rPr>
            </w:pPr>
          </w:p>
        </w:tc>
        <w:tc>
          <w:tcPr>
            <w:tcW w:w="1530"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 3.%d —</w:t>
            </w:r>
          </w:p>
        </w:tc>
        <w:tc>
          <w:tcPr>
            <w:tcW w:w="1305" w:type="dxa"/>
            <w:shd w:val="clear"/>
            <w:vAlign w:val="bottom"/>
          </w:tcPr>
          <w:p>
            <w:pPr>
              <w:rPr>
                <w:rFonts w:hint="default" w:ascii="Arial" w:hAnsi="Arial" w:cs="Arial"/>
                <w:i w:val="0"/>
                <w:color w:val="000000"/>
                <w:sz w:val="20"/>
                <w:szCs w:val="20"/>
                <w:u w:val="none"/>
              </w:rPr>
            </w:pPr>
          </w:p>
        </w:tc>
        <w:tc>
          <w:tcPr>
            <w:tcW w:w="795" w:type="dxa"/>
            <w:shd w:val="clear"/>
            <w:vAlign w:val="bottom"/>
          </w:tcPr>
          <w:p>
            <w:pPr>
              <w:rPr>
                <w:rFonts w:hint="default" w:ascii="Arial" w:hAnsi="Arial" w:cs="Arial"/>
                <w:i w:val="0"/>
                <w:color w:val="000000"/>
                <w:sz w:val="20"/>
                <w:szCs w:val="20"/>
                <w:u w:val="none"/>
              </w:rPr>
            </w:pPr>
          </w:p>
        </w:tc>
        <w:tc>
          <w:tcPr>
            <w:tcW w:w="615" w:type="dxa"/>
            <w:shd w:val="clear"/>
            <w:vAlign w:val="bottom"/>
          </w:tcPr>
          <w:p>
            <w:pPr>
              <w:rPr>
                <w:rFonts w:hint="default" w:ascii="Arial" w:hAnsi="Arial" w:cs="Arial"/>
                <w:i w:val="0"/>
                <w:color w:val="000000"/>
                <w:sz w:val="20"/>
                <w:szCs w:val="20"/>
                <w:u w:val="none"/>
              </w:rPr>
            </w:pPr>
          </w:p>
        </w:tc>
        <w:tc>
          <w:tcPr>
            <w:tcW w:w="877" w:type="dxa"/>
            <w:shd w:val="clear"/>
            <w:vAlign w:val="bottom"/>
          </w:tcPr>
          <w:p>
            <w:pPr>
              <w:rPr>
                <w:rFonts w:hint="default" w:ascii="Arial" w:hAnsi="Arial" w:cs="Arial"/>
                <w:i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tbl>
      <w:tblPr>
        <w:tblW w:w="10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335"/>
        <w:gridCol w:w="277"/>
        <w:gridCol w:w="1544"/>
        <w:gridCol w:w="1480"/>
        <w:gridCol w:w="278"/>
        <w:gridCol w:w="1352"/>
        <w:gridCol w:w="1352"/>
        <w:gridCol w:w="1283"/>
        <w:gridCol w:w="10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9" w:hRule="atLeast"/>
        </w:trPr>
        <w:tc>
          <w:tcPr>
            <w:tcW w:w="10000" w:type="dxa"/>
            <w:gridSpan w:val="9"/>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335" w:type="dxa"/>
            <w:shd w:val="clear"/>
            <w:vAlign w:val="bottom"/>
          </w:tcPr>
          <w:p>
            <w:pPr>
              <w:rPr>
                <w:rFonts w:hint="eastAsia" w:ascii="Arial" w:hAnsi="Arial" w:cs="Arial"/>
                <w:i w:val="0"/>
                <w:color w:val="000000"/>
                <w:sz w:val="20"/>
                <w:szCs w:val="20"/>
                <w:u w:val="none"/>
              </w:rPr>
            </w:pPr>
          </w:p>
        </w:tc>
        <w:tc>
          <w:tcPr>
            <w:tcW w:w="277" w:type="dxa"/>
            <w:shd w:val="clear"/>
            <w:vAlign w:val="bottom"/>
          </w:tcPr>
          <w:p>
            <w:pPr>
              <w:rPr>
                <w:rFonts w:hint="default" w:ascii="Arial" w:hAnsi="Arial" w:cs="Arial"/>
                <w:i w:val="0"/>
                <w:color w:val="000000"/>
                <w:sz w:val="20"/>
                <w:szCs w:val="20"/>
                <w:u w:val="none"/>
              </w:rPr>
            </w:pPr>
          </w:p>
        </w:tc>
        <w:tc>
          <w:tcPr>
            <w:tcW w:w="1544" w:type="dxa"/>
            <w:shd w:val="clear"/>
            <w:vAlign w:val="bottom"/>
          </w:tcPr>
          <w:p>
            <w:pPr>
              <w:rPr>
                <w:rFonts w:hint="default" w:ascii="Arial" w:hAnsi="Arial" w:cs="Arial"/>
                <w:i w:val="0"/>
                <w:color w:val="000000"/>
                <w:sz w:val="20"/>
                <w:szCs w:val="20"/>
                <w:u w:val="none"/>
              </w:rPr>
            </w:pPr>
          </w:p>
        </w:tc>
        <w:tc>
          <w:tcPr>
            <w:tcW w:w="1480" w:type="dxa"/>
            <w:shd w:val="clear"/>
            <w:vAlign w:val="bottom"/>
          </w:tcPr>
          <w:p>
            <w:pPr>
              <w:rPr>
                <w:rFonts w:hint="default" w:ascii="Arial" w:hAnsi="Arial" w:cs="Arial"/>
                <w:i w:val="0"/>
                <w:color w:val="000000"/>
                <w:sz w:val="20"/>
                <w:szCs w:val="20"/>
                <w:u w:val="none"/>
              </w:rPr>
            </w:pPr>
          </w:p>
        </w:tc>
        <w:tc>
          <w:tcPr>
            <w:tcW w:w="278"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283" w:type="dxa"/>
            <w:shd w:val="clear"/>
            <w:vAlign w:val="bottom"/>
          </w:tcPr>
          <w:p>
            <w:pPr>
              <w:rPr>
                <w:rFonts w:hint="default" w:ascii="Arial" w:hAnsi="Arial" w:cs="Arial"/>
                <w:i w:val="0"/>
                <w:color w:val="000000"/>
                <w:sz w:val="20"/>
                <w:szCs w:val="20"/>
                <w:u w:val="none"/>
              </w:rPr>
            </w:pPr>
          </w:p>
        </w:tc>
        <w:tc>
          <w:tcPr>
            <w:tcW w:w="1099"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266" w:type="dxa"/>
            <w:gridSpan w:val="6"/>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1352" w:type="dxa"/>
            <w:shd w:val="clear"/>
            <w:vAlign w:val="bottom"/>
          </w:tcPr>
          <w:p>
            <w:pPr>
              <w:rPr>
                <w:rFonts w:hint="default" w:ascii="Arial" w:hAnsi="Arial" w:cs="Arial"/>
                <w:i w:val="0"/>
                <w:color w:val="000000"/>
                <w:sz w:val="20"/>
                <w:szCs w:val="20"/>
                <w:u w:val="none"/>
              </w:rPr>
            </w:pPr>
          </w:p>
        </w:tc>
        <w:tc>
          <w:tcPr>
            <w:tcW w:w="1283" w:type="dxa"/>
            <w:shd w:val="clear"/>
            <w:vAlign w:val="bottom"/>
          </w:tcPr>
          <w:p>
            <w:pPr>
              <w:rPr>
                <w:rFonts w:hint="default" w:ascii="Arial" w:hAnsi="Arial" w:cs="Arial"/>
                <w:i w:val="0"/>
                <w:color w:val="000000"/>
                <w:sz w:val="20"/>
                <w:szCs w:val="20"/>
                <w:u w:val="none"/>
              </w:rPr>
            </w:pPr>
          </w:p>
        </w:tc>
        <w:tc>
          <w:tcPr>
            <w:tcW w:w="1099"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3156"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收     入</w:t>
            </w:r>
          </w:p>
        </w:tc>
        <w:tc>
          <w:tcPr>
            <w:tcW w:w="6844"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4" w:hRule="atLeast"/>
        </w:trPr>
        <w:tc>
          <w:tcPr>
            <w:tcW w:w="1335"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w:t>
            </w:r>
          </w:p>
        </w:tc>
        <w:tc>
          <w:tcPr>
            <w:tcW w:w="27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154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金额</w:t>
            </w:r>
          </w:p>
        </w:tc>
        <w:tc>
          <w:tcPr>
            <w:tcW w:w="148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w:t>
            </w:r>
          </w:p>
        </w:tc>
        <w:tc>
          <w:tcPr>
            <w:tcW w:w="278"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135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135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一般公共预算财政拨款</w:t>
            </w:r>
          </w:p>
        </w:tc>
        <w:tc>
          <w:tcPr>
            <w:tcW w:w="128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政府性基金预算财政拨款</w:t>
            </w:r>
          </w:p>
        </w:tc>
        <w:tc>
          <w:tcPr>
            <w:tcW w:w="109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2" w:hRule="atLeast"/>
        </w:trPr>
        <w:tc>
          <w:tcPr>
            <w:tcW w:w="1335"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4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48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8"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8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9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277"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4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278"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35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28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109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一、一般公共预算财政拨款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54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一、一般公共服务支出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33</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二、政府性基金预算财政拨款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二、外交支出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三、国有资本经营财政拨款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三、国防支出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35</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四、公共安全支出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36</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五、教育支出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37</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六、科学技术支出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38</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七、文化旅游体育与传媒支出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八、社会保障和就业支出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九、卫生健康支出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41</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十、节能环保支出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42</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十一、城乡社区支出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43</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十二、农林水支出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44</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十三、交通运输支出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45</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十四、资源勘探工业信息等支出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十五、商业服务业等支出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47</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十六、金融支出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48</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十七、援助其他地区支出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十八、自然资源海洋气象等支出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50</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19</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十九、住房保障支出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51</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二十、粮油物资储备支出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52</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二十一、国有资本经营预算支出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53</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22</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二十二、灾害防治及应急管理支出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54</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23</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二十三、其他支出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55</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24</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二十四、债务还本支出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56</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25</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二十五、债务付息支出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57</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26</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二十六、抗疫特别国债安排的支出</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58</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本年收入合计</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27</w:t>
            </w:r>
          </w:p>
        </w:tc>
        <w:tc>
          <w:tcPr>
            <w:tcW w:w="154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本年支出合计</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59</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年初财政拨款结转和结余</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28</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年末财政拨款结转和结余</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60</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一般公共预算财政拨款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29</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61</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政府性基金预算财政拨款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62</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0"/>
                <w:szCs w:val="20"/>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国有资本经营预算财政拨款</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w:t>
            </w:r>
          </w:p>
        </w:tc>
        <w:tc>
          <w:tcPr>
            <w:tcW w:w="154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48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63</w:t>
            </w: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35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33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总计</w:t>
            </w:r>
          </w:p>
        </w:tc>
        <w:tc>
          <w:tcPr>
            <w:tcW w:w="27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32</w:t>
            </w:r>
          </w:p>
        </w:tc>
        <w:tc>
          <w:tcPr>
            <w:tcW w:w="154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48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总计</w:t>
            </w:r>
          </w:p>
        </w:tc>
        <w:tc>
          <w:tcPr>
            <w:tcW w:w="27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64</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35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1,632,973.30</w:t>
            </w:r>
          </w:p>
        </w:tc>
        <w:tc>
          <w:tcPr>
            <w:tcW w:w="1283"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099"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8901" w:type="dxa"/>
            <w:gridSpan w:val="8"/>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注：1.本表依据《财政拨款收入支出决算总表》（财决01-1表）进行批复。</w:t>
            </w:r>
          </w:p>
        </w:tc>
        <w:tc>
          <w:tcPr>
            <w:tcW w:w="1099" w:type="dxa"/>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901" w:type="dxa"/>
            <w:gridSpan w:val="8"/>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2.本表以“万元”为金额单位（保留两位小数）。</w:t>
            </w:r>
          </w:p>
        </w:tc>
        <w:tc>
          <w:tcPr>
            <w:tcW w:w="1099" w:type="dxa"/>
            <w:shd w:val="clear"/>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335" w:type="dxa"/>
            <w:shd w:val="clear"/>
            <w:vAlign w:val="bottom"/>
          </w:tcPr>
          <w:p>
            <w:pPr>
              <w:rPr>
                <w:rFonts w:hint="default" w:ascii="Arial" w:hAnsi="Arial" w:cs="Arial"/>
                <w:i w:val="0"/>
                <w:color w:val="000000"/>
                <w:sz w:val="20"/>
                <w:szCs w:val="20"/>
                <w:u w:val="none"/>
              </w:rPr>
            </w:pPr>
          </w:p>
        </w:tc>
        <w:tc>
          <w:tcPr>
            <w:tcW w:w="277" w:type="dxa"/>
            <w:shd w:val="clear"/>
            <w:vAlign w:val="bottom"/>
          </w:tcPr>
          <w:p>
            <w:pPr>
              <w:rPr>
                <w:rFonts w:hint="default" w:ascii="Arial" w:hAnsi="Arial" w:cs="Arial"/>
                <w:i w:val="0"/>
                <w:color w:val="000000"/>
                <w:sz w:val="20"/>
                <w:szCs w:val="20"/>
                <w:u w:val="none"/>
              </w:rPr>
            </w:pPr>
          </w:p>
        </w:tc>
        <w:tc>
          <w:tcPr>
            <w:tcW w:w="1544" w:type="dxa"/>
            <w:shd w:val="clear"/>
            <w:vAlign w:val="bottom"/>
          </w:tcPr>
          <w:p>
            <w:pPr>
              <w:rPr>
                <w:rFonts w:hint="default" w:ascii="Arial" w:hAnsi="Arial" w:cs="Arial"/>
                <w:i w:val="0"/>
                <w:color w:val="000000"/>
                <w:sz w:val="20"/>
                <w:szCs w:val="20"/>
                <w:u w:val="none"/>
              </w:rPr>
            </w:pPr>
          </w:p>
        </w:tc>
        <w:tc>
          <w:tcPr>
            <w:tcW w:w="1480" w:type="dxa"/>
            <w:shd w:val="clear"/>
            <w:vAlign w:val="bottom"/>
          </w:tcPr>
          <w:p>
            <w:pPr>
              <w:rPr>
                <w:rFonts w:hint="default" w:ascii="Arial" w:hAnsi="Arial" w:cs="Arial"/>
                <w:i w:val="0"/>
                <w:color w:val="000000"/>
                <w:sz w:val="20"/>
                <w:szCs w:val="20"/>
                <w:u w:val="none"/>
              </w:rPr>
            </w:pPr>
          </w:p>
        </w:tc>
        <w:tc>
          <w:tcPr>
            <w:tcW w:w="278"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283" w:type="dxa"/>
            <w:shd w:val="clear"/>
            <w:vAlign w:val="bottom"/>
          </w:tcPr>
          <w:p>
            <w:pPr>
              <w:rPr>
                <w:rFonts w:hint="default" w:ascii="Arial" w:hAnsi="Arial" w:cs="Arial"/>
                <w:i w:val="0"/>
                <w:color w:val="000000"/>
                <w:sz w:val="20"/>
                <w:szCs w:val="20"/>
                <w:u w:val="none"/>
              </w:rPr>
            </w:pPr>
          </w:p>
        </w:tc>
        <w:tc>
          <w:tcPr>
            <w:tcW w:w="1099"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1335" w:type="dxa"/>
            <w:shd w:val="clear"/>
            <w:vAlign w:val="bottom"/>
          </w:tcPr>
          <w:p>
            <w:pPr>
              <w:rPr>
                <w:rFonts w:hint="default" w:ascii="Arial" w:hAnsi="Arial" w:cs="Arial"/>
                <w:i w:val="0"/>
                <w:color w:val="000000"/>
                <w:sz w:val="20"/>
                <w:szCs w:val="20"/>
                <w:u w:val="none"/>
              </w:rPr>
            </w:pPr>
          </w:p>
        </w:tc>
        <w:tc>
          <w:tcPr>
            <w:tcW w:w="277" w:type="dxa"/>
            <w:shd w:val="clear"/>
            <w:vAlign w:val="bottom"/>
          </w:tcPr>
          <w:p>
            <w:pPr>
              <w:rPr>
                <w:rFonts w:hint="default" w:ascii="Arial" w:hAnsi="Arial" w:cs="Arial"/>
                <w:i w:val="0"/>
                <w:color w:val="000000"/>
                <w:sz w:val="20"/>
                <w:szCs w:val="20"/>
                <w:u w:val="none"/>
              </w:rPr>
            </w:pPr>
          </w:p>
        </w:tc>
        <w:tc>
          <w:tcPr>
            <w:tcW w:w="1544" w:type="dxa"/>
            <w:shd w:val="clear"/>
            <w:vAlign w:val="bottom"/>
          </w:tcPr>
          <w:p>
            <w:pPr>
              <w:rPr>
                <w:rFonts w:hint="default" w:ascii="Arial" w:hAnsi="Arial" w:cs="Arial"/>
                <w:i w:val="0"/>
                <w:color w:val="000000"/>
                <w:sz w:val="20"/>
                <w:szCs w:val="20"/>
                <w:u w:val="none"/>
              </w:rPr>
            </w:pPr>
          </w:p>
        </w:tc>
        <w:tc>
          <w:tcPr>
            <w:tcW w:w="1480"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 4 —</w:t>
            </w:r>
          </w:p>
        </w:tc>
        <w:tc>
          <w:tcPr>
            <w:tcW w:w="278"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352" w:type="dxa"/>
            <w:shd w:val="clear"/>
            <w:vAlign w:val="bottom"/>
          </w:tcPr>
          <w:p>
            <w:pPr>
              <w:rPr>
                <w:rFonts w:hint="default" w:ascii="Arial" w:hAnsi="Arial" w:cs="Arial"/>
                <w:i w:val="0"/>
                <w:color w:val="000000"/>
                <w:sz w:val="20"/>
                <w:szCs w:val="20"/>
                <w:u w:val="none"/>
              </w:rPr>
            </w:pPr>
          </w:p>
        </w:tc>
        <w:tc>
          <w:tcPr>
            <w:tcW w:w="1283" w:type="dxa"/>
            <w:shd w:val="clear"/>
            <w:vAlign w:val="bottom"/>
          </w:tcPr>
          <w:p>
            <w:pPr>
              <w:rPr>
                <w:rFonts w:hint="default" w:ascii="Arial" w:hAnsi="Arial" w:cs="Arial"/>
                <w:i w:val="0"/>
                <w:color w:val="000000"/>
                <w:sz w:val="20"/>
                <w:szCs w:val="20"/>
                <w:u w:val="none"/>
              </w:rPr>
            </w:pPr>
          </w:p>
        </w:tc>
        <w:tc>
          <w:tcPr>
            <w:tcW w:w="1099" w:type="dxa"/>
            <w:shd w:val="clear"/>
            <w:vAlign w:val="bottom"/>
          </w:tcPr>
          <w:p>
            <w:pPr>
              <w:rPr>
                <w:rFonts w:hint="default" w:ascii="Arial" w:hAnsi="Arial" w:cs="Arial"/>
                <w:i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97"/>
        <w:gridCol w:w="816"/>
        <w:gridCol w:w="816"/>
        <w:gridCol w:w="2575"/>
        <w:gridCol w:w="1510"/>
        <w:gridCol w:w="1362"/>
        <w:gridCol w:w="16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90" w:hRule="atLeast"/>
        </w:trPr>
        <w:tc>
          <w:tcPr>
            <w:tcW w:w="9000" w:type="dxa"/>
            <w:gridSpan w:val="7"/>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一般公共预算财政拨款支出决算批复表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297" w:type="dxa"/>
            <w:shd w:val="clear"/>
            <w:vAlign w:val="bottom"/>
          </w:tcPr>
          <w:p>
            <w:pPr>
              <w:rPr>
                <w:rFonts w:hint="eastAsia" w:ascii="Arial" w:hAnsi="Arial" w:cs="Arial"/>
                <w:i w:val="0"/>
                <w:color w:val="000000"/>
                <w:sz w:val="20"/>
                <w:szCs w:val="20"/>
                <w:u w:val="none"/>
              </w:rPr>
            </w:pPr>
          </w:p>
        </w:tc>
        <w:tc>
          <w:tcPr>
            <w:tcW w:w="816" w:type="dxa"/>
            <w:shd w:val="clear"/>
            <w:vAlign w:val="bottom"/>
          </w:tcPr>
          <w:p>
            <w:pPr>
              <w:rPr>
                <w:rFonts w:hint="default" w:ascii="Arial" w:hAnsi="Arial" w:cs="Arial"/>
                <w:i w:val="0"/>
                <w:color w:val="000000"/>
                <w:sz w:val="20"/>
                <w:szCs w:val="20"/>
                <w:u w:val="none"/>
              </w:rPr>
            </w:pPr>
          </w:p>
        </w:tc>
        <w:tc>
          <w:tcPr>
            <w:tcW w:w="816" w:type="dxa"/>
            <w:shd w:val="clear"/>
            <w:vAlign w:val="bottom"/>
          </w:tcPr>
          <w:p>
            <w:pPr>
              <w:rPr>
                <w:rFonts w:hint="default" w:ascii="Arial" w:hAnsi="Arial" w:cs="Arial"/>
                <w:i w:val="0"/>
                <w:color w:val="000000"/>
                <w:sz w:val="20"/>
                <w:szCs w:val="20"/>
                <w:u w:val="none"/>
              </w:rPr>
            </w:pPr>
          </w:p>
        </w:tc>
        <w:tc>
          <w:tcPr>
            <w:tcW w:w="2575" w:type="dxa"/>
            <w:shd w:val="clear"/>
            <w:vAlign w:val="bottom"/>
          </w:tcPr>
          <w:p>
            <w:pPr>
              <w:rPr>
                <w:rFonts w:hint="default" w:ascii="Arial" w:hAnsi="Arial" w:cs="Arial"/>
                <w:i w:val="0"/>
                <w:color w:val="000000"/>
                <w:sz w:val="20"/>
                <w:szCs w:val="20"/>
                <w:u w:val="none"/>
              </w:rPr>
            </w:pPr>
          </w:p>
        </w:tc>
        <w:tc>
          <w:tcPr>
            <w:tcW w:w="1510" w:type="dxa"/>
            <w:shd w:val="clear"/>
            <w:vAlign w:val="bottom"/>
          </w:tcPr>
          <w:p>
            <w:pPr>
              <w:rPr>
                <w:rFonts w:hint="default" w:ascii="Arial" w:hAnsi="Arial" w:cs="Arial"/>
                <w:i w:val="0"/>
                <w:color w:val="000000"/>
                <w:sz w:val="20"/>
                <w:szCs w:val="20"/>
                <w:u w:val="none"/>
              </w:rPr>
            </w:pPr>
          </w:p>
        </w:tc>
        <w:tc>
          <w:tcPr>
            <w:tcW w:w="1362" w:type="dxa"/>
            <w:shd w:val="clear"/>
            <w:vAlign w:val="bottom"/>
          </w:tcPr>
          <w:p>
            <w:pPr>
              <w:rPr>
                <w:rFonts w:hint="default" w:ascii="Arial" w:hAnsi="Arial" w:cs="Arial"/>
                <w:i w:val="0"/>
                <w:color w:val="000000"/>
                <w:sz w:val="20"/>
                <w:szCs w:val="20"/>
                <w:u w:val="none"/>
              </w:rPr>
            </w:pPr>
          </w:p>
        </w:tc>
        <w:tc>
          <w:tcPr>
            <w:tcW w:w="1624"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014" w:type="dxa"/>
            <w:gridSpan w:val="5"/>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1362" w:type="dxa"/>
            <w:shd w:val="clear"/>
            <w:vAlign w:val="bottom"/>
          </w:tcPr>
          <w:p>
            <w:pPr>
              <w:rPr>
                <w:rFonts w:hint="default" w:ascii="Arial" w:hAnsi="Arial" w:cs="Arial"/>
                <w:i w:val="0"/>
                <w:color w:val="000000"/>
                <w:sz w:val="20"/>
                <w:szCs w:val="20"/>
                <w:u w:val="none"/>
              </w:rPr>
            </w:pPr>
          </w:p>
        </w:tc>
        <w:tc>
          <w:tcPr>
            <w:tcW w:w="1624"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257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4496"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192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7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1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136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w:t>
            </w:r>
          </w:p>
        </w:tc>
        <w:tc>
          <w:tcPr>
            <w:tcW w:w="162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0" w:hRule="atLeast"/>
        </w:trPr>
        <w:tc>
          <w:tcPr>
            <w:tcW w:w="192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7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2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929"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7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6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2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97"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类</w:t>
            </w:r>
          </w:p>
        </w:tc>
        <w:tc>
          <w:tcPr>
            <w:tcW w:w="81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款</w:t>
            </w:r>
          </w:p>
        </w:tc>
        <w:tc>
          <w:tcPr>
            <w:tcW w:w="81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w:t>
            </w:r>
          </w:p>
        </w:tc>
        <w:tc>
          <w:tcPr>
            <w:tcW w:w="25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15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136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1624"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97"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7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1,632,973.30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1,291,795.30</w:t>
            </w:r>
          </w:p>
        </w:tc>
        <w:tc>
          <w:tcPr>
            <w:tcW w:w="162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spacing w:val="0"/>
                <w:w w:val="100"/>
                <w:kern w:val="0"/>
                <w:position w:val="0"/>
                <w:sz w:val="22"/>
                <w:szCs w:val="22"/>
                <w:u w:val="none"/>
                <w:shd w:val="clear" w:color="auto" w:fill="auto"/>
                <w:lang w:val="en-US" w:eastAsia="zh-CN" w:bidi="ar"/>
              </w:rPr>
              <w:t>341,178.00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一般公共服务支出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群众团体事务</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2012906</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工会事务</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文化旅游体育与传媒支出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62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341,178.00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文化和旅游</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1,427,312.02</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62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341,178.00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2070101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1,086,134.02</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2070111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文化创作与保护</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c>
          <w:tcPr>
            <w:tcW w:w="136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156,728.00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2070199</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其他文化和旅游支出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c>
          <w:tcPr>
            <w:tcW w:w="136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1624"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184,450.00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社会保障和就业支出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行政事业单位养老支出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2080505</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机关事业单位基本养老保险缴费支出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卫生健康支出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财政对基本医疗保险基金的补助</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2101201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财政对职工基本医疗保险基金的补助</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农林水支出</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扶贫</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1929" w:type="dxa"/>
            <w:gridSpan w:val="3"/>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2130501</w:t>
            </w:r>
          </w:p>
        </w:tc>
        <w:tc>
          <w:tcPr>
            <w:tcW w:w="2575" w:type="dxa"/>
            <w:tcBorders>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行政运行</w:t>
            </w:r>
          </w:p>
        </w:tc>
        <w:tc>
          <w:tcPr>
            <w:tcW w:w="151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36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1624"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000" w:type="dxa"/>
            <w:gridSpan w:val="7"/>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000" w:type="dxa"/>
            <w:gridSpan w:val="7"/>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9000" w:type="dxa"/>
            <w:gridSpan w:val="7"/>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3.本表以“万元”为金额单位（保留两位小数）。</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tbl>
      <w:tblPr>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82"/>
        <w:gridCol w:w="1307"/>
        <w:gridCol w:w="1795"/>
        <w:gridCol w:w="582"/>
        <w:gridCol w:w="1133"/>
        <w:gridCol w:w="1527"/>
        <w:gridCol w:w="582"/>
        <w:gridCol w:w="1056"/>
        <w:gridCol w:w="1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16" w:hRule="atLeast"/>
        </w:trPr>
        <w:tc>
          <w:tcPr>
            <w:tcW w:w="10140" w:type="dxa"/>
            <w:gridSpan w:val="9"/>
            <w:shd w:val="cle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一般公共预算财政拨款基本支出决算明细批复表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582" w:type="dxa"/>
            <w:shd w:val="clear"/>
            <w:vAlign w:val="bottom"/>
          </w:tcPr>
          <w:p>
            <w:pPr>
              <w:rPr>
                <w:rFonts w:hint="eastAsia" w:ascii="Arial" w:hAnsi="Arial" w:cs="Arial"/>
                <w:i w:val="0"/>
                <w:color w:val="000000"/>
                <w:sz w:val="20"/>
                <w:szCs w:val="20"/>
                <w:u w:val="none"/>
              </w:rPr>
            </w:pPr>
          </w:p>
        </w:tc>
        <w:tc>
          <w:tcPr>
            <w:tcW w:w="1307" w:type="dxa"/>
            <w:shd w:val="clear"/>
            <w:vAlign w:val="bottom"/>
          </w:tcPr>
          <w:p>
            <w:pPr>
              <w:rPr>
                <w:rFonts w:hint="default" w:ascii="Arial" w:hAnsi="Arial" w:cs="Arial"/>
                <w:i w:val="0"/>
                <w:color w:val="000000"/>
                <w:sz w:val="20"/>
                <w:szCs w:val="20"/>
                <w:u w:val="none"/>
              </w:rPr>
            </w:pPr>
          </w:p>
        </w:tc>
        <w:tc>
          <w:tcPr>
            <w:tcW w:w="1795"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133" w:type="dxa"/>
            <w:shd w:val="clear"/>
            <w:vAlign w:val="bottom"/>
          </w:tcPr>
          <w:p>
            <w:pPr>
              <w:rPr>
                <w:rFonts w:hint="default" w:ascii="Arial" w:hAnsi="Arial" w:cs="Arial"/>
                <w:i w:val="0"/>
                <w:color w:val="000000"/>
                <w:sz w:val="20"/>
                <w:szCs w:val="20"/>
                <w:u w:val="none"/>
              </w:rPr>
            </w:pPr>
          </w:p>
        </w:tc>
        <w:tc>
          <w:tcPr>
            <w:tcW w:w="1527"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056" w:type="dxa"/>
            <w:shd w:val="clear"/>
            <w:vAlign w:val="bottom"/>
          </w:tcPr>
          <w:p>
            <w:pPr>
              <w:rPr>
                <w:rFonts w:hint="default" w:ascii="Arial" w:hAnsi="Arial" w:cs="Arial"/>
                <w:i w:val="0"/>
                <w:color w:val="000000"/>
                <w:sz w:val="20"/>
                <w:szCs w:val="20"/>
                <w:u w:val="none"/>
              </w:rPr>
            </w:pPr>
          </w:p>
        </w:tc>
        <w:tc>
          <w:tcPr>
            <w:tcW w:w="1576"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6926" w:type="dxa"/>
            <w:gridSpan w:val="6"/>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582" w:type="dxa"/>
            <w:shd w:val="clear"/>
            <w:vAlign w:val="bottom"/>
          </w:tcPr>
          <w:p>
            <w:pPr>
              <w:rPr>
                <w:rFonts w:hint="default" w:ascii="Arial" w:hAnsi="Arial" w:cs="Arial"/>
                <w:i w:val="0"/>
                <w:color w:val="000000"/>
                <w:sz w:val="20"/>
                <w:szCs w:val="20"/>
                <w:u w:val="none"/>
              </w:rPr>
            </w:pPr>
          </w:p>
        </w:tc>
        <w:tc>
          <w:tcPr>
            <w:tcW w:w="1056" w:type="dxa"/>
            <w:shd w:val="clear"/>
            <w:vAlign w:val="bottom"/>
          </w:tcPr>
          <w:p>
            <w:pPr>
              <w:rPr>
                <w:rFonts w:hint="default" w:ascii="Arial" w:hAnsi="Arial" w:cs="Arial"/>
                <w:i w:val="0"/>
                <w:color w:val="000000"/>
                <w:sz w:val="20"/>
                <w:szCs w:val="20"/>
                <w:u w:val="none"/>
              </w:rPr>
            </w:pPr>
          </w:p>
        </w:tc>
        <w:tc>
          <w:tcPr>
            <w:tcW w:w="1576" w:type="dxa"/>
            <w:shd w:val="cle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3684"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人员经费</w:t>
            </w:r>
          </w:p>
        </w:tc>
        <w:tc>
          <w:tcPr>
            <w:tcW w:w="6456"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582"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130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79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决算数</w:t>
            </w:r>
          </w:p>
        </w:tc>
        <w:tc>
          <w:tcPr>
            <w:tcW w:w="58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113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52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决算数</w:t>
            </w:r>
          </w:p>
        </w:tc>
        <w:tc>
          <w:tcPr>
            <w:tcW w:w="58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105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57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582"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0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9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13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2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5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57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工资福利支出</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1,141,996.78</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商品和服务支出</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62,630.52</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307</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债务利息及费用支出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基本工资</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442,518.00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30201</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办公费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38,341.92</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30701</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国内债务付息</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30102</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津贴补贴</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480,394.50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30202</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印刷费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30702</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国外债务付息</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30103</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奖金</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39,328.00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30203</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咨询费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资本性支出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30106</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伙食补助费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30204</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手续费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31001</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房屋建筑物购建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30107</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绩效工资</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30205</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水费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1,612.00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31002</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办公设备购置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30108</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机关事业单位基本养老保险缴费</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130,380.48</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30206</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电费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2,838.46</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31003</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专用设备购置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30109</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职业年金缴费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30207</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邮电费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4,415.00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31005</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基础设施建设</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30110</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职工基本医疗保险缴费</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49,375.80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30208</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取暖费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31006</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大型修缮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30111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公务员医疗补助缴费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30209</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物业管理费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31007</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信息网络及软件购置更新</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30112</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其他社会保障缴费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30211</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差旅费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1,328.00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31008</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物资储备</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30113</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住房公积金</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30212</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因公出国（境）费用</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31009</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土地补偿</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30114</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医疗费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30213</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维修（护）费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31010</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安置补助</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30199</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其他工资福利支出</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30214</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租赁费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31011</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地上附着物和青苗补偿</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对个人和家庭的补助</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87,168.00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30215</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会议费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31012</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拆迁补偿</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离休费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30216</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培训费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31013</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公务用车购置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30302</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退休费</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4,000.00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30217</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公务接待费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31019</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其他交通工具购置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30303</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退职（役）费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30218</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专用材料费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31021</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文物和陈列品购置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30304</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抚恤金</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30224</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被装购置费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31022</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无形资产购置</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30305</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生活补助</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16,500.00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30225</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专用燃料费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31099</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其他资本性支出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30306</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救济费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30226</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劳务费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399</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其他支出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30307</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医疗费补助</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30227</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委托业务费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39906</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赠与</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30308</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助学金</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30228</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工会经费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9,405.00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39907</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国家赔偿费用支出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87"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30309</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奖励金</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66,668.00</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30229</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福利费</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39908</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对民间非营利组织和群众性自治组织补贴</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30310</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个人农业生产补贴</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30231</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公务用车运行维护费</w:t>
            </w:r>
          </w:p>
        </w:tc>
        <w:tc>
          <w:tcPr>
            <w:tcW w:w="1527"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4,690.14</w:t>
            </w: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39999</w:t>
            </w:r>
          </w:p>
        </w:tc>
        <w:tc>
          <w:tcPr>
            <w:tcW w:w="1056"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其他支出</w:t>
            </w: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30311</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代缴社会保险费</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30239</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其他交通费用</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05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30399</w:t>
            </w:r>
          </w:p>
        </w:tc>
        <w:tc>
          <w:tcPr>
            <w:tcW w:w="1307"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其他对个人和家庭的补助</w:t>
            </w: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30240</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税金及附加费用</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05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4" w:hRule="atLeast"/>
        </w:trPr>
        <w:tc>
          <w:tcPr>
            <w:tcW w:w="582"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307"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795"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30299</w:t>
            </w:r>
          </w:p>
        </w:tc>
        <w:tc>
          <w:tcPr>
            <w:tcW w:w="1133"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其他商品和服务支出</w:t>
            </w:r>
          </w:p>
        </w:tc>
        <w:tc>
          <w:tcPr>
            <w:tcW w:w="1527"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c>
          <w:tcPr>
            <w:tcW w:w="58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056"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576"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1889" w:type="dxa"/>
            <w:gridSpan w:val="2"/>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人员经费合计</w:t>
            </w:r>
          </w:p>
        </w:tc>
        <w:tc>
          <w:tcPr>
            <w:tcW w:w="179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1,229,164.78</w:t>
            </w:r>
          </w:p>
        </w:tc>
        <w:tc>
          <w:tcPr>
            <w:tcW w:w="4880" w:type="dxa"/>
            <w:gridSpan w:val="5"/>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公用经费合计</w:t>
            </w:r>
          </w:p>
        </w:tc>
        <w:tc>
          <w:tcPr>
            <w:tcW w:w="1576"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62,630.52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8" w:hRule="atLeast"/>
        </w:trPr>
        <w:tc>
          <w:tcPr>
            <w:tcW w:w="10140" w:type="dxa"/>
            <w:gridSpan w:val="9"/>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注：1.本表依据《一般公共预算财政拨款基本支出决算明细表》（财决08-1表）进行批复。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8" w:hRule="atLeast"/>
        </w:trPr>
        <w:tc>
          <w:tcPr>
            <w:tcW w:w="10140" w:type="dxa"/>
            <w:gridSpan w:val="9"/>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2.本表以“万元”为金额单位（保留两位小数）。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trPr>
        <w:tc>
          <w:tcPr>
            <w:tcW w:w="582" w:type="dxa"/>
            <w:shd w:val="clear"/>
            <w:vAlign w:val="bottom"/>
          </w:tcPr>
          <w:p>
            <w:pPr>
              <w:rPr>
                <w:rFonts w:hint="default" w:ascii="Arial" w:hAnsi="Arial" w:cs="Arial"/>
                <w:i w:val="0"/>
                <w:color w:val="000000"/>
                <w:sz w:val="20"/>
                <w:szCs w:val="20"/>
                <w:u w:val="none"/>
              </w:rPr>
            </w:pPr>
          </w:p>
        </w:tc>
        <w:tc>
          <w:tcPr>
            <w:tcW w:w="1307" w:type="dxa"/>
            <w:shd w:val="clear"/>
            <w:vAlign w:val="bottom"/>
          </w:tcPr>
          <w:p>
            <w:pPr>
              <w:rPr>
                <w:rFonts w:hint="default" w:ascii="Arial" w:hAnsi="Arial" w:cs="Arial"/>
                <w:i w:val="0"/>
                <w:color w:val="000000"/>
                <w:sz w:val="20"/>
                <w:szCs w:val="20"/>
                <w:u w:val="none"/>
              </w:rPr>
            </w:pPr>
          </w:p>
        </w:tc>
        <w:tc>
          <w:tcPr>
            <w:tcW w:w="1795"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133" w:type="dxa"/>
            <w:shd w:val="clear"/>
            <w:vAlign w:val="bottom"/>
          </w:tcPr>
          <w:p>
            <w:pPr>
              <w:rPr>
                <w:rFonts w:hint="default" w:ascii="Arial" w:hAnsi="Arial" w:cs="Arial"/>
                <w:i w:val="0"/>
                <w:color w:val="000000"/>
                <w:sz w:val="20"/>
                <w:szCs w:val="20"/>
                <w:u w:val="none"/>
              </w:rPr>
            </w:pPr>
          </w:p>
        </w:tc>
        <w:tc>
          <w:tcPr>
            <w:tcW w:w="1527"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056" w:type="dxa"/>
            <w:shd w:val="clear"/>
            <w:vAlign w:val="bottom"/>
          </w:tcPr>
          <w:p>
            <w:pPr>
              <w:rPr>
                <w:rFonts w:hint="default" w:ascii="Arial" w:hAnsi="Arial" w:cs="Arial"/>
                <w:i w:val="0"/>
                <w:color w:val="000000"/>
                <w:sz w:val="20"/>
                <w:szCs w:val="20"/>
                <w:u w:val="none"/>
              </w:rPr>
            </w:pPr>
          </w:p>
        </w:tc>
        <w:tc>
          <w:tcPr>
            <w:tcW w:w="1576" w:type="dxa"/>
            <w:shd w:val="clear"/>
            <w:vAlign w:val="bottom"/>
          </w:tcPr>
          <w:p>
            <w:pP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582" w:type="dxa"/>
            <w:shd w:val="clear"/>
            <w:vAlign w:val="bottom"/>
          </w:tcPr>
          <w:p>
            <w:pPr>
              <w:rPr>
                <w:rFonts w:hint="default" w:ascii="Arial" w:hAnsi="Arial" w:cs="Arial"/>
                <w:i w:val="0"/>
                <w:color w:val="000000"/>
                <w:sz w:val="20"/>
                <w:szCs w:val="20"/>
                <w:u w:val="none"/>
              </w:rPr>
            </w:pPr>
          </w:p>
        </w:tc>
        <w:tc>
          <w:tcPr>
            <w:tcW w:w="1307" w:type="dxa"/>
            <w:shd w:val="clear"/>
            <w:vAlign w:val="bottom"/>
          </w:tcPr>
          <w:p>
            <w:pPr>
              <w:rPr>
                <w:rFonts w:hint="default" w:ascii="Arial" w:hAnsi="Arial" w:cs="Arial"/>
                <w:i w:val="0"/>
                <w:color w:val="000000"/>
                <w:sz w:val="20"/>
                <w:szCs w:val="20"/>
                <w:u w:val="none"/>
              </w:rPr>
            </w:pPr>
          </w:p>
        </w:tc>
        <w:tc>
          <w:tcPr>
            <w:tcW w:w="1795"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133"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spacing w:val="0"/>
                <w:w w:val="100"/>
                <w:kern w:val="0"/>
                <w:position w:val="0"/>
                <w:sz w:val="18"/>
                <w:szCs w:val="18"/>
                <w:u w:val="none"/>
                <w:shd w:val="clear" w:color="auto" w:fill="auto"/>
                <w:lang w:val="en-US" w:eastAsia="zh-CN" w:bidi="ar"/>
              </w:rPr>
              <w:t>— 6 —</w:t>
            </w:r>
          </w:p>
        </w:tc>
        <w:tc>
          <w:tcPr>
            <w:tcW w:w="1527" w:type="dxa"/>
            <w:shd w:val="clear"/>
            <w:vAlign w:val="bottom"/>
          </w:tcPr>
          <w:p>
            <w:pPr>
              <w:rPr>
                <w:rFonts w:hint="default" w:ascii="Arial" w:hAnsi="Arial" w:cs="Arial"/>
                <w:i w:val="0"/>
                <w:color w:val="000000"/>
                <w:sz w:val="20"/>
                <w:szCs w:val="20"/>
                <w:u w:val="none"/>
              </w:rPr>
            </w:pPr>
          </w:p>
        </w:tc>
        <w:tc>
          <w:tcPr>
            <w:tcW w:w="582" w:type="dxa"/>
            <w:shd w:val="clear"/>
            <w:vAlign w:val="bottom"/>
          </w:tcPr>
          <w:p>
            <w:pPr>
              <w:rPr>
                <w:rFonts w:hint="default" w:ascii="Arial" w:hAnsi="Arial" w:cs="Arial"/>
                <w:i w:val="0"/>
                <w:color w:val="000000"/>
                <w:sz w:val="20"/>
                <w:szCs w:val="20"/>
                <w:u w:val="none"/>
              </w:rPr>
            </w:pPr>
          </w:p>
        </w:tc>
        <w:tc>
          <w:tcPr>
            <w:tcW w:w="1056" w:type="dxa"/>
            <w:shd w:val="clear"/>
            <w:vAlign w:val="bottom"/>
          </w:tcPr>
          <w:p>
            <w:pPr>
              <w:rPr>
                <w:rFonts w:hint="default" w:ascii="Arial" w:hAnsi="Arial" w:cs="Arial"/>
                <w:i w:val="0"/>
                <w:color w:val="000000"/>
                <w:sz w:val="20"/>
                <w:szCs w:val="20"/>
                <w:u w:val="none"/>
              </w:rPr>
            </w:pPr>
          </w:p>
        </w:tc>
        <w:tc>
          <w:tcPr>
            <w:tcW w:w="1576" w:type="dxa"/>
            <w:shd w:val="clear"/>
            <w:vAlign w:val="bottom"/>
          </w:tcPr>
          <w:p>
            <w:pPr>
              <w:rPr>
                <w:rFonts w:hint="default" w:ascii="Arial" w:hAnsi="Arial" w:cs="Arial"/>
                <w:i w:val="0"/>
                <w:color w:val="000000"/>
                <w:sz w:val="20"/>
                <w:szCs w:val="20"/>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lang w:eastAsia="zh-CN"/>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tbl>
      <w:tblPr>
        <w:tblW w:w="80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453"/>
        <w:gridCol w:w="832"/>
        <w:gridCol w:w="1791"/>
        <w:gridCol w:w="1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4453" w:type="dxa"/>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编制单位：临夏州东乡族自治县文化馆</w:t>
            </w:r>
          </w:p>
        </w:tc>
        <w:tc>
          <w:tcPr>
            <w:tcW w:w="832" w:type="dxa"/>
            <w:shd w:val="clear"/>
            <w:vAlign w:val="bottom"/>
          </w:tcPr>
          <w:p>
            <w:pPr>
              <w:rPr>
                <w:rFonts w:hint="eastAsia" w:ascii="Arial" w:hAnsi="Arial" w:cs="Arial"/>
                <w:i w:val="0"/>
                <w:color w:val="000000"/>
                <w:sz w:val="20"/>
                <w:szCs w:val="20"/>
                <w:u w:val="none"/>
              </w:rPr>
            </w:pPr>
          </w:p>
        </w:tc>
        <w:tc>
          <w:tcPr>
            <w:tcW w:w="1791" w:type="dxa"/>
            <w:shd w:val="clear"/>
            <w:vAlign w:val="bottom"/>
          </w:tcPr>
          <w:p>
            <w:pPr>
              <w:rPr>
                <w:rFonts w:hint="default" w:ascii="Arial" w:hAnsi="Arial" w:cs="Arial"/>
                <w:i w:val="0"/>
                <w:color w:val="000000"/>
                <w:sz w:val="20"/>
                <w:szCs w:val="20"/>
                <w:u w:val="none"/>
              </w:rPr>
            </w:pPr>
          </w:p>
        </w:tc>
        <w:tc>
          <w:tcPr>
            <w:tcW w:w="1022"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  目</w:t>
            </w:r>
          </w:p>
        </w:tc>
        <w:tc>
          <w:tcPr>
            <w:tcW w:w="83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1791"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预算数</w:t>
            </w:r>
          </w:p>
        </w:tc>
        <w:tc>
          <w:tcPr>
            <w:tcW w:w="1022" w:type="dxa"/>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  次</w:t>
            </w:r>
          </w:p>
        </w:tc>
        <w:tc>
          <w:tcPr>
            <w:tcW w:w="83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7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02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一、“三公”经费支出</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（一）支出合计</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10,000.00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1．因公出国（境）费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2．公务用车购置及运行维护费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10,000.00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（1）公务用车购置费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（2）公务用车运行维护费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10,000.00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4,690.14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3．公务接待费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（1）国内接待费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其中：外事接待费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（2）国（境）外接待费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（二）相关统计数</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1．因公出国（境）团组数（个）</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2．因公出国（境）人次数（人）</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3．公务用车购置数（辆）</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4．公务用车保有量（辆）</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5．国内公务接待批次（个）</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其中：外事接待批次（个）</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6．国内公务接待人次（人）</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其中：外事接待人次（人）</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19</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7．国（境）外公务接待批次（个）</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8．国（境）外公务接待人次（人）</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二、会议费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22</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三、培训费</w:t>
            </w: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23</w:t>
            </w:r>
          </w:p>
        </w:tc>
        <w:tc>
          <w:tcPr>
            <w:tcW w:w="1791"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22"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72,800.00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24</w:t>
            </w:r>
          </w:p>
        </w:tc>
        <w:tc>
          <w:tcPr>
            <w:tcW w:w="1791" w:type="dxa"/>
            <w:tcBorders>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83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25</w:t>
            </w:r>
          </w:p>
        </w:tc>
        <w:tc>
          <w:tcPr>
            <w:tcW w:w="1791" w:type="dxa"/>
            <w:tcBorders>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4453" w:type="dxa"/>
            <w:tcBorders>
              <w:left w:val="single" w:color="000000" w:sz="4" w:space="0"/>
              <w:bottom w:val="single" w:color="000000" w:sz="12"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832"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26</w:t>
            </w:r>
          </w:p>
        </w:tc>
        <w:tc>
          <w:tcPr>
            <w:tcW w:w="1791" w:type="dxa"/>
            <w:tcBorders>
              <w:bottom w:val="single" w:color="000000" w:sz="12"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022" w:type="dxa"/>
            <w:tcBorders>
              <w:bottom w:val="single" w:color="000000" w:sz="12" w:space="0"/>
              <w:right w:val="single" w:color="000000" w:sz="4" w:space="0"/>
            </w:tcBorders>
            <w:shd w:val="clear"/>
            <w:vAlign w:val="center"/>
          </w:tcPr>
          <w:p>
            <w:pPr>
              <w:jc w:val="right"/>
              <w:rPr>
                <w:rFonts w:hint="eastAsia" w:ascii="宋体" w:hAnsi="宋体" w:eastAsia="宋体" w:cs="宋体"/>
                <w:i w:val="0"/>
                <w:color w:val="000000"/>
                <w:sz w:val="22"/>
                <w:szCs w:val="22"/>
                <w:u w:val="none"/>
              </w:rPr>
            </w:pP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tbl>
      <w:tblPr>
        <w:tblStyle w:val="11"/>
        <w:tblW w:w="99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5"/>
        <w:gridCol w:w="811"/>
        <w:gridCol w:w="811"/>
        <w:gridCol w:w="473"/>
        <w:gridCol w:w="561"/>
        <w:gridCol w:w="536"/>
        <w:gridCol w:w="623"/>
        <w:gridCol w:w="497"/>
        <w:gridCol w:w="472"/>
        <w:gridCol w:w="516"/>
        <w:gridCol w:w="410"/>
        <w:gridCol w:w="611"/>
        <w:gridCol w:w="510"/>
        <w:gridCol w:w="812"/>
        <w:gridCol w:w="585"/>
        <w:gridCol w:w="649"/>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8" w:hRule="atLeast"/>
        </w:trPr>
        <w:tc>
          <w:tcPr>
            <w:tcW w:w="9979" w:type="dxa"/>
            <w:gridSpan w:val="17"/>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spacing w:val="0"/>
                <w:w w:val="100"/>
                <w:kern w:val="0"/>
                <w:position w:val="0"/>
                <w:sz w:val="30"/>
                <w:szCs w:val="30"/>
                <w:u w:val="none"/>
                <w:shd w:val="clear" w:color="auto" w:fill="auto"/>
                <w:lang w:val="en-US" w:eastAsia="zh-CN" w:bidi="ar"/>
              </w:rPr>
              <w:t>政府性基金预算财政拨款收入支出决算批复表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285" w:type="dxa"/>
            <w:shd w:val="clear" w:color="auto" w:fill="auto"/>
            <w:vAlign w:val="bottom"/>
          </w:tcPr>
          <w:p>
            <w:pPr>
              <w:rPr>
                <w:rFonts w:hint="eastAsia" w:ascii="Arial" w:hAnsi="Arial" w:cs="Arial"/>
                <w:i w:val="0"/>
                <w:color w:val="000000"/>
                <w:sz w:val="20"/>
                <w:szCs w:val="20"/>
                <w:u w:val="none"/>
              </w:rPr>
            </w:pPr>
          </w:p>
        </w:tc>
        <w:tc>
          <w:tcPr>
            <w:tcW w:w="811" w:type="dxa"/>
            <w:shd w:val="clear" w:color="auto" w:fill="auto"/>
            <w:vAlign w:val="bottom"/>
          </w:tcPr>
          <w:p>
            <w:pPr>
              <w:rPr>
                <w:rFonts w:hint="default" w:ascii="Arial" w:hAnsi="Arial" w:cs="Arial"/>
                <w:i w:val="0"/>
                <w:color w:val="000000"/>
                <w:sz w:val="20"/>
                <w:szCs w:val="20"/>
                <w:u w:val="none"/>
              </w:rPr>
            </w:pPr>
          </w:p>
        </w:tc>
        <w:tc>
          <w:tcPr>
            <w:tcW w:w="811" w:type="dxa"/>
            <w:shd w:val="clear" w:color="auto" w:fill="auto"/>
            <w:vAlign w:val="bottom"/>
          </w:tcPr>
          <w:p>
            <w:pPr>
              <w:rPr>
                <w:rFonts w:hint="default" w:ascii="Arial" w:hAnsi="Arial" w:cs="Arial"/>
                <w:i w:val="0"/>
                <w:color w:val="000000"/>
                <w:sz w:val="20"/>
                <w:szCs w:val="20"/>
                <w:u w:val="none"/>
              </w:rPr>
            </w:pPr>
          </w:p>
        </w:tc>
        <w:tc>
          <w:tcPr>
            <w:tcW w:w="473" w:type="dxa"/>
            <w:shd w:val="clear" w:color="auto" w:fill="auto"/>
            <w:vAlign w:val="bottom"/>
          </w:tcPr>
          <w:p>
            <w:pPr>
              <w:rPr>
                <w:rFonts w:hint="default" w:ascii="Arial" w:hAnsi="Arial" w:cs="Arial"/>
                <w:i w:val="0"/>
                <w:color w:val="000000"/>
                <w:sz w:val="20"/>
                <w:szCs w:val="20"/>
                <w:u w:val="none"/>
              </w:rPr>
            </w:pPr>
          </w:p>
        </w:tc>
        <w:tc>
          <w:tcPr>
            <w:tcW w:w="561" w:type="dxa"/>
            <w:shd w:val="clear" w:color="auto" w:fill="auto"/>
            <w:vAlign w:val="bottom"/>
          </w:tcPr>
          <w:p>
            <w:pPr>
              <w:rPr>
                <w:rFonts w:hint="default" w:ascii="Arial" w:hAnsi="Arial" w:cs="Arial"/>
                <w:i w:val="0"/>
                <w:color w:val="000000"/>
                <w:sz w:val="20"/>
                <w:szCs w:val="20"/>
                <w:u w:val="none"/>
              </w:rPr>
            </w:pPr>
          </w:p>
        </w:tc>
        <w:tc>
          <w:tcPr>
            <w:tcW w:w="536" w:type="dxa"/>
            <w:shd w:val="clear" w:color="auto" w:fill="auto"/>
            <w:vAlign w:val="bottom"/>
          </w:tcPr>
          <w:p>
            <w:pPr>
              <w:rPr>
                <w:rFonts w:hint="default" w:ascii="Arial" w:hAnsi="Arial" w:cs="Arial"/>
                <w:i w:val="0"/>
                <w:color w:val="000000"/>
                <w:sz w:val="20"/>
                <w:szCs w:val="20"/>
                <w:u w:val="none"/>
              </w:rPr>
            </w:pPr>
          </w:p>
        </w:tc>
        <w:tc>
          <w:tcPr>
            <w:tcW w:w="623" w:type="dxa"/>
            <w:shd w:val="clear" w:color="auto" w:fill="auto"/>
            <w:vAlign w:val="bottom"/>
          </w:tcPr>
          <w:p>
            <w:pPr>
              <w:rPr>
                <w:rFonts w:hint="default" w:ascii="Arial" w:hAnsi="Arial" w:cs="Arial"/>
                <w:i w:val="0"/>
                <w:color w:val="000000"/>
                <w:sz w:val="20"/>
                <w:szCs w:val="20"/>
                <w:u w:val="none"/>
              </w:rPr>
            </w:pPr>
          </w:p>
        </w:tc>
        <w:tc>
          <w:tcPr>
            <w:tcW w:w="497" w:type="dxa"/>
            <w:shd w:val="clear" w:color="auto" w:fill="auto"/>
            <w:vAlign w:val="bottom"/>
          </w:tcPr>
          <w:p>
            <w:pPr>
              <w:rPr>
                <w:rFonts w:hint="default" w:ascii="Arial" w:hAnsi="Arial" w:cs="Arial"/>
                <w:i w:val="0"/>
                <w:color w:val="000000"/>
                <w:sz w:val="20"/>
                <w:szCs w:val="20"/>
                <w:u w:val="none"/>
              </w:rPr>
            </w:pPr>
          </w:p>
        </w:tc>
        <w:tc>
          <w:tcPr>
            <w:tcW w:w="472" w:type="dxa"/>
            <w:shd w:val="clear" w:color="auto" w:fill="auto"/>
            <w:vAlign w:val="bottom"/>
          </w:tcPr>
          <w:p>
            <w:pPr>
              <w:rPr>
                <w:rFonts w:hint="default" w:ascii="Arial" w:hAnsi="Arial" w:cs="Arial"/>
                <w:i w:val="0"/>
                <w:color w:val="000000"/>
                <w:sz w:val="20"/>
                <w:szCs w:val="20"/>
                <w:u w:val="none"/>
              </w:rPr>
            </w:pPr>
          </w:p>
        </w:tc>
        <w:tc>
          <w:tcPr>
            <w:tcW w:w="516" w:type="dxa"/>
            <w:shd w:val="clear" w:color="auto" w:fill="auto"/>
            <w:vAlign w:val="bottom"/>
          </w:tcPr>
          <w:p>
            <w:pPr>
              <w:rPr>
                <w:rFonts w:hint="default" w:ascii="Arial" w:hAnsi="Arial" w:cs="Arial"/>
                <w:i w:val="0"/>
                <w:color w:val="000000"/>
                <w:sz w:val="20"/>
                <w:szCs w:val="20"/>
                <w:u w:val="none"/>
              </w:rPr>
            </w:pPr>
          </w:p>
        </w:tc>
        <w:tc>
          <w:tcPr>
            <w:tcW w:w="410" w:type="dxa"/>
            <w:shd w:val="clear" w:color="auto" w:fill="auto"/>
            <w:vAlign w:val="bottom"/>
          </w:tcPr>
          <w:p>
            <w:pPr>
              <w:rPr>
                <w:rFonts w:hint="default" w:ascii="Arial" w:hAnsi="Arial" w:cs="Arial"/>
                <w:i w:val="0"/>
                <w:color w:val="000000"/>
                <w:sz w:val="20"/>
                <w:szCs w:val="20"/>
                <w:u w:val="none"/>
              </w:rPr>
            </w:pPr>
          </w:p>
        </w:tc>
        <w:tc>
          <w:tcPr>
            <w:tcW w:w="611" w:type="dxa"/>
            <w:shd w:val="clear" w:color="auto" w:fill="auto"/>
            <w:vAlign w:val="bottom"/>
          </w:tcPr>
          <w:p>
            <w:pPr>
              <w:rPr>
                <w:rFonts w:hint="default" w:ascii="Arial" w:hAnsi="Arial" w:cs="Arial"/>
                <w:i w:val="0"/>
                <w:color w:val="000000"/>
                <w:sz w:val="20"/>
                <w:szCs w:val="20"/>
                <w:u w:val="none"/>
              </w:rPr>
            </w:pPr>
          </w:p>
        </w:tc>
        <w:tc>
          <w:tcPr>
            <w:tcW w:w="510" w:type="dxa"/>
            <w:shd w:val="clear" w:color="auto" w:fill="auto"/>
            <w:vAlign w:val="bottom"/>
          </w:tcPr>
          <w:p>
            <w:pPr>
              <w:rPr>
                <w:rFonts w:hint="default" w:ascii="Arial" w:hAnsi="Arial" w:cs="Arial"/>
                <w:i w:val="0"/>
                <w:color w:val="000000"/>
                <w:sz w:val="20"/>
                <w:szCs w:val="20"/>
                <w:u w:val="none"/>
              </w:rPr>
            </w:pPr>
          </w:p>
        </w:tc>
        <w:tc>
          <w:tcPr>
            <w:tcW w:w="812" w:type="dxa"/>
            <w:shd w:val="clear" w:color="auto" w:fill="auto"/>
            <w:vAlign w:val="bottom"/>
          </w:tcPr>
          <w:p>
            <w:pPr>
              <w:rPr>
                <w:rFonts w:hint="default" w:ascii="Arial" w:hAnsi="Arial" w:cs="Arial"/>
                <w:i w:val="0"/>
                <w:color w:val="000000"/>
                <w:sz w:val="20"/>
                <w:szCs w:val="20"/>
                <w:u w:val="none"/>
              </w:rPr>
            </w:pPr>
          </w:p>
        </w:tc>
        <w:tc>
          <w:tcPr>
            <w:tcW w:w="585" w:type="dxa"/>
            <w:shd w:val="clear" w:color="auto" w:fill="auto"/>
            <w:vAlign w:val="bottom"/>
          </w:tcPr>
          <w:p>
            <w:pPr>
              <w:rPr>
                <w:rFonts w:hint="default" w:ascii="Arial" w:hAnsi="Arial" w:cs="Arial"/>
                <w:i w:val="0"/>
                <w:color w:val="000000"/>
                <w:sz w:val="20"/>
                <w:szCs w:val="20"/>
                <w:u w:val="none"/>
              </w:rPr>
            </w:pPr>
          </w:p>
        </w:tc>
        <w:tc>
          <w:tcPr>
            <w:tcW w:w="649" w:type="dxa"/>
            <w:shd w:val="clear" w:color="auto" w:fill="auto"/>
            <w:vAlign w:val="bottom"/>
          </w:tcPr>
          <w:p>
            <w:pPr>
              <w:rPr>
                <w:rFonts w:hint="default" w:ascii="Arial" w:hAnsi="Arial" w:cs="Arial"/>
                <w:i w:val="0"/>
                <w:color w:val="000000"/>
                <w:sz w:val="20"/>
                <w:szCs w:val="20"/>
                <w:u w:val="none"/>
              </w:rPr>
            </w:pPr>
          </w:p>
        </w:tc>
        <w:tc>
          <w:tcPr>
            <w:tcW w:w="81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trPr>
        <w:tc>
          <w:tcPr>
            <w:tcW w:w="5069" w:type="dxa"/>
            <w:gridSpan w:val="9"/>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部门：临夏州东乡族自治县文化馆</w:t>
            </w:r>
          </w:p>
        </w:tc>
        <w:tc>
          <w:tcPr>
            <w:tcW w:w="516" w:type="dxa"/>
            <w:shd w:val="clear" w:color="auto" w:fill="auto"/>
            <w:vAlign w:val="bottom"/>
          </w:tcPr>
          <w:p>
            <w:pPr>
              <w:rPr>
                <w:rFonts w:hint="default" w:ascii="Arial" w:hAnsi="Arial" w:cs="Arial"/>
                <w:i w:val="0"/>
                <w:color w:val="000000"/>
                <w:sz w:val="20"/>
                <w:szCs w:val="20"/>
                <w:u w:val="none"/>
              </w:rPr>
            </w:pPr>
          </w:p>
        </w:tc>
        <w:tc>
          <w:tcPr>
            <w:tcW w:w="410" w:type="dxa"/>
            <w:shd w:val="clear" w:color="auto" w:fill="auto"/>
            <w:vAlign w:val="bottom"/>
          </w:tcPr>
          <w:p>
            <w:pPr>
              <w:rPr>
                <w:rFonts w:hint="default" w:ascii="Arial" w:hAnsi="Arial" w:cs="Arial"/>
                <w:i w:val="0"/>
                <w:color w:val="000000"/>
                <w:sz w:val="20"/>
                <w:szCs w:val="20"/>
                <w:u w:val="none"/>
              </w:rPr>
            </w:pPr>
          </w:p>
        </w:tc>
        <w:tc>
          <w:tcPr>
            <w:tcW w:w="611" w:type="dxa"/>
            <w:shd w:val="clear" w:color="auto" w:fill="auto"/>
            <w:vAlign w:val="bottom"/>
          </w:tcPr>
          <w:p>
            <w:pPr>
              <w:rPr>
                <w:rFonts w:hint="default" w:ascii="Arial" w:hAnsi="Arial" w:cs="Arial"/>
                <w:i w:val="0"/>
                <w:color w:val="000000"/>
                <w:sz w:val="20"/>
                <w:szCs w:val="20"/>
                <w:u w:val="none"/>
              </w:rPr>
            </w:pPr>
          </w:p>
        </w:tc>
        <w:tc>
          <w:tcPr>
            <w:tcW w:w="510" w:type="dxa"/>
            <w:shd w:val="clear" w:color="auto" w:fill="auto"/>
            <w:vAlign w:val="bottom"/>
          </w:tcPr>
          <w:p>
            <w:pPr>
              <w:rPr>
                <w:rFonts w:hint="default" w:ascii="Arial" w:hAnsi="Arial" w:cs="Arial"/>
                <w:i w:val="0"/>
                <w:color w:val="000000"/>
                <w:sz w:val="20"/>
                <w:szCs w:val="20"/>
                <w:u w:val="none"/>
              </w:rPr>
            </w:pPr>
          </w:p>
        </w:tc>
        <w:tc>
          <w:tcPr>
            <w:tcW w:w="812" w:type="dxa"/>
            <w:shd w:val="clear" w:color="auto" w:fill="auto"/>
            <w:vAlign w:val="bottom"/>
          </w:tcPr>
          <w:p>
            <w:pPr>
              <w:rPr>
                <w:rFonts w:hint="default" w:ascii="Arial" w:hAnsi="Arial" w:cs="Arial"/>
                <w:i w:val="0"/>
                <w:color w:val="000000"/>
                <w:sz w:val="20"/>
                <w:szCs w:val="20"/>
                <w:u w:val="none"/>
              </w:rPr>
            </w:pPr>
          </w:p>
        </w:tc>
        <w:tc>
          <w:tcPr>
            <w:tcW w:w="585" w:type="dxa"/>
            <w:shd w:val="clear" w:color="auto" w:fill="auto"/>
            <w:vAlign w:val="bottom"/>
          </w:tcPr>
          <w:p>
            <w:pPr>
              <w:rPr>
                <w:rFonts w:hint="default" w:ascii="Arial" w:hAnsi="Arial" w:cs="Arial"/>
                <w:i w:val="0"/>
                <w:color w:val="000000"/>
                <w:sz w:val="20"/>
                <w:szCs w:val="20"/>
                <w:u w:val="none"/>
              </w:rPr>
            </w:pPr>
          </w:p>
        </w:tc>
        <w:tc>
          <w:tcPr>
            <w:tcW w:w="649" w:type="dxa"/>
            <w:shd w:val="clear" w:color="auto" w:fill="auto"/>
            <w:vAlign w:val="bottom"/>
          </w:tcPr>
          <w:p>
            <w:pPr>
              <w:rPr>
                <w:rFonts w:hint="default" w:ascii="Arial" w:hAnsi="Arial" w:cs="Arial"/>
                <w:i w:val="0"/>
                <w:color w:val="000000"/>
                <w:sz w:val="20"/>
                <w:szCs w:val="20"/>
                <w:u w:val="none"/>
              </w:rPr>
            </w:pPr>
          </w:p>
        </w:tc>
        <w:tc>
          <w:tcPr>
            <w:tcW w:w="817"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科目编码</w:t>
            </w:r>
          </w:p>
        </w:tc>
        <w:tc>
          <w:tcPr>
            <w:tcW w:w="473"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科目名称</w:t>
            </w:r>
          </w:p>
        </w:tc>
        <w:tc>
          <w:tcPr>
            <w:tcW w:w="1720"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年初结转和结余</w:t>
            </w:r>
          </w:p>
        </w:tc>
        <w:tc>
          <w:tcPr>
            <w:tcW w:w="1485"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本年收入</w:t>
            </w:r>
          </w:p>
        </w:tc>
        <w:tc>
          <w:tcPr>
            <w:tcW w:w="1531" w:type="dxa"/>
            <w:gridSpan w:val="3"/>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本年支出</w:t>
            </w:r>
          </w:p>
        </w:tc>
        <w:tc>
          <w:tcPr>
            <w:tcW w:w="2863"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 w:hRule="atLeast"/>
        </w:trPr>
        <w:tc>
          <w:tcPr>
            <w:tcW w:w="1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53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基本支出结转</w:t>
            </w:r>
          </w:p>
        </w:tc>
        <w:tc>
          <w:tcPr>
            <w:tcW w:w="623"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项目支出结转和结余</w:t>
            </w:r>
          </w:p>
        </w:tc>
        <w:tc>
          <w:tcPr>
            <w:tcW w:w="49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47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w:t>
            </w:r>
          </w:p>
        </w:tc>
        <w:tc>
          <w:tcPr>
            <w:tcW w:w="516"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w:t>
            </w:r>
          </w:p>
        </w:tc>
        <w:tc>
          <w:tcPr>
            <w:tcW w:w="41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61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w:t>
            </w:r>
          </w:p>
        </w:tc>
        <w:tc>
          <w:tcPr>
            <w:tcW w:w="510"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w:t>
            </w:r>
          </w:p>
        </w:tc>
        <w:tc>
          <w:tcPr>
            <w:tcW w:w="81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58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基本支出结转</w:t>
            </w:r>
          </w:p>
        </w:tc>
        <w:tc>
          <w:tcPr>
            <w:tcW w:w="1466"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9" w:hRule="atLeast"/>
        </w:trPr>
        <w:tc>
          <w:tcPr>
            <w:tcW w:w="1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3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2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9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49"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项目支出结转</w:t>
            </w:r>
          </w:p>
        </w:tc>
        <w:tc>
          <w:tcPr>
            <w:tcW w:w="817"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6" w:hRule="atLeast"/>
        </w:trPr>
        <w:tc>
          <w:tcPr>
            <w:tcW w:w="1907"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3"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3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23"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9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6"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1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0"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8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649"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7"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5"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类</w:t>
            </w:r>
          </w:p>
        </w:tc>
        <w:tc>
          <w:tcPr>
            <w:tcW w:w="81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款</w:t>
            </w:r>
          </w:p>
        </w:tc>
        <w:tc>
          <w:tcPr>
            <w:tcW w:w="81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w:t>
            </w:r>
          </w:p>
        </w:tc>
        <w:tc>
          <w:tcPr>
            <w:tcW w:w="47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栏次</w:t>
            </w:r>
          </w:p>
        </w:tc>
        <w:tc>
          <w:tcPr>
            <w:tcW w:w="56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53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62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49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47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51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4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61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51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c>
          <w:tcPr>
            <w:tcW w:w="81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w:t>
            </w:r>
          </w:p>
        </w:tc>
        <w:tc>
          <w:tcPr>
            <w:tcW w:w="58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w:t>
            </w:r>
          </w:p>
        </w:tc>
        <w:tc>
          <w:tcPr>
            <w:tcW w:w="649"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w:t>
            </w:r>
          </w:p>
        </w:tc>
        <w:tc>
          <w:tcPr>
            <w:tcW w:w="817"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85"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1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合计</w:t>
            </w: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1907" w:type="dxa"/>
            <w:gridSpan w:val="3"/>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73"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56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3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2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9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7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4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1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0"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2"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649"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17"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9979"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979"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2.本表批复到项级科目。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9979" w:type="dxa"/>
            <w:gridSpan w:val="17"/>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3.本表以“万元”为金额单位（保留两位小数）。</w:t>
            </w:r>
          </w:p>
        </w:tc>
      </w:tr>
    </w:tbl>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tbl>
      <w:tblPr>
        <w:tblW w:w="90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609"/>
        <w:gridCol w:w="1095"/>
        <w:gridCol w:w="1320"/>
        <w:gridCol w:w="1590"/>
        <w:gridCol w:w="1065"/>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2609" w:type="dxa"/>
            <w:shd w:val="cle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编制单位：临夏州东乡族自治县文化馆</w:t>
            </w:r>
          </w:p>
        </w:tc>
        <w:tc>
          <w:tcPr>
            <w:tcW w:w="1095" w:type="dxa"/>
            <w:shd w:val="clear"/>
            <w:vAlign w:val="bottom"/>
          </w:tcPr>
          <w:p>
            <w:pPr>
              <w:rPr>
                <w:rFonts w:hint="eastAsia" w:ascii="Arial" w:hAnsi="Arial" w:cs="Arial"/>
                <w:i w:val="0"/>
                <w:color w:val="000000"/>
                <w:sz w:val="20"/>
                <w:szCs w:val="20"/>
                <w:u w:val="none"/>
              </w:rPr>
            </w:pPr>
          </w:p>
        </w:tc>
        <w:tc>
          <w:tcPr>
            <w:tcW w:w="1320" w:type="dxa"/>
            <w:shd w:val="clear"/>
            <w:vAlign w:val="bottom"/>
          </w:tcPr>
          <w:p>
            <w:pPr>
              <w:rPr>
                <w:rFonts w:hint="default" w:ascii="Arial" w:hAnsi="Arial" w:cs="Arial"/>
                <w:i w:val="0"/>
                <w:color w:val="000000"/>
                <w:sz w:val="20"/>
                <w:szCs w:val="20"/>
                <w:u w:val="none"/>
              </w:rPr>
            </w:pPr>
          </w:p>
        </w:tc>
        <w:tc>
          <w:tcPr>
            <w:tcW w:w="1590" w:type="dxa"/>
            <w:shd w:val="clear"/>
            <w:vAlign w:val="bottom"/>
          </w:tcPr>
          <w:p>
            <w:pPr>
              <w:rPr>
                <w:rFonts w:hint="default" w:ascii="Arial" w:hAnsi="Arial" w:cs="Arial"/>
                <w:i w:val="0"/>
                <w:color w:val="000000"/>
                <w:sz w:val="20"/>
                <w:szCs w:val="20"/>
                <w:u w:val="none"/>
              </w:rPr>
            </w:pPr>
          </w:p>
        </w:tc>
        <w:tc>
          <w:tcPr>
            <w:tcW w:w="1065" w:type="dxa"/>
            <w:shd w:val="clear"/>
            <w:vAlign w:val="bottom"/>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spacing w:val="0"/>
                <w:w w:val="100"/>
                <w:kern w:val="0"/>
                <w:position w:val="0"/>
                <w:sz w:val="20"/>
                <w:szCs w:val="20"/>
                <w:u w:val="none"/>
                <w:shd w:val="clear" w:color="auto" w:fill="auto"/>
                <w:lang w:val="en-US" w:eastAsia="zh-CN" w:bidi="ar"/>
              </w:rPr>
              <w:t>2021年度</w:t>
            </w:r>
          </w:p>
        </w:tc>
        <w:tc>
          <w:tcPr>
            <w:tcW w:w="1350" w:type="dxa"/>
            <w:shd w:val="clear"/>
            <w:vAlign w:val="bottom"/>
          </w:tcPr>
          <w:p>
            <w:pPr>
              <w:rPr>
                <w:rFonts w:hint="default" w:ascii="Arial" w:hAnsi="Arial" w:cs="Arial"/>
                <w:i w:val="0"/>
                <w:color w:val="000000"/>
                <w:sz w:val="20"/>
                <w:szCs w:val="20"/>
                <w:u w:val="none"/>
              </w:rPr>
            </w:pPr>
            <w:r>
              <w:rPr>
                <w:rFonts w:hint="default" w:ascii="Arial" w:hAnsi="Arial" w:cs="Arial"/>
                <w:i w:val="0"/>
                <w:color w:val="000000"/>
                <w:sz w:val="20"/>
                <w:szCs w:val="20"/>
                <w:u w:val="none"/>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项  目</w:t>
            </w:r>
          </w:p>
        </w:tc>
        <w:tc>
          <w:tcPr>
            <w:tcW w:w="1095"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行次</w:t>
            </w:r>
          </w:p>
        </w:tc>
        <w:tc>
          <w:tcPr>
            <w:tcW w:w="2910"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年初数</w:t>
            </w:r>
          </w:p>
        </w:tc>
        <w:tc>
          <w:tcPr>
            <w:tcW w:w="2415" w:type="dxa"/>
            <w:gridSpan w:val="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年末数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09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数量</w:t>
            </w:r>
          </w:p>
        </w:tc>
        <w:tc>
          <w:tcPr>
            <w:tcW w:w="159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金额</w:t>
            </w:r>
          </w:p>
        </w:tc>
        <w:tc>
          <w:tcPr>
            <w:tcW w:w="106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数量</w:t>
            </w:r>
          </w:p>
        </w:tc>
        <w:tc>
          <w:tcPr>
            <w:tcW w:w="135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栏  次</w:t>
            </w:r>
          </w:p>
        </w:tc>
        <w:tc>
          <w:tcPr>
            <w:tcW w:w="1095"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2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59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06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35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财务会计补充信息</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一、资产信息</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（一）货币资金</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其中：银行存款</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（二）财政应返还额度</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（三）固定资产原值</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6</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550,175.00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550,175.00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其中：房屋（平方米）</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7</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1.办公用房</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8</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2.业务用房</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9</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3.其他（不含构筑物）</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10</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车辆（台、辆）</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11</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216,900.00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1.轿车</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12</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2.越野车</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3.小型载客汽车</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14</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4.大中型载客汽车</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15</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5.其他车型</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16</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216,900.00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216,900.00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减：固定资产累计折旧</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17</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136,619.97</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189,776.73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固定资产净值</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18</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413,555.03</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360,398.27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（四）在建工程</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19</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二、负债信息</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20</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（一）借款</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21</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（二）应缴财政款</w:t>
            </w:r>
          </w:p>
        </w:tc>
        <w:tc>
          <w:tcPr>
            <w:tcW w:w="109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22</w:t>
            </w:r>
          </w:p>
        </w:tc>
        <w:tc>
          <w:tcPr>
            <w:tcW w:w="1320"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4"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1" w:hRule="atLeast"/>
        </w:trPr>
        <w:tc>
          <w:tcPr>
            <w:tcW w:w="2609" w:type="dxa"/>
            <w:tcBorders>
              <w:left w:val="single" w:color="000000" w:sz="4" w:space="0"/>
              <w:bottom w:val="single" w:color="000000" w:sz="12"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 xml:space="preserve">  （三）应付职工薪酬</w:t>
            </w:r>
          </w:p>
        </w:tc>
        <w:tc>
          <w:tcPr>
            <w:tcW w:w="1095" w:type="dxa"/>
            <w:tcBorders>
              <w:bottom w:val="single" w:color="000000" w:sz="12"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23</w:t>
            </w:r>
          </w:p>
        </w:tc>
        <w:tc>
          <w:tcPr>
            <w:tcW w:w="1320" w:type="dxa"/>
            <w:tcBorders>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590"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c>
          <w:tcPr>
            <w:tcW w:w="1065" w:type="dxa"/>
            <w:tcBorders>
              <w:bottom w:val="single" w:color="000000" w:sz="12"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w:t>
            </w:r>
          </w:p>
        </w:tc>
        <w:tc>
          <w:tcPr>
            <w:tcW w:w="1350" w:type="dxa"/>
            <w:tcBorders>
              <w:bottom w:val="single" w:color="000000" w:sz="12" w:space="0"/>
              <w:right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spacing w:val="0"/>
                <w:w w:val="100"/>
                <w:kern w:val="0"/>
                <w:position w:val="0"/>
                <w:sz w:val="22"/>
                <w:szCs w:val="22"/>
                <w:u w:val="none"/>
                <w:shd w:val="clear" w:color="auto" w:fill="auto"/>
                <w:lang w:val="en-US" w:eastAsia="zh-CN" w:bidi="ar"/>
              </w:rPr>
              <w:t>0.00</w:t>
            </w:r>
          </w:p>
        </w:tc>
      </w:tr>
    </w:tbl>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2021年度收入总计1,716,973.30元，支出总计</w:t>
      </w:r>
      <w:r>
        <w:rPr>
          <w:rFonts w:hint="eastAsia" w:ascii="仿宋_GB2312" w:hAnsi="仿宋" w:eastAsia="仿宋_GB2312"/>
          <w:sz w:val="32"/>
          <w:szCs w:val="32"/>
        </w:rPr>
        <w:t>1,716,973.30元</w:t>
      </w:r>
      <w:r>
        <w:rPr>
          <w:rFonts w:hint="eastAsia" w:ascii="仿宋_GB2312" w:hAnsi="仿宋_GB2312" w:eastAsia="仿宋_GB2312" w:cs="仿宋_GB2312"/>
          <w:color w:val="000000"/>
          <w:spacing w:val="0"/>
          <w:w w:val="100"/>
          <w:position w:val="0"/>
          <w:sz w:val="32"/>
          <w:szCs w:val="32"/>
          <w:lang w:val="en-US" w:eastAsia="zh-CN"/>
        </w:rPr>
        <w:t>，与2020年决算数相比，减少207953.57元，减少10.80%，减少原因主要是非遗保护专项经费比去年减少。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年度收入合计1,716,973.30元，其中：财政拨款收入1,632,973.30元，占</w:t>
      </w:r>
      <w:r>
        <w:rPr>
          <w:rFonts w:hint="eastAsia" w:ascii="仿宋_GB2312" w:hAnsi="仿宋_GB2312" w:eastAsia="仿宋_GB2312" w:cs="仿宋_GB2312"/>
          <w:color w:val="000000"/>
          <w:spacing w:val="0"/>
          <w:w w:val="100"/>
          <w:position w:val="0"/>
          <w:sz w:val="32"/>
          <w:szCs w:val="32"/>
          <w:lang w:val="en-US" w:eastAsia="zh-CN"/>
        </w:rPr>
        <w:t>95.11</w:t>
      </w:r>
      <w:r>
        <w:rPr>
          <w:rFonts w:hint="eastAsia" w:ascii="仿宋_GB2312" w:hAnsi="仿宋_GB2312" w:eastAsia="仿宋_GB2312" w:cs="仿宋_GB2312"/>
          <w:color w:val="000000"/>
          <w:spacing w:val="0"/>
          <w:w w:val="100"/>
          <w:position w:val="0"/>
          <w:sz w:val="32"/>
          <w:szCs w:val="32"/>
        </w:rPr>
        <w:t>%;其他收入</w:t>
      </w:r>
      <w:r>
        <w:rPr>
          <w:rFonts w:hint="eastAsia" w:ascii="仿宋_GB2312" w:hAnsi="仿宋_GB2312" w:eastAsia="仿宋_GB2312" w:cs="仿宋_GB2312"/>
          <w:color w:val="000000"/>
          <w:spacing w:val="0"/>
          <w:w w:val="100"/>
          <w:position w:val="0"/>
          <w:sz w:val="32"/>
          <w:szCs w:val="32"/>
          <w:lang w:val="en-US" w:eastAsia="zh-CN"/>
        </w:rPr>
        <w:t>84000.00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4.89</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 w:eastAsia="仿宋_GB2312"/>
          <w:sz w:val="32"/>
          <w:szCs w:val="32"/>
        </w:rPr>
        <w:t>1,716,973.30</w:t>
      </w:r>
      <w:r>
        <w:rPr>
          <w:rFonts w:hint="eastAsia" w:ascii="仿宋_GB2312" w:hAnsi="仿宋_GB2312" w:eastAsia="仿宋_GB2312" w:cs="仿宋_GB2312"/>
          <w:color w:val="000000"/>
          <w:spacing w:val="0"/>
          <w:w w:val="100"/>
          <w:position w:val="0"/>
          <w:sz w:val="32"/>
          <w:szCs w:val="32"/>
        </w:rPr>
        <w:t>元，其中：基本支出1375795.3</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80.13</w:t>
      </w:r>
      <w:r>
        <w:rPr>
          <w:rFonts w:hint="eastAsia" w:ascii="仿宋_GB2312" w:hAnsi="仿宋_GB2312" w:eastAsia="仿宋_GB2312" w:cs="仿宋_GB2312"/>
          <w:color w:val="000000"/>
          <w:spacing w:val="0"/>
          <w:w w:val="100"/>
          <w:position w:val="0"/>
          <w:sz w:val="32"/>
          <w:szCs w:val="32"/>
        </w:rPr>
        <w:t>%；项目支出341,178.00元，占</w:t>
      </w:r>
      <w:r>
        <w:rPr>
          <w:rFonts w:hint="eastAsia" w:ascii="仿宋_GB2312" w:hAnsi="仿宋_GB2312" w:eastAsia="仿宋_GB2312" w:cs="仿宋_GB2312"/>
          <w:color w:val="000000"/>
          <w:spacing w:val="0"/>
          <w:w w:val="100"/>
          <w:position w:val="0"/>
          <w:sz w:val="32"/>
          <w:szCs w:val="32"/>
          <w:lang w:val="en-US" w:eastAsia="zh-CN"/>
        </w:rPr>
        <w:t>19.87</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 w:eastAsia="仿宋_GB2312"/>
          <w:sz w:val="32"/>
          <w:szCs w:val="32"/>
        </w:rPr>
        <w:t>1632973.30</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291953.57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15.17</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财政拨款</w:t>
      </w:r>
      <w:r>
        <w:rPr>
          <w:rFonts w:hint="eastAsia" w:ascii="仿宋_GB2312" w:hAnsi="仿宋_GB2312" w:eastAsia="仿宋_GB2312" w:cs="仿宋_GB2312"/>
          <w:color w:val="000000"/>
          <w:spacing w:val="0"/>
          <w:w w:val="100"/>
          <w:position w:val="0"/>
          <w:sz w:val="32"/>
          <w:szCs w:val="32"/>
        </w:rPr>
        <w:t>项目</w:t>
      </w:r>
      <w:r>
        <w:rPr>
          <w:rFonts w:hint="eastAsia" w:ascii="仿宋_GB2312" w:hAnsi="仿宋_GB2312" w:eastAsia="仿宋_GB2312" w:cs="仿宋_GB2312"/>
          <w:color w:val="000000"/>
          <w:spacing w:val="0"/>
          <w:w w:val="100"/>
          <w:position w:val="0"/>
          <w:sz w:val="32"/>
          <w:szCs w:val="32"/>
          <w:lang w:eastAsia="zh-CN"/>
        </w:rPr>
        <w:t>收入</w:t>
      </w:r>
      <w:r>
        <w:rPr>
          <w:rFonts w:hint="eastAsia" w:ascii="仿宋_GB2312" w:hAnsi="仿宋_GB2312" w:eastAsia="仿宋_GB2312" w:cs="仿宋_GB2312"/>
          <w:color w:val="000000"/>
          <w:spacing w:val="0"/>
          <w:w w:val="100"/>
          <w:position w:val="0"/>
          <w:sz w:val="32"/>
          <w:szCs w:val="32"/>
        </w:rPr>
        <w:t>减少，2021年实施非物质文化遗产保护项目补助资金</w:t>
      </w:r>
      <w:r>
        <w:rPr>
          <w:rFonts w:hint="eastAsia" w:ascii="仿宋_GB2312" w:hAnsi="仿宋_GB2312" w:eastAsia="仿宋_GB2312" w:cs="仿宋_GB2312"/>
          <w:color w:val="000000"/>
          <w:spacing w:val="0"/>
          <w:w w:val="100"/>
          <w:position w:val="0"/>
          <w:sz w:val="32"/>
          <w:szCs w:val="32"/>
          <w:lang w:eastAsia="zh-CN"/>
        </w:rPr>
        <w:t>收入</w:t>
      </w:r>
      <w:r>
        <w:rPr>
          <w:rFonts w:hint="eastAsia" w:ascii="仿宋_GB2312" w:hAnsi="仿宋_GB2312" w:eastAsia="仿宋_GB2312" w:cs="仿宋_GB2312"/>
          <w:color w:val="000000"/>
          <w:spacing w:val="0"/>
          <w:w w:val="100"/>
          <w:position w:val="0"/>
          <w:sz w:val="32"/>
          <w:szCs w:val="32"/>
        </w:rPr>
        <w:t>较2020年减少。</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年度财政拨款支出1632973.30元，较上年决算数减少291953.57元，减少15.17%。主要原因是项目支出减少，2021年实施非物质文化遗产保护项目补助资金较2020年减少。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lang w:eastAsia="zh-CN"/>
        </w:rPr>
      </w:pPr>
      <w:r>
        <w:rPr>
          <w:rFonts w:hint="eastAsia" w:ascii="黑体" w:hAnsi="黑体" w:eastAsia="黑体" w:cs="黑体"/>
          <w:b/>
          <w:bCs/>
          <w:i w:val="0"/>
          <w:iCs w:val="0"/>
          <w:smallCaps w:val="0"/>
          <w:strike w:val="0"/>
          <w:color w:val="000000"/>
          <w:spacing w:val="0"/>
          <w:w w:val="100"/>
          <w:position w:val="0"/>
          <w:sz w:val="32"/>
          <w:szCs w:val="32"/>
          <w:lang w:eastAsia="zh-CN"/>
        </w:rPr>
        <w:t>五、一般公共预算财政拨款支出决算情况说明</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w:t>
      </w:r>
      <w:r>
        <w:rPr>
          <w:rFonts w:hint="eastAsia" w:ascii="仿宋_GB2312" w:hAnsi="仿宋_GB2312" w:eastAsia="仿宋_GB2312" w:cs="仿宋_GB2312"/>
          <w:color w:val="000000"/>
          <w:spacing w:val="0"/>
          <w:w w:val="100"/>
          <w:position w:val="0"/>
          <w:sz w:val="32"/>
          <w:szCs w:val="32"/>
        </w:rPr>
        <w:t>1632973.30</w:t>
      </w:r>
      <w:r>
        <w:rPr>
          <w:rFonts w:hint="eastAsia" w:ascii="仿宋_GB2312" w:hAnsi="仿宋_GB2312" w:eastAsia="仿宋_GB2312" w:cs="仿宋_GB2312"/>
          <w:color w:val="000000"/>
          <w:spacing w:val="0"/>
          <w:w w:val="100"/>
          <w:position w:val="0"/>
          <w:sz w:val="32"/>
          <w:szCs w:val="32"/>
          <w:lang w:val="en-US" w:eastAsia="zh-CN"/>
        </w:rPr>
        <w:t>元，占本年支出的 95.11%，较上年决算数减少291953.57元，减少15.17%。主要原因是财政拨款项目收入减少，2021年实施非物质文化遗产保护项目补助资金收入较2020年减少。主要用于以下几个方面：</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rPr>
        <w:t>940</w:t>
      </w:r>
      <w:r>
        <w:rPr>
          <w:rFonts w:hint="eastAsia" w:ascii="仿宋_GB2312" w:hAnsi="仿宋_GB2312" w:eastAsia="仿宋_GB2312" w:cs="仿宋_GB2312"/>
          <w:color w:val="000000"/>
          <w:spacing w:val="0"/>
          <w:w w:val="100"/>
          <w:position w:val="0"/>
          <w:sz w:val="32"/>
          <w:szCs w:val="32"/>
        </w:rPr>
        <w:t>5</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0.58</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1549.00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 w:eastAsia="仿宋_GB2312"/>
          <w:sz w:val="32"/>
          <w:szCs w:val="32"/>
          <w:lang w:eastAsia="zh-CN"/>
        </w:rPr>
        <w:t>工会经费；</w:t>
      </w:r>
      <w:r>
        <w:rPr>
          <w:rFonts w:hint="eastAsia" w:ascii="仿宋_GB2312" w:hAnsi="仿宋_GB2312" w:eastAsia="仿宋_GB2312" w:cs="仿宋_GB2312"/>
          <w:color w:val="000000"/>
          <w:spacing w:val="0"/>
          <w:w w:val="100"/>
          <w:position w:val="0"/>
          <w:sz w:val="32"/>
          <w:szCs w:val="32"/>
          <w:lang w:val="en-US" w:eastAsia="zh-CN"/>
        </w:rPr>
        <w:fldChar w:fldCharType="begin"/>
      </w:r>
      <w:r>
        <w:rPr>
          <w:rFonts w:hint="eastAsia" w:ascii="仿宋_GB2312" w:hAnsi="仿宋_GB2312" w:eastAsia="仿宋_GB2312" w:cs="仿宋_GB2312"/>
          <w:color w:val="000000"/>
          <w:spacing w:val="0"/>
          <w:w w:val="100"/>
          <w:position w:val="0"/>
          <w:sz w:val="32"/>
          <w:szCs w:val="32"/>
          <w:lang w:val="en-US" w:eastAsia="zh-CN"/>
        </w:rPr>
        <w:instrText xml:space="preserve">TOC\o"1-5"\h\z</w:instrText>
      </w:r>
      <w:r>
        <w:rPr>
          <w:rFonts w:hint="eastAsia" w:ascii="仿宋_GB2312" w:hAnsi="仿宋_GB2312" w:eastAsia="仿宋_GB2312" w:cs="仿宋_GB2312"/>
          <w:color w:val="000000"/>
          <w:spacing w:val="0"/>
          <w:w w:val="100"/>
          <w:position w:val="0"/>
          <w:sz w:val="32"/>
          <w:szCs w:val="32"/>
          <w:lang w:val="en-US" w:eastAsia="zh-CN"/>
        </w:rPr>
        <w:fldChar w:fldCharType="separate"/>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文化旅游体育与传媒支出1427312.02元，占87.41%,较年初预算数增加429481.02元，主要原因是甘财科[2020]84号：甘肃省财政厅关于提前下达2021年非物质文化遗产保护专项资金156,728.00元、甘财科[2020]83号：关于提前下达2021年三馆一站免费开放补助资金184,450.00元等资金未列入年初预算；</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社会保障与就业支出130380.48元，占7.98%,较年初预算数增加0.48元，主要原因是养老保险无变化;</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卫生健康支出49375.8元，占3.02%,较年初预算数增加49375.8元，主要原因是医疗保险年初未列入预算；</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农林水支出16500.00元，占1.01%,较年初预算数增加16500.00元，主要原因是驻村队员生活补助年初未列入预算;</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leftChars="0" w:right="0" w:firstLine="640" w:firstLineChars="200"/>
        <w:jc w:val="both"/>
        <w:textAlignment w:val="auto"/>
        <w:outlineLvl w:val="9"/>
        <w:rPr>
          <w:rFonts w:hint="default" w:ascii="黑体" w:hAnsi="黑体" w:eastAsia="黑体" w:cs="黑体"/>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fldChar w:fldCharType="end"/>
      </w:r>
      <w:r>
        <w:rPr>
          <w:rFonts w:hint="eastAsia" w:ascii="黑体" w:hAnsi="黑体" w:eastAsia="黑体" w:cs="黑体"/>
          <w:b/>
          <w:bCs/>
          <w:i w:val="0"/>
          <w:iCs w:val="0"/>
          <w:smallCaps w:val="0"/>
          <w:strike w:val="0"/>
          <w:color w:val="000000"/>
          <w:spacing w:val="0"/>
          <w:w w:val="100"/>
          <w:position w:val="0"/>
          <w:sz w:val="32"/>
          <w:szCs w:val="32"/>
          <w:lang w:eastAsia="zh-CN"/>
        </w:rPr>
        <w:t>六、</w:t>
      </w:r>
      <w:r>
        <w:rPr>
          <w:rFonts w:hint="eastAsia" w:ascii="黑体" w:hAnsi="黑体" w:eastAsia="黑体" w:cs="黑体"/>
          <w:b/>
          <w:bCs/>
          <w:i w:val="0"/>
          <w:iCs w:val="0"/>
          <w:smallCaps w:val="0"/>
          <w:strike w:val="0"/>
          <w:color w:val="000000"/>
          <w:spacing w:val="0"/>
          <w:w w:val="100"/>
          <w:position w:val="0"/>
          <w:sz w:val="32"/>
          <w:szCs w:val="32"/>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年度一般公共财政拨款基本支出1291795.3元。其中：人员经费1229164.78元，较上年增加105380.28元，主要原因是</w:t>
      </w:r>
      <w:r>
        <w:rPr>
          <w:rFonts w:hint="eastAsia" w:ascii="仿宋_GB2312" w:hAnsi="仿宋_GB2312" w:eastAsia="仿宋_GB2312" w:cs="仿宋_GB2312"/>
          <w:color w:val="000000"/>
          <w:spacing w:val="0"/>
          <w:w w:val="100"/>
          <w:position w:val="0"/>
          <w:sz w:val="32"/>
          <w:szCs w:val="32"/>
          <w:lang w:eastAsia="zh-CN"/>
        </w:rPr>
        <w:t>人员工资减少</w:t>
      </w:r>
      <w:r>
        <w:rPr>
          <w:rFonts w:hint="eastAsia" w:ascii="仿宋_GB2312" w:hAnsi="仿宋_GB2312" w:eastAsia="仿宋_GB2312" w:cs="仿宋_GB2312"/>
          <w:color w:val="000000"/>
          <w:spacing w:val="0"/>
          <w:w w:val="100"/>
          <w:position w:val="0"/>
          <w:sz w:val="32"/>
          <w:szCs w:val="32"/>
        </w:rPr>
        <w:t>。人员经费用途主要包括基本工资、津贴补贴、奖金、社会保障缴费等</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公用经费62630.52元，较上年</w:t>
      </w:r>
      <w:r>
        <w:rPr>
          <w:rFonts w:hint="eastAsia" w:ascii="仿宋_GB2312" w:hAnsi="仿宋_GB2312" w:eastAsia="仿宋_GB2312" w:cs="仿宋_GB2312"/>
          <w:color w:val="000000"/>
          <w:spacing w:val="0"/>
          <w:w w:val="100"/>
          <w:position w:val="0"/>
          <w:sz w:val="32"/>
          <w:szCs w:val="32"/>
          <w:lang w:eastAsia="zh-CN"/>
        </w:rPr>
        <w:t>减少80165.94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公用经费支出减少</w:t>
      </w:r>
      <w:r>
        <w:rPr>
          <w:rFonts w:hint="eastAsia" w:ascii="仿宋_GB2312" w:hAnsi="仿宋_GB2312" w:eastAsia="仿宋_GB2312" w:cs="仿宋_GB2312"/>
          <w:color w:val="000000"/>
          <w:spacing w:val="0"/>
          <w:w w:val="100"/>
          <w:position w:val="0"/>
          <w:sz w:val="32"/>
          <w:szCs w:val="32"/>
        </w:rPr>
        <w:t>，公用经费用途主要包括办公费、</w:t>
      </w:r>
      <w:r>
        <w:rPr>
          <w:rFonts w:hint="eastAsia" w:ascii="仿宋_GB2312" w:hAnsi="仿宋_GB2312" w:eastAsia="仿宋_GB2312" w:cs="仿宋_GB2312"/>
          <w:color w:val="000000"/>
          <w:spacing w:val="0"/>
          <w:w w:val="100"/>
          <w:position w:val="0"/>
          <w:sz w:val="32"/>
          <w:szCs w:val="32"/>
          <w:lang w:eastAsia="zh-CN"/>
        </w:rPr>
        <w:t>水费、电费、邮电费、差旅费、公务用车运行维护费</w:t>
      </w:r>
      <w:r>
        <w:rPr>
          <w:rFonts w:hint="eastAsia" w:ascii="仿宋_GB2312" w:hAnsi="仿宋_GB2312" w:eastAsia="仿宋_GB2312" w:cs="仿宋_GB2312"/>
          <w:color w:val="000000"/>
          <w:spacing w:val="0"/>
          <w:w w:val="100"/>
          <w:position w:val="0"/>
          <w:sz w:val="32"/>
          <w:szCs w:val="32"/>
        </w:rPr>
        <w:t>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公”经费年初预算数为10000</w:t>
      </w:r>
      <w:r>
        <w:rPr>
          <w:rFonts w:hint="eastAsia" w:ascii="仿宋_GB2312" w:hAnsi="仿宋_GB2312" w:eastAsia="仿宋_GB2312" w:cs="仿宋_GB2312"/>
          <w:color w:val="000000"/>
          <w:spacing w:val="0"/>
          <w:w w:val="100"/>
          <w:position w:val="0"/>
          <w:sz w:val="32"/>
          <w:szCs w:val="32"/>
          <w:lang w:val="en-US" w:eastAsia="zh-CN"/>
        </w:rPr>
        <w:t>.00</w:t>
      </w:r>
      <w:r>
        <w:rPr>
          <w:rFonts w:hint="eastAsia" w:ascii="仿宋_GB2312" w:hAnsi="仿宋_GB2312" w:eastAsia="仿宋_GB2312" w:cs="仿宋_GB2312"/>
          <w:color w:val="000000"/>
          <w:spacing w:val="0"/>
          <w:w w:val="100"/>
          <w:position w:val="0"/>
          <w:sz w:val="32"/>
          <w:szCs w:val="32"/>
        </w:rPr>
        <w:t>元，支出决算数为4690.14元，较年初预算数</w:t>
      </w:r>
      <w:r>
        <w:rPr>
          <w:rFonts w:hint="eastAsia" w:ascii="仿宋_GB2312" w:hAnsi="仿宋_GB2312" w:eastAsia="仿宋_GB2312" w:cs="仿宋_GB2312"/>
          <w:color w:val="000000"/>
          <w:spacing w:val="0"/>
          <w:w w:val="100"/>
          <w:position w:val="0"/>
          <w:sz w:val="32"/>
          <w:szCs w:val="32"/>
          <w:lang w:eastAsia="zh-CN"/>
        </w:rPr>
        <w:t>减少3337.41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w:t>
      </w:r>
      <w:r>
        <w:rPr>
          <w:rFonts w:hint="eastAsia" w:ascii="仿宋_GB2312" w:hAnsi="仿宋_GB2312" w:eastAsia="仿宋_GB2312" w:cs="仿宋_GB2312"/>
          <w:color w:val="000000"/>
          <w:spacing w:val="0"/>
          <w:w w:val="100"/>
          <w:position w:val="0"/>
          <w:sz w:val="32"/>
          <w:szCs w:val="32"/>
        </w:rPr>
        <w:t>年流动文化车保险费下降</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10000.00</w:t>
      </w:r>
      <w:r>
        <w:rPr>
          <w:rFonts w:hint="eastAsia" w:ascii="仿宋_GB2312" w:hAnsi="仿宋_GB2312" w:eastAsia="仿宋_GB2312" w:cs="仿宋_GB2312"/>
          <w:color w:val="000000"/>
          <w:spacing w:val="0"/>
          <w:w w:val="100"/>
          <w:position w:val="0"/>
          <w:sz w:val="32"/>
          <w:szCs w:val="32"/>
        </w:rPr>
        <w:t>元，支出决算数为4690.14元,费用支出较年初预算数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5309.86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w:t>
      </w:r>
      <w:r>
        <w:rPr>
          <w:rFonts w:hint="eastAsia" w:ascii="仿宋_GB2312" w:hAnsi="仿宋_GB2312" w:eastAsia="仿宋_GB2312" w:cs="仿宋_GB2312"/>
          <w:color w:val="000000"/>
          <w:spacing w:val="0"/>
          <w:w w:val="100"/>
          <w:position w:val="0"/>
          <w:sz w:val="32"/>
          <w:szCs w:val="32"/>
        </w:rPr>
        <w:t>年流动文化车保险费下降</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val="0"/>
          <w:bCs w:val="0"/>
          <w:color w:val="333333"/>
          <w:sz w:val="32"/>
          <w:szCs w:val="32"/>
          <w:lang w:val="en-US" w:eastAsia="zh-CN"/>
        </w:rPr>
        <w:t>其中：</w:t>
      </w:r>
      <w:r>
        <w:rPr>
          <w:rFonts w:ascii="仿宋_GB2312" w:hAnsi="仿宋_GB2312" w:eastAsia="仿宋_GB2312" w:cs="仿宋_GB2312"/>
          <w:b/>
          <w:bCs/>
          <w:color w:val="333333"/>
          <w:sz w:val="32"/>
          <w:szCs w:val="32"/>
        </w:rPr>
        <w:t>公务用车购置费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ascii="仿宋_GB2312" w:hAnsi="仿宋_GB2312" w:eastAsia="仿宋_GB2312" w:cs="仿宋_GB2312"/>
          <w:b/>
          <w:bCs/>
          <w:color w:val="333333"/>
          <w:sz w:val="32"/>
          <w:szCs w:val="32"/>
        </w:rPr>
        <w:t>公务用车运行维护费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10000.00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sz w:val="32"/>
          <w:szCs w:val="32"/>
          <w:lang w:val="en-US" w:eastAsia="zh-CN"/>
        </w:rPr>
        <w:t>4690.14</w:t>
      </w:r>
      <w:r>
        <w:rPr>
          <w:rFonts w:hint="eastAsia" w:ascii="仿宋_GB2312" w:hAnsi="仿宋_GB2312" w:eastAsia="仿宋_GB2312" w:cs="仿宋_GB2312"/>
          <w:color w:val="000000"/>
          <w:spacing w:val="0"/>
          <w:w w:val="100"/>
          <w:position w:val="0"/>
          <w:sz w:val="32"/>
          <w:szCs w:val="32"/>
        </w:rPr>
        <w:t>元，主要用于</w:t>
      </w:r>
      <w:r>
        <w:rPr>
          <w:rFonts w:hint="eastAsia" w:ascii="仿宋_GB2312" w:hAnsi="仿宋_GB2312" w:eastAsia="仿宋_GB2312" w:cs="仿宋_GB2312"/>
          <w:color w:val="000000"/>
          <w:spacing w:val="0"/>
          <w:w w:val="100"/>
          <w:position w:val="0"/>
          <w:sz w:val="32"/>
          <w:szCs w:val="32"/>
          <w:lang w:eastAsia="zh-CN"/>
        </w:rPr>
        <w:t>流动文化车</w:t>
      </w:r>
      <w:r>
        <w:rPr>
          <w:rFonts w:hint="eastAsia" w:ascii="仿宋_GB2312" w:hAnsi="仿宋_GB2312" w:eastAsia="仿宋_GB2312" w:cs="仿宋_GB2312"/>
          <w:color w:val="000000"/>
          <w:spacing w:val="0"/>
          <w:w w:val="100"/>
          <w:position w:val="0"/>
          <w:sz w:val="32"/>
          <w:szCs w:val="32"/>
        </w:rPr>
        <w:t>所需车辆的燃料费、保险费等），费用支出较年初预算数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5309.86</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2021</w:t>
      </w:r>
      <w:r>
        <w:rPr>
          <w:rFonts w:hint="eastAsia" w:ascii="仿宋_GB2312" w:hAnsi="仿宋_GB2312" w:eastAsia="仿宋_GB2312" w:cs="仿宋_GB2312"/>
          <w:color w:val="000000"/>
          <w:spacing w:val="0"/>
          <w:w w:val="100"/>
          <w:position w:val="0"/>
          <w:sz w:val="32"/>
          <w:szCs w:val="32"/>
        </w:rPr>
        <w:t>年流动文化车保险费下降，较上年支出数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3337.41</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val="en-US" w:eastAsia="zh-CN"/>
        </w:rPr>
        <w:t>较上年</w:t>
      </w:r>
      <w:r>
        <w:rPr>
          <w:rFonts w:hint="eastAsia" w:ascii="仿宋_GB2312" w:hAnsi="仿宋_GB2312" w:eastAsia="仿宋_GB2312" w:cs="仿宋_GB2312"/>
          <w:color w:val="000000"/>
          <w:spacing w:val="0"/>
          <w:w w:val="100"/>
          <w:position w:val="0"/>
          <w:sz w:val="32"/>
          <w:szCs w:val="32"/>
        </w:rPr>
        <w:t>流动文化车保险费下降。</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，较上年无变化。</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1</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年度本部门（本单位）人均接待费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元，车均购置费</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元，车均维护费</w:t>
      </w:r>
      <w:r>
        <w:rPr>
          <w:rFonts w:hint="eastAsia" w:ascii="仿宋_GB2312" w:hAnsi="仿宋_GB2312" w:eastAsia="仿宋_GB2312" w:cs="仿宋_GB2312"/>
          <w:color w:val="000000"/>
          <w:spacing w:val="0"/>
          <w:w w:val="100"/>
          <w:position w:val="0"/>
          <w:sz w:val="32"/>
          <w:szCs w:val="32"/>
          <w:lang w:val="en-US" w:eastAsia="zh-CN"/>
        </w:rPr>
        <w:t>4690.14</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年本部门（本单位）机关运行经费支出1086134.02元，机关运行经费主要用于开支</w:t>
      </w:r>
      <w:r>
        <w:rPr>
          <w:rFonts w:hint="eastAsia" w:ascii="仿宋_GB2312" w:hAnsi="仿宋_GB2312" w:eastAsia="仿宋_GB2312" w:cs="仿宋_GB2312"/>
          <w:color w:val="000000"/>
          <w:spacing w:val="0"/>
          <w:w w:val="100"/>
          <w:position w:val="0"/>
          <w:sz w:val="32"/>
          <w:szCs w:val="32"/>
          <w:lang w:eastAsia="zh-CN"/>
        </w:rPr>
        <w:t>工资福利、办公费、水电费、差旅费、公务用车运行维护费、退休费、奖励金等</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95744.66</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8.1</w:t>
      </w:r>
      <w:r>
        <w:rPr>
          <w:rFonts w:hint="eastAsia" w:ascii="仿宋_GB2312" w:hAnsi="仿宋_GB2312" w:eastAsia="仿宋_GB2312" w:cs="仿宋_GB2312"/>
          <w:color w:val="000000"/>
          <w:spacing w:val="0"/>
          <w:w w:val="100"/>
          <w:position w:val="0"/>
          <w:sz w:val="32"/>
          <w:szCs w:val="32"/>
        </w:rPr>
        <w:t>%，主要原因是本单位今年</w:t>
      </w:r>
      <w:r>
        <w:rPr>
          <w:rFonts w:hint="eastAsia" w:ascii="仿宋_GB2312" w:hAnsi="仿宋_GB2312" w:eastAsia="仿宋_GB2312" w:cs="仿宋_GB2312"/>
          <w:color w:val="000000"/>
          <w:spacing w:val="0"/>
          <w:w w:val="100"/>
          <w:position w:val="0"/>
          <w:sz w:val="32"/>
          <w:szCs w:val="32"/>
          <w:lang w:eastAsia="zh-CN"/>
        </w:rPr>
        <w:t>人员办公费、差旅费、公务用车运行维护费等减少</w:t>
      </w:r>
      <w:r>
        <w:rPr>
          <w:rFonts w:hint="eastAsia" w:ascii="仿宋_GB2312" w:hAnsi="仿宋_GB2312" w:eastAsia="仿宋_GB2312" w:cs="仿宋_GB2312"/>
          <w:color w:val="000000"/>
          <w:spacing w:val="0"/>
          <w:w w:val="100"/>
          <w:position w:val="0"/>
          <w:sz w:val="32"/>
          <w:szCs w:val="32"/>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1</w:t>
      </w:r>
      <w:r>
        <w:rPr>
          <w:rFonts w:hint="eastAsia" w:ascii="仿宋_GB2312" w:hAnsi="仿宋_GB2312" w:eastAsia="仿宋_GB2312" w:cs="仿宋_GB2312"/>
          <w:color w:val="000000"/>
          <w:spacing w:val="0"/>
          <w:w w:val="100"/>
          <w:position w:val="0"/>
          <w:sz w:val="32"/>
          <w:szCs w:val="32"/>
        </w:rPr>
        <w:t>辆，其中：主要领导干部用车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辆、机要通信用车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辆、应急保障用车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辆、执法执勤用车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辆、特种专业技术用车</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辆、离退休干部用车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辆、其他用车</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val="zh-CN" w:eastAsia="zh-CN" w:bidi="zh-CN"/>
        </w:rPr>
        <w:t>本</w:t>
      </w:r>
      <w:r>
        <w:rPr>
          <w:rFonts w:hint="eastAsia" w:ascii="仿宋_GB2312" w:hAnsi="仿宋_GB2312" w:eastAsia="仿宋_GB2312" w:cs="仿宋_GB2312"/>
          <w:color w:val="000000"/>
          <w:spacing w:val="0"/>
          <w:w w:val="100"/>
          <w:position w:val="0"/>
          <w:sz w:val="32"/>
          <w:szCs w:val="32"/>
        </w:rPr>
        <w:t>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根据《临夏州州级预算绩效管理办法》，我部门（我单位）组织实施了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我</w:t>
      </w:r>
      <w:r>
        <w:rPr>
          <w:rFonts w:hint="eastAsia" w:ascii="仿宋_GB2312" w:hAnsi="仿宋_GB2312" w:eastAsia="仿宋_GB2312" w:cs="仿宋_GB2312"/>
          <w:color w:val="000000"/>
          <w:spacing w:val="0"/>
          <w:w w:val="100"/>
          <w:position w:val="0"/>
          <w:sz w:val="32"/>
          <w:szCs w:val="32"/>
        </w:rPr>
        <w:t>单位本年</w:t>
      </w:r>
      <w:r>
        <w:rPr>
          <w:rFonts w:hint="eastAsia" w:ascii="仿宋_GB2312" w:hAnsi="仿宋_GB2312" w:eastAsia="仿宋_GB2312" w:cs="仿宋_GB2312"/>
          <w:color w:val="000000"/>
          <w:spacing w:val="0"/>
          <w:w w:val="100"/>
          <w:position w:val="0"/>
          <w:sz w:val="32"/>
          <w:szCs w:val="32"/>
          <w:lang w:eastAsia="zh-CN"/>
        </w:rPr>
        <w:t>的</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eastAsia="zh-CN"/>
        </w:rPr>
        <w:t>不涉及</w:t>
      </w:r>
      <w:r>
        <w:rPr>
          <w:rFonts w:hint="eastAsia" w:ascii="仿宋_GB2312" w:hAnsi="仿宋_GB2312" w:eastAsia="仿宋_GB2312" w:cs="仿宋_GB2312"/>
          <w:color w:val="000000"/>
          <w:spacing w:val="0"/>
          <w:w w:val="100"/>
          <w:position w:val="0"/>
          <w:sz w:val="32"/>
          <w:szCs w:val="32"/>
        </w:rPr>
        <w:t>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right="0"/>
        <w:jc w:val="left"/>
        <w:textAlignment w:val="auto"/>
        <w:rPr>
          <w:rFonts w:hint="eastAsia" w:ascii="仿宋_GB2312" w:hAnsi="仿宋_GB2312" w:eastAsia="仿宋_GB2312" w:cs="仿宋_GB2312"/>
          <w:color w:val="000000"/>
          <w:spacing w:val="0"/>
          <w:w w:val="100"/>
          <w:position w:val="0"/>
          <w:sz w:val="32"/>
          <w:szCs w:val="32"/>
        </w:rPr>
      </w:pPr>
      <w:bookmarkStart w:id="20" w:name="_GoBack"/>
      <w:bookmarkEnd w:id="20"/>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eG4vnYAAAADQEAAA8AAAAAAAAAAQAgAAAAIgAAAGRycy9kb3ducmV2&#10;LnhtbFBLAQIUABQAAAAIAIdO4kDM1a5gigEAAB8DAAAOAAAAAAAAAAEAIAAAACcBAABkcnMvZTJv&#10;RG9jLnhtbFBLBQYAAAAABgAGAFkBAAAjBQA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Yy5Pu2AAAAA0BAAAPAAAAAAAAAAEAIAAAACIAAABkcnMvZG93bnJl&#10;di54bWxQSwECFAAUAAAACACHTuJAmaluTYsBAAAgAwAADgAAAAAAAAABACAAAAAnAQAAZHJzL2Uy&#10;b0RvYy54bWxQSwUGAAAAAAYABgBZAQAAJAU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fLrLNgAAAANAQAADwAAAAAAAAABACAAAAAiAAAAZHJzL2Rvd25y&#10;ZXYueG1sUEsBAhQAFAAAAAgAh07iQDCXXZGMAQAAIAMAAA4AAAAAAAAAAQAgAAAAJwEAAGRycy9l&#10;Mm9Eb2MueG1sUEsFBgAAAAAGAAYAWQEAACUF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mY2ZDVjMTQ5NjMxZDc5ODI2YjQ4OWQwOTc4YzViNWEifQ=="/>
  </w:docVars>
  <w:rsids>
    <w:rsidRoot w:val="00000000"/>
    <w:rsid w:val="025870BE"/>
    <w:rsid w:val="0511788F"/>
    <w:rsid w:val="06AA1511"/>
    <w:rsid w:val="06E53385"/>
    <w:rsid w:val="0A4C6688"/>
    <w:rsid w:val="102F6D2F"/>
    <w:rsid w:val="13D86850"/>
    <w:rsid w:val="1739327C"/>
    <w:rsid w:val="19BA4320"/>
    <w:rsid w:val="1B205130"/>
    <w:rsid w:val="1C3D03AF"/>
    <w:rsid w:val="1E712589"/>
    <w:rsid w:val="1F523B54"/>
    <w:rsid w:val="25FD0C5D"/>
    <w:rsid w:val="29C05E6C"/>
    <w:rsid w:val="2BB25B02"/>
    <w:rsid w:val="2C01635A"/>
    <w:rsid w:val="2F8C4DBE"/>
    <w:rsid w:val="2F990904"/>
    <w:rsid w:val="34561934"/>
    <w:rsid w:val="34E31979"/>
    <w:rsid w:val="35481DB0"/>
    <w:rsid w:val="39F46F0A"/>
    <w:rsid w:val="3ABD5DEE"/>
    <w:rsid w:val="3BD710AD"/>
    <w:rsid w:val="40277DA6"/>
    <w:rsid w:val="41670196"/>
    <w:rsid w:val="42736B67"/>
    <w:rsid w:val="43D445BB"/>
    <w:rsid w:val="4B60103E"/>
    <w:rsid w:val="4C9C35F9"/>
    <w:rsid w:val="4F1428B3"/>
    <w:rsid w:val="51DE0AFD"/>
    <w:rsid w:val="537062B7"/>
    <w:rsid w:val="55BE5515"/>
    <w:rsid w:val="56783463"/>
    <w:rsid w:val="57D535F7"/>
    <w:rsid w:val="58806626"/>
    <w:rsid w:val="5DA900C0"/>
    <w:rsid w:val="60D720E0"/>
    <w:rsid w:val="62922058"/>
    <w:rsid w:val="65A8756E"/>
    <w:rsid w:val="71A606BC"/>
    <w:rsid w:val="720E4E8D"/>
    <w:rsid w:val="726D3C91"/>
    <w:rsid w:val="745D61E5"/>
    <w:rsid w:val="785A5C57"/>
    <w:rsid w:val="794C38BE"/>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4">
    <w:name w:val="Strong"/>
    <w:basedOn w:val="3"/>
    <w:qFormat/>
    <w:uiPriority w:val="0"/>
    <w:rPr>
      <w:b/>
      <w:bCs/>
    </w:rPr>
  </w:style>
  <w:style w:type="character" w:styleId="5">
    <w:name w:val="FollowedHyperlink"/>
    <w:basedOn w:val="3"/>
    <w:qFormat/>
    <w:uiPriority w:val="0"/>
    <w:rPr>
      <w:color w:val="333333"/>
      <w:u w:val="none"/>
    </w:rPr>
  </w:style>
  <w:style w:type="character" w:styleId="6">
    <w:name w:val="HTML Definition"/>
    <w:basedOn w:val="3"/>
    <w:uiPriority w:val="0"/>
    <w:rPr>
      <w:i/>
      <w:iCs/>
    </w:rPr>
  </w:style>
  <w:style w:type="character" w:styleId="7">
    <w:name w:val="Hyperlink"/>
    <w:basedOn w:val="3"/>
    <w:qFormat/>
    <w:uiPriority w:val="0"/>
    <w:rPr>
      <w:color w:val="333333"/>
      <w:u w:val="none"/>
    </w:rPr>
  </w:style>
  <w:style w:type="character" w:styleId="8">
    <w:name w:val="HTML Code"/>
    <w:basedOn w:val="3"/>
    <w:uiPriority w:val="0"/>
    <w:rPr>
      <w:rFonts w:ascii="Consolas" w:hAnsi="Consolas" w:eastAsia="Consolas" w:cs="Consolas"/>
      <w:color w:val="C7254E"/>
      <w:sz w:val="21"/>
      <w:szCs w:val="21"/>
      <w:shd w:val="clear" w:fill="F9F2F4"/>
    </w:rPr>
  </w:style>
  <w:style w:type="character" w:styleId="9">
    <w:name w:val="HTML Keyboard"/>
    <w:basedOn w:val="3"/>
    <w:qFormat/>
    <w:uiPriority w:val="0"/>
    <w:rPr>
      <w:rFonts w:hint="default" w:ascii="Consolas" w:hAnsi="Consolas" w:eastAsia="Consolas" w:cs="Consolas"/>
      <w:color w:val="FFFFFF"/>
      <w:sz w:val="21"/>
      <w:szCs w:val="21"/>
      <w:shd w:val="clear" w:fill="333333"/>
    </w:rPr>
  </w:style>
  <w:style w:type="character" w:styleId="10">
    <w:name w:val="HTML Sample"/>
    <w:basedOn w:val="3"/>
    <w:qFormat/>
    <w:uiPriority w:val="0"/>
    <w:rPr>
      <w:rFonts w:hint="default" w:ascii="Consolas" w:hAnsi="Consolas" w:eastAsia="Consolas" w:cs="Consolas"/>
      <w:sz w:val="21"/>
      <w:szCs w:val="21"/>
    </w:rPr>
  </w:style>
  <w:style w:type="character" w:customStyle="1" w:styleId="12">
    <w:name w:val="Body text|1_"/>
    <w:basedOn w:val="3"/>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3"/>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3"/>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3"/>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3"/>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3"/>
    <w:qFormat/>
    <w:uiPriority w:val="0"/>
  </w:style>
  <w:style w:type="character" w:customStyle="1" w:styleId="23">
    <w:name w:val="zwxxgk_bnt61"/>
    <w:basedOn w:val="3"/>
    <w:qFormat/>
    <w:uiPriority w:val="0"/>
  </w:style>
  <w:style w:type="character" w:customStyle="1" w:styleId="24">
    <w:name w:val="zwxxgk_bnt62"/>
    <w:basedOn w:val="3"/>
    <w:qFormat/>
    <w:uiPriority w:val="0"/>
  </w:style>
  <w:style w:type="character" w:customStyle="1" w:styleId="25">
    <w:name w:val="zwxxgk_bnt5"/>
    <w:basedOn w:val="3"/>
    <w:qFormat/>
    <w:uiPriority w:val="0"/>
  </w:style>
  <w:style w:type="character" w:customStyle="1" w:styleId="26">
    <w:name w:val="zwxxgk_bnt51"/>
    <w:basedOn w:val="3"/>
    <w:qFormat/>
    <w:uiPriority w:val="0"/>
  </w:style>
  <w:style w:type="character" w:customStyle="1" w:styleId="27">
    <w:name w:val="zwxxgk_bnt52"/>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51</TotalTime>
  <ScaleCrop>false</ScaleCrop>
  <LinksUpToDate>false</LinksUpToDate>
  <CharactersWithSpaces>8148</CharactersWithSpaces>
  <Application>WPS Office_10.1.0.7520_F1E327BC-269C-435d-A152-05C5408002CA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2022-09-14T04:46:31Z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3FB965A942B84C0B8C0D4DECFF396933</vt:lpwstr>
  </property>
</Properties>
</file>