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ind w:firstLine="880" w:firstLineChars="200"/>
        <w:jc w:val="center"/>
        <w:rPr>
          <w:rFonts w:hint="eastAsia" w:ascii="黑体" w:hAnsi="黑体" w:eastAsia="黑体"/>
          <w:sz w:val="40"/>
          <w:szCs w:val="40"/>
        </w:rPr>
      </w:pPr>
      <w:r>
        <w:rPr>
          <w:rFonts w:hint="eastAsia" w:ascii="黑体" w:hAnsi="黑体" w:eastAsia="黑体"/>
          <w:sz w:val="44"/>
          <w:szCs w:val="44"/>
          <w:lang w:eastAsia="zh-CN"/>
        </w:rPr>
        <w:t>河滩镇20</w:t>
      </w:r>
      <w:r>
        <w:rPr>
          <w:rFonts w:hint="eastAsia" w:ascii="黑体" w:hAnsi="黑体" w:eastAsia="黑体"/>
          <w:sz w:val="44"/>
          <w:szCs w:val="44"/>
          <w:lang w:val="en-US" w:eastAsia="zh-CN"/>
        </w:rPr>
        <w:t>21</w:t>
      </w:r>
      <w:r>
        <w:rPr>
          <w:rFonts w:hint="eastAsia" w:ascii="黑体" w:hAnsi="黑体" w:eastAsia="黑体"/>
          <w:sz w:val="44"/>
          <w:szCs w:val="44"/>
          <w:lang w:eastAsia="zh-CN"/>
        </w:rPr>
        <w:t>年</w:t>
      </w:r>
      <w:r>
        <w:rPr>
          <w:rFonts w:hint="eastAsia" w:ascii="黑体" w:hAnsi="黑体" w:eastAsia="黑体"/>
          <w:sz w:val="44"/>
          <w:szCs w:val="44"/>
        </w:rPr>
        <w:t>度部门决算情况说明</w:t>
      </w:r>
    </w:p>
    <w:p>
      <w:pPr>
        <w:ind w:firstLine="800" w:firstLineChars="200"/>
        <w:rPr>
          <w:rFonts w:hint="eastAsia" w:ascii="黑体" w:hAnsi="黑体" w:eastAsia="黑体"/>
          <w:sz w:val="40"/>
          <w:szCs w:val="4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00" w:lineRule="exact"/>
        <w:ind w:firstLine="640" w:firstLineChars="200"/>
        <w:rPr>
          <w:rFonts w:ascii="仿宋_GB2312" w:eastAsia="仿宋_GB2312"/>
          <w:sz w:val="32"/>
        </w:rPr>
      </w:pPr>
      <w:r>
        <w:rPr>
          <w:rFonts w:hint="eastAsia" w:ascii="仿宋_GB2312" w:eastAsia="仿宋_GB2312"/>
          <w:sz w:val="32"/>
        </w:rPr>
        <w:t>主要职责是：</w:t>
      </w:r>
      <w:r>
        <w:rPr>
          <w:rFonts w:hint="eastAsia" w:ascii="仿宋_GB2312" w:eastAsia="仿宋_GB2312"/>
          <w:sz w:val="32"/>
          <w:lang w:eastAsia="zh-CN"/>
        </w:rPr>
        <w:t>镇</w:t>
      </w:r>
      <w:r>
        <w:rPr>
          <w:rFonts w:hint="eastAsia" w:ascii="仿宋_GB2312" w:eastAsia="仿宋_GB2312"/>
          <w:sz w:val="32"/>
        </w:rPr>
        <w:t>党委、政府主要承担着贯彻落实党和政府各项路线方针政策、促进经济发展、加强社会管理、提供公共服务和维护农村稳定，推动农村物质文明、政治文明、精神文明及和谐社会建设的重大任务。根据党章和《地方组织法》的规定，结合当前农村经济社会发展的新形势，新时期乡镇重点履行以下职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促进经济发展、增加农民收入。认真贯彻党在农村的各项方针政策，切实落实国家强农惠农政策措施。结合当地实际和做好乡村发展规划，推动产业结构调整，转变经济发展方式。稳定和完善农村基本经营制度，支持农民专业合作经济组织发展，健全农村市场和农业服务体系。保护基本农田，推广农业先进事业技术，抓好粮食生产。发展培育特色优势产业和特色经济，扶持龙头企业发展壮大，促进现代农业发展。</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强化公共服务，着力改善民生。加快新型农村公共服务体系建设，着力解决群众生产生活中的突出问题。建立健全农村社会保障体系，完善农村最低生活保障制度。加强农村精神文明建设，繁荣发展农村文化。提高农村人口素质，稳定农村低生育水平。加强生态建设和环境保户，做好防灾减灾工作。做好新农村建设的规划和实施，不断改善农村人畜饮水道路等基础设施。</w:t>
      </w:r>
    </w:p>
    <w:p>
      <w:pPr>
        <w:numPr>
          <w:ilvl w:val="0"/>
          <w:numId w:val="1"/>
        </w:numPr>
        <w:spacing w:line="600" w:lineRule="exact"/>
        <w:ind w:firstLine="640" w:firstLineChars="200"/>
        <w:rPr>
          <w:rFonts w:ascii="仿宋_GB2312" w:eastAsia="仿宋_GB2312"/>
          <w:sz w:val="32"/>
        </w:rPr>
      </w:pPr>
      <w:r>
        <w:rPr>
          <w:rFonts w:hint="eastAsia" w:ascii="仿宋_GB2312" w:eastAsia="仿宋_GB2312"/>
          <w:sz w:val="32"/>
        </w:rPr>
        <w:t>加强社会管理，维护农村稳定。强化农村社会治安综合治理，加强乡镇信访和人民调解工作，维护农村社会公共秩序，确保农村社会稳定。协同相关部门搞好农村市场监管，维护市场秩序。推进依法行政，严格依法履行职责，健全维护农民权益机制，保障农民合法权益，维护农民社会公平正义。</w:t>
      </w:r>
    </w:p>
    <w:p>
      <w:pPr>
        <w:ind w:firstLine="640" w:firstLineChars="200"/>
        <w:rPr>
          <w:rFonts w:ascii="仿宋_GB2312" w:eastAsia="仿宋_GB2312"/>
          <w:sz w:val="32"/>
        </w:rPr>
      </w:pPr>
      <w:r>
        <w:rPr>
          <w:rFonts w:hint="eastAsia" w:ascii="仿宋_GB2312" w:eastAsia="仿宋_GB2312"/>
          <w:sz w:val="32"/>
        </w:rPr>
        <w:t>推进基层民主，促进农村和谐。加强农村党的基层组织建设，指导村民自治，引导农民有序参与村级事务管理，推动农村社区建设，促进社会组织健康发展，增强农村社会自治功能。</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党政综合办公室</w:t>
      </w:r>
    </w:p>
    <w:p>
      <w:pPr>
        <w:spacing w:line="600" w:lineRule="exact"/>
        <w:ind w:firstLine="640"/>
        <w:rPr>
          <w:rFonts w:hint="eastAsia" w:ascii="仿宋" w:hAnsi="仿宋" w:eastAsia="仿宋" w:cs="仿宋"/>
          <w:sz w:val="32"/>
        </w:rPr>
      </w:pPr>
      <w:r>
        <w:rPr>
          <w:rFonts w:hint="eastAsia" w:ascii="仿宋" w:hAnsi="仿宋" w:eastAsia="仿宋" w:cs="仿宋"/>
          <w:sz w:val="32"/>
        </w:rPr>
        <w:t>主要负责镇党委、人大、政府日常工作；负责镇纪检监察、组织人事、工会、团委、妇联、信访接待、档案管理和机关后勤等工作。</w:t>
      </w:r>
    </w:p>
    <w:p>
      <w:pPr>
        <w:numPr>
          <w:ilvl w:val="0"/>
          <w:numId w:val="2"/>
        </w:numPr>
        <w:spacing w:line="600" w:lineRule="exact"/>
        <w:ind w:left="0" w:leftChars="0" w:firstLine="640" w:firstLineChars="200"/>
        <w:rPr>
          <w:rFonts w:hint="eastAsia" w:ascii="仿宋" w:hAnsi="仿宋" w:eastAsia="仿宋" w:cs="仿宋"/>
          <w:sz w:val="32"/>
          <w:lang w:val="en-US" w:eastAsia="zh-CN"/>
        </w:rPr>
      </w:pPr>
      <w:r>
        <w:rPr>
          <w:rFonts w:hint="eastAsia" w:ascii="仿宋" w:hAnsi="仿宋" w:eastAsia="仿宋" w:cs="仿宋"/>
          <w:sz w:val="32"/>
          <w:lang w:val="en-US" w:eastAsia="zh-CN"/>
        </w:rPr>
        <w:t>党建工作办公室</w:t>
      </w:r>
    </w:p>
    <w:p>
      <w:pPr>
        <w:numPr>
          <w:ilvl w:val="0"/>
          <w:numId w:val="0"/>
        </w:numPr>
        <w:spacing w:line="600" w:lineRule="exact"/>
        <w:ind w:leftChars="200"/>
        <w:rPr>
          <w:rFonts w:hint="default" w:ascii="仿宋" w:hAnsi="仿宋" w:eastAsia="仿宋" w:cs="仿宋"/>
          <w:sz w:val="32"/>
          <w:lang w:val="en-US" w:eastAsia="zh-CN"/>
        </w:rPr>
      </w:pPr>
      <w:r>
        <w:rPr>
          <w:rFonts w:hint="eastAsia" w:ascii="仿宋" w:hAnsi="仿宋" w:eastAsia="仿宋" w:cs="仿宋"/>
          <w:sz w:val="32"/>
        </w:rPr>
        <w:t>主要负责</w:t>
      </w:r>
      <w:r>
        <w:rPr>
          <w:rFonts w:hint="eastAsia" w:ascii="仿宋" w:hAnsi="仿宋" w:eastAsia="仿宋" w:cs="仿宋"/>
          <w:sz w:val="32"/>
          <w:lang w:eastAsia="zh-CN"/>
        </w:rPr>
        <w:t>党的政治建设，组织建设，党风廉政建设和反腐败建设工作，群众工作以及工会、团委、妇联等群团工作；负责基层民主政治建设，信访投诉等工作。</w:t>
      </w:r>
    </w:p>
    <w:p>
      <w:pPr>
        <w:numPr>
          <w:ilvl w:val="0"/>
          <w:numId w:val="2"/>
        </w:numPr>
        <w:spacing w:line="600" w:lineRule="exact"/>
        <w:ind w:firstLine="640" w:firstLineChars="200"/>
        <w:rPr>
          <w:rFonts w:ascii="仿宋" w:hAnsi="仿宋" w:eastAsia="仿宋" w:cs="仿宋"/>
          <w:sz w:val="32"/>
        </w:rPr>
      </w:pPr>
      <w:r>
        <w:rPr>
          <w:rFonts w:hint="eastAsia" w:ascii="仿宋" w:hAnsi="仿宋" w:eastAsia="仿宋" w:cs="仿宋"/>
          <w:sz w:val="32"/>
        </w:rPr>
        <w:t>经济社会发展办公室</w:t>
      </w:r>
    </w:p>
    <w:p>
      <w:pPr>
        <w:spacing w:line="600" w:lineRule="exact"/>
        <w:rPr>
          <w:rFonts w:hint="eastAsia" w:ascii="仿宋" w:hAnsi="仿宋" w:eastAsia="仿宋" w:cs="仿宋"/>
          <w:sz w:val="32"/>
        </w:rPr>
      </w:pPr>
      <w:r>
        <w:rPr>
          <w:rFonts w:hint="eastAsia" w:ascii="仿宋" w:hAnsi="仿宋" w:eastAsia="仿宋" w:cs="仿宋"/>
          <w:sz w:val="32"/>
        </w:rPr>
        <w:t xml:space="preserve">   主要负责镇经济发展规划、安全生产监管、统计和审计工作；负责扶贫开发和惠农强农政策措施的贯彻落实，稳定和完善农村基本经营制度等工作；负责镇社会发展规划的拟定及组织实施；负责镇宣传、统战、民族宗教、教育、民政、科技、文化、卫生、体育、广播影视工作；负责村镇建设、环境保护的监管等工作；</w:t>
      </w:r>
    </w:p>
    <w:p>
      <w:pPr>
        <w:spacing w:line="600" w:lineRule="exact"/>
        <w:rPr>
          <w:rFonts w:hint="default" w:ascii="仿宋" w:hAnsi="仿宋" w:eastAsia="仿宋" w:cs="仿宋"/>
          <w:sz w:val="32"/>
          <w:lang w:val="en-US" w:eastAsia="zh-CN"/>
        </w:rPr>
      </w:pPr>
      <w:r>
        <w:rPr>
          <w:rFonts w:hint="eastAsia" w:ascii="仿宋" w:hAnsi="仿宋" w:eastAsia="仿宋" w:cs="仿宋"/>
          <w:sz w:val="32"/>
          <w:lang w:val="en-US" w:eastAsia="zh-CN"/>
        </w:rPr>
        <w:t xml:space="preserve">    4、社会事务办公室（加挂民族宗教事务办公室、卫生健康办公室牌子），主要负责统战、民族宗教、计划生育、卫生健康、民政事务、残疾人保障、社会保障、医疗保险、住房保障等工作。</w:t>
      </w:r>
    </w:p>
    <w:p>
      <w:pPr>
        <w:numPr>
          <w:ilvl w:val="0"/>
          <w:numId w:val="0"/>
        </w:numPr>
        <w:spacing w:line="600" w:lineRule="exact"/>
        <w:ind w:firstLine="640" w:firstLineChars="200"/>
        <w:rPr>
          <w:rFonts w:ascii="仿宋" w:hAnsi="仿宋" w:eastAsia="仿宋" w:cs="仿宋"/>
          <w:sz w:val="32"/>
        </w:rPr>
      </w:pPr>
      <w:r>
        <w:rPr>
          <w:rFonts w:hint="eastAsia" w:ascii="仿宋" w:hAnsi="仿宋" w:eastAsia="仿宋" w:cs="仿宋"/>
          <w:sz w:val="32"/>
          <w:lang w:val="en-US" w:eastAsia="zh-CN"/>
        </w:rPr>
        <w:t>5、</w:t>
      </w:r>
      <w:r>
        <w:rPr>
          <w:rFonts w:hint="eastAsia" w:ascii="仿宋" w:hAnsi="仿宋" w:eastAsia="仿宋" w:cs="仿宋"/>
          <w:sz w:val="32"/>
        </w:rPr>
        <w:t>社会治理</w:t>
      </w:r>
      <w:r>
        <w:rPr>
          <w:rFonts w:hint="eastAsia" w:ascii="仿宋" w:hAnsi="仿宋" w:eastAsia="仿宋" w:cs="仿宋"/>
          <w:sz w:val="32"/>
          <w:lang w:eastAsia="zh-CN"/>
        </w:rPr>
        <w:t>和应急管理</w:t>
      </w:r>
      <w:r>
        <w:rPr>
          <w:rFonts w:hint="eastAsia" w:ascii="仿宋" w:hAnsi="仿宋" w:eastAsia="仿宋" w:cs="仿宋"/>
          <w:sz w:val="32"/>
        </w:rPr>
        <w:t>办公室（</w:t>
      </w:r>
      <w:r>
        <w:rPr>
          <w:rFonts w:hint="eastAsia" w:ascii="仿宋" w:hAnsi="仿宋" w:eastAsia="仿宋" w:cs="仿宋"/>
          <w:sz w:val="32"/>
          <w:lang w:eastAsia="zh-CN"/>
        </w:rPr>
        <w:t>加</w:t>
      </w:r>
      <w:r>
        <w:rPr>
          <w:rFonts w:hint="eastAsia" w:ascii="仿宋" w:hAnsi="仿宋" w:eastAsia="仿宋" w:cs="仿宋"/>
          <w:sz w:val="32"/>
        </w:rPr>
        <w:t>挂</w:t>
      </w:r>
      <w:r>
        <w:rPr>
          <w:rFonts w:hint="eastAsia" w:ascii="仿宋" w:hAnsi="仿宋" w:eastAsia="仿宋" w:cs="仿宋"/>
          <w:sz w:val="32"/>
          <w:lang w:eastAsia="zh-CN"/>
        </w:rPr>
        <w:t>禁毒办公室</w:t>
      </w:r>
      <w:r>
        <w:rPr>
          <w:rFonts w:hint="eastAsia" w:ascii="仿宋" w:hAnsi="仿宋" w:eastAsia="仿宋" w:cs="仿宋"/>
          <w:sz w:val="32"/>
        </w:rPr>
        <w:t>牌子）</w:t>
      </w:r>
    </w:p>
    <w:p>
      <w:pPr>
        <w:spacing w:line="600" w:lineRule="exact"/>
        <w:ind w:firstLine="640"/>
        <w:rPr>
          <w:rFonts w:hint="eastAsia" w:ascii="仿宋" w:hAnsi="仿宋" w:eastAsia="仿宋" w:cs="仿宋"/>
          <w:sz w:val="32"/>
          <w:lang w:eastAsia="zh-CN"/>
        </w:rPr>
      </w:pPr>
      <w:r>
        <w:rPr>
          <w:rFonts w:hint="eastAsia" w:ascii="仿宋" w:hAnsi="仿宋" w:eastAsia="仿宋" w:cs="仿宋"/>
          <w:sz w:val="32"/>
        </w:rPr>
        <w:t>主要负责</w:t>
      </w:r>
      <w:r>
        <w:rPr>
          <w:rFonts w:hint="eastAsia" w:ascii="仿宋" w:hAnsi="仿宋" w:eastAsia="仿宋" w:cs="仿宋"/>
          <w:sz w:val="32"/>
          <w:lang w:eastAsia="zh-CN"/>
        </w:rPr>
        <w:t>政法、村（社）治理、综治、维稳、禁毒、反邪教等工作；负责应急救援、安全生产监管、防灾减灾、法制建设、人民调解、行政调解等工作、维护辖区社会稳定。</w:t>
      </w:r>
    </w:p>
    <w:p>
      <w:pPr>
        <w:spacing w:line="600" w:lineRule="exact"/>
        <w:ind w:firstLine="640"/>
        <w:rPr>
          <w:rFonts w:ascii="仿宋" w:hAnsi="仿宋" w:eastAsia="仿宋" w:cs="仿宋"/>
          <w:sz w:val="32"/>
        </w:rPr>
      </w:pPr>
      <w:r>
        <w:rPr>
          <w:rFonts w:hint="eastAsia" w:ascii="仿宋" w:hAnsi="仿宋" w:eastAsia="仿宋" w:cs="仿宋"/>
          <w:sz w:val="32"/>
        </w:rPr>
        <w:t>事业机构：</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lang w:eastAsia="zh-CN"/>
        </w:rPr>
        <w:t>农业</w:t>
      </w:r>
      <w:r>
        <w:rPr>
          <w:rFonts w:hint="eastAsia" w:ascii="仿宋" w:hAnsi="仿宋" w:eastAsia="仿宋" w:cs="仿宋"/>
          <w:sz w:val="32"/>
        </w:rPr>
        <w:t>农</w:t>
      </w:r>
      <w:r>
        <w:rPr>
          <w:rFonts w:hint="eastAsia" w:ascii="仿宋" w:hAnsi="仿宋" w:eastAsia="仿宋" w:cs="仿宋"/>
          <w:sz w:val="32"/>
          <w:lang w:eastAsia="zh-CN"/>
        </w:rPr>
        <w:t>村综合</w:t>
      </w:r>
      <w:r>
        <w:rPr>
          <w:rFonts w:hint="eastAsia" w:ascii="仿宋" w:hAnsi="仿宋" w:eastAsia="仿宋" w:cs="仿宋"/>
          <w:sz w:val="32"/>
        </w:rPr>
        <w:t>服务中心</w:t>
      </w:r>
    </w:p>
    <w:p>
      <w:pPr>
        <w:spacing w:line="600" w:lineRule="exact"/>
        <w:ind w:firstLine="640"/>
        <w:rPr>
          <w:rFonts w:ascii="仿宋" w:hAnsi="仿宋" w:eastAsia="仿宋" w:cs="仿宋"/>
          <w:sz w:val="32"/>
        </w:rPr>
      </w:pPr>
      <w:r>
        <w:rPr>
          <w:rFonts w:hint="eastAsia" w:ascii="仿宋" w:hAnsi="仿宋" w:eastAsia="仿宋" w:cs="仿宋"/>
          <w:sz w:val="32"/>
        </w:rPr>
        <w:t>负责镇农业、农技、农机技术推广工作；负责镇林业、水利、渔业等各类服务工作；负责镇植物疫情监管防控工作；负责镇农产品质量安全监管服务等工作。</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rPr>
        <w:t>农经财政服务中心</w:t>
      </w:r>
    </w:p>
    <w:p>
      <w:pPr>
        <w:spacing w:line="600" w:lineRule="exact"/>
        <w:ind w:firstLine="640"/>
        <w:rPr>
          <w:rFonts w:ascii="仿宋" w:hAnsi="仿宋" w:eastAsia="仿宋" w:cs="仿宋"/>
          <w:sz w:val="32"/>
        </w:rPr>
      </w:pPr>
      <w:r>
        <w:rPr>
          <w:rFonts w:hint="eastAsia" w:ascii="仿宋" w:hAnsi="仿宋" w:eastAsia="仿宋" w:cs="仿宋"/>
          <w:sz w:val="32"/>
        </w:rPr>
        <w:t>负责农村经济经营管理、镇企业服务工作；负责镇各类惠农资金核算核拨工作，参与农村集体资产与财务管理等工作；</w:t>
      </w:r>
    </w:p>
    <w:p>
      <w:pPr>
        <w:numPr>
          <w:ilvl w:val="0"/>
          <w:numId w:val="3"/>
        </w:numPr>
        <w:spacing w:line="600" w:lineRule="exact"/>
        <w:ind w:firstLine="640"/>
        <w:rPr>
          <w:rFonts w:ascii="仿宋" w:hAnsi="仿宋" w:eastAsia="仿宋" w:cs="仿宋"/>
          <w:sz w:val="32"/>
        </w:rPr>
      </w:pPr>
      <w:r>
        <w:rPr>
          <w:rFonts w:hint="eastAsia" w:ascii="仿宋" w:hAnsi="仿宋" w:eastAsia="仿宋" w:cs="仿宋"/>
          <w:sz w:val="32"/>
        </w:rPr>
        <w:t>社会事务服务中心</w:t>
      </w:r>
    </w:p>
    <w:p>
      <w:pPr>
        <w:spacing w:line="600" w:lineRule="exact"/>
        <w:ind w:firstLine="640"/>
        <w:rPr>
          <w:rFonts w:ascii="仿宋" w:hAnsi="仿宋" w:eastAsia="仿宋" w:cs="仿宋"/>
          <w:sz w:val="32"/>
        </w:rPr>
      </w:pPr>
      <w:r>
        <w:rPr>
          <w:rFonts w:hint="eastAsia" w:ascii="仿宋" w:hAnsi="仿宋" w:eastAsia="仿宋" w:cs="仿宋"/>
          <w:sz w:val="32"/>
        </w:rPr>
        <w:t>负责镇社会保障工作；负责镇劳务输出和劳动争议等工作。</w:t>
      </w:r>
    </w:p>
    <w:p>
      <w:pPr>
        <w:spacing w:line="600" w:lineRule="exact"/>
        <w:ind w:firstLine="640"/>
        <w:rPr>
          <w:rFonts w:ascii="仿宋" w:hAnsi="仿宋" w:eastAsia="仿宋" w:cs="仿宋"/>
          <w:sz w:val="32"/>
        </w:rPr>
      </w:pPr>
      <w:r>
        <w:rPr>
          <w:rFonts w:hint="eastAsia" w:ascii="仿宋" w:hAnsi="仿宋" w:eastAsia="仿宋" w:cs="仿宋"/>
          <w:sz w:val="32"/>
        </w:rPr>
        <w:t>4、文化服务中心</w:t>
      </w:r>
    </w:p>
    <w:p>
      <w:pPr>
        <w:spacing w:line="600" w:lineRule="exact"/>
        <w:ind w:firstLine="640"/>
        <w:rPr>
          <w:rFonts w:hint="eastAsia" w:ascii="黑体" w:hAnsi="黑体" w:eastAsia="黑体"/>
          <w:sz w:val="30"/>
          <w:szCs w:val="30"/>
        </w:rPr>
      </w:pPr>
      <w:r>
        <w:rPr>
          <w:rFonts w:hint="eastAsia" w:ascii="仿宋" w:hAnsi="仿宋" w:eastAsia="仿宋" w:cs="仿宋"/>
          <w:sz w:val="32"/>
        </w:rPr>
        <w:t>负责镇文化建设和群众性文化体育活动；负责镇文化广播影视工作；负责“农家书屋”建设等工作。</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p>
      <w:pPr>
        <w:ind w:firstLine="420" w:firstLineChars="200"/>
        <w:rPr>
          <w:rFonts w:hint="eastAsia" w:ascii="仿宋_GB2312" w:eastAsia="仿宋_GB2312"/>
          <w:sz w:val="30"/>
          <w:szCs w:val="30"/>
        </w:rPr>
      </w:pPr>
      <w:r>
        <w:drawing>
          <wp:inline distT="0" distB="0" distL="114300" distR="114300">
            <wp:extent cx="8896350" cy="7629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96350" cy="7629525"/>
                    </a:xfrm>
                    <a:prstGeom prst="rect">
                      <a:avLst/>
                    </a:prstGeom>
                    <a:noFill/>
                    <a:ln>
                      <a:noFill/>
                    </a:ln>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p>
      <w:pPr>
        <w:ind w:firstLine="420" w:firstLineChars="200"/>
      </w:pPr>
      <w:r>
        <w:drawing>
          <wp:inline distT="0" distB="0" distL="114300" distR="114300">
            <wp:extent cx="11172825" cy="71247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1172825" cy="7124700"/>
                    </a:xfrm>
                    <a:prstGeom prst="rect">
                      <a:avLst/>
                    </a:prstGeom>
                    <a:noFill/>
                    <a:ln>
                      <a:noFill/>
                    </a:ln>
                  </pic:spPr>
                </pic:pic>
              </a:graphicData>
            </a:graphic>
          </wp:inline>
        </w:drawing>
      </w:r>
    </w:p>
    <w:p>
      <w:pPr>
        <w:ind w:firstLine="420" w:firstLineChars="200"/>
      </w:pPr>
    </w:p>
    <w:p>
      <w:pPr>
        <w:ind w:firstLine="420" w:firstLineChars="200"/>
      </w:pPr>
    </w:p>
    <w:p>
      <w:pPr>
        <w:ind w:firstLine="420" w:firstLineChars="200"/>
        <w:rPr>
          <w:rFonts w:hint="eastAsia"/>
        </w:rPr>
      </w:pPr>
    </w:p>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p>
      <w:pPr>
        <w:ind w:firstLine="420" w:firstLineChars="200"/>
      </w:pPr>
      <w:r>
        <w:drawing>
          <wp:inline distT="0" distB="0" distL="114300" distR="114300">
            <wp:extent cx="8648700" cy="73247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648700" cy="7324725"/>
                    </a:xfrm>
                    <a:prstGeom prst="rect">
                      <a:avLst/>
                    </a:prstGeom>
                    <a:noFill/>
                    <a:ln>
                      <a:noFill/>
                    </a:ln>
                  </pic:spPr>
                </pic:pic>
              </a:graphicData>
            </a:graphic>
          </wp:inline>
        </w:drawing>
      </w:r>
    </w:p>
    <w:p>
      <w:pPr>
        <w:ind w:firstLine="420" w:firstLineChars="200"/>
        <w:rPr>
          <w:rFonts w:hint="eastAsia"/>
        </w:rPr>
      </w:pPr>
    </w:p>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p>
      <w:pPr>
        <w:ind w:firstLine="420" w:firstLineChars="200"/>
        <w:rPr>
          <w:rFonts w:hint="eastAsia" w:ascii="仿宋_GB2312" w:eastAsia="仿宋_GB2312"/>
          <w:sz w:val="30"/>
          <w:szCs w:val="30"/>
        </w:rPr>
      </w:pPr>
      <w:r>
        <w:drawing>
          <wp:inline distT="0" distB="0" distL="114300" distR="114300">
            <wp:extent cx="10648950" cy="7658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0648950" cy="7658100"/>
                    </a:xfrm>
                    <a:prstGeom prst="rect">
                      <a:avLst/>
                    </a:prstGeom>
                    <a:noFill/>
                    <a:ln>
                      <a:noFill/>
                    </a:ln>
                  </pic:spPr>
                </pic:pic>
              </a:graphicData>
            </a:graphic>
          </wp:inline>
        </w:drawing>
      </w:r>
    </w:p>
    <w:tbl>
      <w:tblPr>
        <w:tblStyle w:val="5"/>
        <w:tblW w:w="16936" w:type="dxa"/>
        <w:tblInd w:w="93" w:type="dxa"/>
        <w:shd w:val="clear" w:color="auto" w:fill="auto"/>
        <w:tblLayout w:type="autofit"/>
        <w:tblCellMar>
          <w:top w:w="0" w:type="dxa"/>
          <w:left w:w="108" w:type="dxa"/>
          <w:bottom w:w="0" w:type="dxa"/>
          <w:right w:w="108" w:type="dxa"/>
        </w:tblCellMar>
      </w:tblPr>
      <w:tblGrid>
        <w:gridCol w:w="3616"/>
        <w:gridCol w:w="570"/>
        <w:gridCol w:w="1680"/>
        <w:gridCol w:w="3660"/>
        <w:gridCol w:w="570"/>
        <w:gridCol w:w="1680"/>
        <w:gridCol w:w="1680"/>
        <w:gridCol w:w="1740"/>
        <w:gridCol w:w="1740"/>
      </w:tblGrid>
      <w:tr>
        <w:tblPrEx>
          <w:shd w:val="clear" w:color="auto" w:fill="auto"/>
          <w:tblCellMar>
            <w:top w:w="0" w:type="dxa"/>
            <w:left w:w="108" w:type="dxa"/>
            <w:bottom w:w="0" w:type="dxa"/>
            <w:right w:w="108" w:type="dxa"/>
          </w:tblCellMar>
        </w:tblPrEx>
        <w:trPr>
          <w:trHeight w:val="308" w:hRule="atLeast"/>
        </w:trPr>
        <w:tc>
          <w:tcPr>
            <w:tcW w:w="3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60"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5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p>
      <w:pPr>
        <w:ind w:firstLine="420" w:firstLineChars="200"/>
        <w:rPr>
          <w:rFonts w:hint="eastAsia" w:ascii="仿宋_GB2312" w:eastAsia="仿宋_GB2312"/>
          <w:sz w:val="30"/>
          <w:szCs w:val="30"/>
        </w:rPr>
      </w:pPr>
      <w:r>
        <w:drawing>
          <wp:inline distT="0" distB="0" distL="114300" distR="114300">
            <wp:extent cx="13291185" cy="5041900"/>
            <wp:effectExtent l="0" t="0" r="5715"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3291185" cy="5041900"/>
                    </a:xfrm>
                    <a:prstGeom prst="rect">
                      <a:avLst/>
                    </a:prstGeom>
                    <a:noFill/>
                    <a:ln>
                      <a:noFill/>
                    </a:ln>
                  </pic:spPr>
                </pic:pic>
              </a:graphicData>
            </a:graphic>
          </wp:inline>
        </w:drawing>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p>
      <w:pPr>
        <w:ind w:firstLine="420" w:firstLineChars="200"/>
        <w:rPr>
          <w:rFonts w:hint="eastAsia" w:ascii="仿宋_GB2312" w:eastAsia="仿宋_GB2312"/>
          <w:sz w:val="30"/>
          <w:szCs w:val="30"/>
        </w:rPr>
      </w:pPr>
      <w:r>
        <w:drawing>
          <wp:inline distT="0" distB="0" distL="114300" distR="114300">
            <wp:extent cx="11772900" cy="66960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11772900" cy="6696075"/>
                    </a:xfrm>
                    <a:prstGeom prst="rect">
                      <a:avLst/>
                    </a:prstGeom>
                    <a:noFill/>
                    <a:ln>
                      <a:noFill/>
                    </a:ln>
                  </pic:spPr>
                </pic:pic>
              </a:graphicData>
            </a:graphic>
          </wp:inline>
        </w:drawing>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420" w:firstLineChars="200"/>
        <w:rPr>
          <w:rFonts w:hint="eastAsia" w:ascii="仿宋_GB2312" w:eastAsia="仿宋_GB2312"/>
          <w:sz w:val="30"/>
          <w:szCs w:val="30"/>
        </w:rPr>
      </w:pPr>
      <w:r>
        <w:drawing>
          <wp:inline distT="0" distB="0" distL="114300" distR="114300">
            <wp:extent cx="5724525" cy="53149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724525" cy="5314950"/>
                    </a:xfrm>
                    <a:prstGeom prst="rect">
                      <a:avLst/>
                    </a:prstGeom>
                    <a:noFill/>
                    <a:ln>
                      <a:noFill/>
                    </a:ln>
                  </pic:spPr>
                </pic:pic>
              </a:graphicData>
            </a:graphic>
          </wp:inline>
        </w:drawing>
      </w: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p>
      <w:pPr>
        <w:ind w:firstLine="420" w:firstLineChars="200"/>
        <w:rPr>
          <w:rFonts w:hint="eastAsia" w:ascii="仿宋_GB2312" w:eastAsia="仿宋_GB2312"/>
          <w:sz w:val="30"/>
          <w:szCs w:val="30"/>
        </w:rPr>
      </w:pPr>
      <w:r>
        <w:drawing>
          <wp:inline distT="0" distB="0" distL="114300" distR="114300">
            <wp:extent cx="13289915" cy="2823845"/>
            <wp:effectExtent l="0" t="0" r="6985" b="146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13289915" cy="2823845"/>
                    </a:xfrm>
                    <a:prstGeom prst="rect">
                      <a:avLst/>
                    </a:prstGeom>
                    <a:noFill/>
                    <a:ln>
                      <a:noFill/>
                    </a:ln>
                  </pic:spPr>
                </pic:pic>
              </a:graphicData>
            </a:graphic>
          </wp:inline>
        </w:drawing>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p>
      <w:pPr>
        <w:ind w:firstLine="420" w:firstLineChars="200"/>
        <w:rPr>
          <w:rFonts w:hint="eastAsia" w:ascii="仿宋_GB2312" w:eastAsia="仿宋_GB2312"/>
          <w:sz w:val="30"/>
          <w:szCs w:val="30"/>
        </w:rPr>
      </w:pPr>
      <w:r>
        <w:drawing>
          <wp:inline distT="0" distB="0" distL="114300" distR="114300">
            <wp:extent cx="11972925" cy="368617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11972925" cy="3686175"/>
                    </a:xfrm>
                    <a:prstGeom prst="rect">
                      <a:avLst/>
                    </a:prstGeom>
                    <a:noFill/>
                    <a:ln>
                      <a:noFill/>
                    </a:ln>
                  </pic:spPr>
                </pic:pic>
              </a:graphicData>
            </a:graphic>
          </wp:inline>
        </w:drawing>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度收入总计14259810.56</w:t>
      </w:r>
      <w:r>
        <w:rPr>
          <w:rFonts w:hint="eastAsia" w:ascii="仿宋_GB2312" w:eastAsia="仿宋_GB2312"/>
          <w:sz w:val="30"/>
          <w:szCs w:val="30"/>
          <w:lang w:eastAsia="zh-CN"/>
        </w:rPr>
        <w:t>元</w:t>
      </w:r>
      <w:r>
        <w:rPr>
          <w:rFonts w:hint="eastAsia" w:ascii="仿宋_GB2312" w:eastAsia="仿宋_GB2312"/>
          <w:sz w:val="30"/>
          <w:szCs w:val="30"/>
        </w:rPr>
        <w:t>，支出总计14259810.56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减少992679.75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减少6.5</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992679.75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减少6.5</w:t>
      </w:r>
      <w:r>
        <w:rPr>
          <w:rFonts w:hint="eastAsia" w:ascii="仿宋_GB2312" w:eastAsia="仿宋_GB2312"/>
          <w:sz w:val="30"/>
          <w:szCs w:val="30"/>
        </w:rPr>
        <w:t>%。主要原因是</w:t>
      </w:r>
      <w:r>
        <w:rPr>
          <w:rFonts w:hint="eastAsia" w:ascii="仿宋_GB2312" w:eastAsia="仿宋_GB2312"/>
          <w:sz w:val="30"/>
          <w:szCs w:val="30"/>
          <w:lang w:val="en-US" w:eastAsia="zh-CN"/>
        </w:rPr>
        <w:t>项目减少</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度收入合计13719405.58</w:t>
      </w:r>
      <w:r>
        <w:rPr>
          <w:rFonts w:hint="eastAsia" w:ascii="仿宋_GB2312" w:eastAsia="仿宋_GB2312"/>
          <w:sz w:val="30"/>
          <w:szCs w:val="30"/>
          <w:lang w:eastAsia="zh-CN"/>
        </w:rPr>
        <w:t>元</w:t>
      </w:r>
      <w:r>
        <w:rPr>
          <w:rFonts w:hint="eastAsia" w:ascii="仿宋_GB2312" w:eastAsia="仿宋_GB2312"/>
          <w:sz w:val="30"/>
          <w:szCs w:val="30"/>
        </w:rPr>
        <w:t>，其中：财政拨款收入12966636.01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94.51</w:t>
      </w:r>
      <w:r>
        <w:rPr>
          <w:rFonts w:hint="eastAsia" w:ascii="仿宋_GB2312" w:eastAsia="仿宋_GB2312"/>
          <w:sz w:val="30"/>
          <w:szCs w:val="30"/>
        </w:rPr>
        <w:t>%；其他收入</w:t>
      </w:r>
      <w:r>
        <w:rPr>
          <w:rFonts w:hint="eastAsia" w:ascii="仿宋_GB2312" w:eastAsia="仿宋_GB2312"/>
          <w:sz w:val="30"/>
          <w:szCs w:val="30"/>
          <w:lang w:val="en-US" w:eastAsia="zh-CN"/>
        </w:rPr>
        <w:t>752769.57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5.49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度支出合计14259810.56</w:t>
      </w:r>
      <w:r>
        <w:rPr>
          <w:rFonts w:hint="eastAsia" w:ascii="仿宋_GB2312" w:eastAsia="仿宋_GB2312"/>
          <w:sz w:val="30"/>
          <w:szCs w:val="30"/>
          <w:lang w:eastAsia="zh-CN"/>
        </w:rPr>
        <w:t>元</w:t>
      </w:r>
      <w:r>
        <w:rPr>
          <w:rFonts w:hint="eastAsia" w:ascii="仿宋_GB2312" w:eastAsia="仿宋_GB2312"/>
          <w:sz w:val="30"/>
          <w:szCs w:val="30"/>
        </w:rPr>
        <w:t>，其中：基本支出13764985.77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494824.79</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度财政拨款收入12966636.01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增加2010513.38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增长18.35</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。较年初预算数增加</w:t>
      </w:r>
      <w:r>
        <w:rPr>
          <w:rFonts w:hint="eastAsia" w:ascii="仿宋_GB2312" w:eastAsia="仿宋_GB2312"/>
          <w:sz w:val="30"/>
          <w:szCs w:val="30"/>
          <w:lang w:val="en-US" w:eastAsia="zh-CN"/>
        </w:rPr>
        <w:t>2604281.01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25.13</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度财政拨款支出12966636.01</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增加2010513.38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增长18.35</w:t>
      </w:r>
      <w:r>
        <w:rPr>
          <w:rFonts w:hint="eastAsia" w:ascii="仿宋_GB2312" w:eastAsia="仿宋_GB2312"/>
          <w:sz w:val="30"/>
          <w:szCs w:val="30"/>
        </w:rPr>
        <w:t>%。主要原因是</w:t>
      </w:r>
      <w:r>
        <w:rPr>
          <w:rFonts w:hint="eastAsia" w:ascii="仿宋_GB2312" w:eastAsia="仿宋_GB2312"/>
          <w:sz w:val="30"/>
          <w:szCs w:val="30"/>
          <w:lang w:eastAsia="zh-CN"/>
        </w:rPr>
        <w:t>人员经费和专项经费</w:t>
      </w:r>
      <w:r>
        <w:rPr>
          <w:rFonts w:hint="eastAsia" w:ascii="仿宋_GB2312" w:eastAsia="仿宋_GB2312"/>
          <w:sz w:val="30"/>
          <w:szCs w:val="30"/>
          <w:lang w:val="en-US" w:eastAsia="zh-CN"/>
        </w:rPr>
        <w:t>增加</w:t>
      </w:r>
      <w:r>
        <w:rPr>
          <w:rFonts w:hint="eastAsia" w:ascii="仿宋_GB2312" w:eastAsia="仿宋_GB2312"/>
          <w:sz w:val="30"/>
          <w:szCs w:val="30"/>
        </w:rPr>
        <w:t>。较年初预算数增加</w:t>
      </w:r>
      <w:r>
        <w:rPr>
          <w:rFonts w:hint="eastAsia" w:ascii="仿宋_GB2312" w:eastAsia="仿宋_GB2312"/>
          <w:sz w:val="30"/>
          <w:szCs w:val="30"/>
          <w:lang w:val="en-US" w:eastAsia="zh-CN"/>
        </w:rPr>
        <w:t>2604281.01</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25.13</w:t>
      </w:r>
      <w:r>
        <w:rPr>
          <w:rFonts w:hint="eastAsia" w:ascii="仿宋_GB2312" w:eastAsia="仿宋_GB2312"/>
          <w:sz w:val="30"/>
          <w:szCs w:val="30"/>
        </w:rPr>
        <w:t>%。主要原因是</w:t>
      </w:r>
      <w:r>
        <w:rPr>
          <w:rFonts w:hint="eastAsia" w:ascii="仿宋_GB2312" w:eastAsia="仿宋_GB2312"/>
          <w:sz w:val="30"/>
          <w:szCs w:val="30"/>
          <w:lang w:eastAsia="zh-CN"/>
        </w:rPr>
        <w:t>人员经费专项经费增加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度财政拨款支出主要用于以下方面：一般公共服务支出8892441.97</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lang w:val="en-US"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68.58</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lang w:eastAsia="zh-CN"/>
        </w:rPr>
        <w:t>增加</w:t>
      </w:r>
      <w:r>
        <w:rPr>
          <w:rFonts w:hint="eastAsia" w:ascii="仿宋_GB2312" w:eastAsia="仿宋_GB2312"/>
          <w:sz w:val="30"/>
          <w:szCs w:val="30"/>
          <w:lang w:val="en-US" w:eastAsia="zh-CN"/>
        </w:rPr>
        <w:t>1907413.99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27.3</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人员经费和专项经费增加</w:t>
      </w:r>
      <w:r>
        <w:rPr>
          <w:rFonts w:hint="eastAsia" w:ascii="仿宋_GB2312" w:eastAsia="仿宋_GB2312"/>
          <w:color w:val="000000" w:themeColor="text1"/>
          <w:sz w:val="30"/>
          <w:szCs w:val="30"/>
          <w:lang w:eastAsia="zh-CN"/>
          <w14:textFill>
            <w14:solidFill>
              <w14:schemeClr w14:val="tx1"/>
            </w14:solidFill>
          </w14:textFill>
        </w:rPr>
        <w:t>。文化旅游体育与传媒支出</w:t>
      </w:r>
      <w:r>
        <w:rPr>
          <w:rFonts w:hint="eastAsia" w:ascii="仿宋_GB2312" w:eastAsia="仿宋_GB2312"/>
          <w:color w:val="000000" w:themeColor="text1"/>
          <w:sz w:val="30"/>
          <w:szCs w:val="30"/>
          <w:lang w:val="en-US" w:eastAsia="zh-CN"/>
          <w14:textFill>
            <w14:solidFill>
              <w14:schemeClr w14:val="tx1"/>
            </w14:solidFill>
          </w14:textFill>
        </w:rPr>
        <w:t>15520.00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0.12</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sz w:val="30"/>
          <w:szCs w:val="30"/>
          <w:lang w:val="en-US" w:eastAsia="zh-CN"/>
        </w:rPr>
        <w:t>15520.00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社会保障与就业支出1434267.63</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11.06</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sz w:val="30"/>
          <w:szCs w:val="30"/>
          <w:lang w:val="en-US" w:eastAsia="zh-CN"/>
        </w:rPr>
        <w:t>708735.63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97.68</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sz w:val="30"/>
          <w:szCs w:val="30"/>
          <w:lang w:eastAsia="zh-CN"/>
        </w:rPr>
        <w:t>人员和专项经费增加</w:t>
      </w:r>
      <w:r>
        <w:rPr>
          <w:rFonts w:hint="eastAsia" w:ascii="仿宋_GB2312" w:eastAsia="仿宋_GB2312"/>
          <w:color w:val="000000" w:themeColor="text1"/>
          <w:sz w:val="30"/>
          <w:szCs w:val="30"/>
          <w:lang w:eastAsia="zh-CN"/>
          <w14:textFill>
            <w14:solidFill>
              <w14:schemeClr w14:val="tx1"/>
            </w14:solidFill>
          </w14:textFill>
        </w:rPr>
        <w:t>，养老金相应增加。</w:t>
      </w:r>
      <w:r>
        <w:rPr>
          <w:rFonts w:hint="eastAsia" w:ascii="仿宋_GB2312" w:eastAsia="仿宋_GB2312"/>
          <w:color w:val="000000" w:themeColor="text1"/>
          <w:sz w:val="30"/>
          <w:szCs w:val="30"/>
          <w14:textFill>
            <w14:solidFill>
              <w14:schemeClr w14:val="tx1"/>
            </w14:solidFill>
          </w14:textFill>
        </w:rPr>
        <w:t>卫生健康支出297761.51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color w:val="000000" w:themeColor="text1"/>
          <w:sz w:val="30"/>
          <w:szCs w:val="30"/>
          <w:lang w:val="en-US" w:eastAsia="zh-CN"/>
          <w14:textFill>
            <w14:solidFill>
              <w14:schemeClr w14:val="tx1"/>
            </w14:solidFill>
          </w14:textFill>
        </w:rPr>
        <w:t>297761.51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w:t>
      </w:r>
      <w:r>
        <w:rPr>
          <w:rFonts w:hint="eastAsia" w:ascii="仿宋_GB2312" w:eastAsia="仿宋_GB2312"/>
          <w:sz w:val="30"/>
          <w:szCs w:val="30"/>
        </w:rPr>
        <w:t>，增长</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节能环保支出15000</w:t>
      </w:r>
      <w:r>
        <w:rPr>
          <w:rFonts w:hint="eastAsia" w:ascii="仿宋_GB2312" w:eastAsia="仿宋_GB2312"/>
          <w:color w:val="000000" w:themeColor="text1"/>
          <w:sz w:val="30"/>
          <w:szCs w:val="30"/>
          <w:lang w:val="en-US" w:eastAsia="zh-CN"/>
          <w14:textFill>
            <w14:solidFill>
              <w14:schemeClr w14:val="tx1"/>
            </w14:solidFill>
          </w14:textFill>
        </w:rPr>
        <w:t>.00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0.12</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color w:val="000000" w:themeColor="text1"/>
          <w:sz w:val="30"/>
          <w:szCs w:val="30"/>
          <w:lang w:val="en-US" w:eastAsia="zh-CN"/>
          <w14:textFill>
            <w14:solidFill>
              <w14:schemeClr w14:val="tx1"/>
            </w14:solidFill>
          </w14:textFill>
        </w:rPr>
        <w:t>15000.00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单位天然气锅炉质保金</w:t>
      </w:r>
      <w:r>
        <w:rPr>
          <w:rFonts w:hint="eastAsia" w:ascii="仿宋_GB2312" w:eastAsia="仿宋_GB2312"/>
          <w:sz w:val="30"/>
          <w:szCs w:val="30"/>
        </w:rPr>
        <w:t>，增长</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卫生健康支出297761.51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sz w:val="30"/>
          <w:szCs w:val="30"/>
        </w:rPr>
        <w:t>增加</w:t>
      </w:r>
      <w:r>
        <w:rPr>
          <w:rFonts w:hint="eastAsia" w:ascii="仿宋_GB2312" w:eastAsia="仿宋_GB2312"/>
          <w:color w:val="000000" w:themeColor="text1"/>
          <w:sz w:val="30"/>
          <w:szCs w:val="30"/>
          <w:lang w:val="en-US" w:eastAsia="zh-CN"/>
          <w14:textFill>
            <w14:solidFill>
              <w14:schemeClr w14:val="tx1"/>
            </w14:solidFill>
          </w14:textFill>
        </w:rPr>
        <w:t>297761.51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w:t>
      </w:r>
      <w:r>
        <w:rPr>
          <w:rFonts w:hint="eastAsia" w:ascii="仿宋_GB2312" w:eastAsia="仿宋_GB2312"/>
          <w:sz w:val="30"/>
          <w:szCs w:val="30"/>
        </w:rPr>
        <w:t>，增长</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城乡社区支出108400</w:t>
      </w:r>
      <w:r>
        <w:rPr>
          <w:rFonts w:hint="eastAsia" w:ascii="仿宋_GB2312" w:eastAsia="仿宋_GB2312"/>
          <w:color w:val="000000" w:themeColor="text1"/>
          <w:sz w:val="30"/>
          <w:szCs w:val="30"/>
          <w:lang w:val="en-US" w:eastAsia="zh-CN"/>
          <w14:textFill>
            <w14:solidFill>
              <w14:schemeClr w14:val="tx1"/>
            </w14:solidFill>
          </w14:textFill>
        </w:rPr>
        <w:t>.00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0.84</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增加</w:t>
      </w:r>
      <w:r>
        <w:rPr>
          <w:rFonts w:hint="eastAsia" w:ascii="仿宋_GB2312" w:eastAsia="仿宋_GB2312"/>
          <w:color w:val="000000" w:themeColor="text1"/>
          <w:sz w:val="30"/>
          <w:szCs w:val="30"/>
          <w14:textFill>
            <w14:solidFill>
              <w14:schemeClr w14:val="tx1"/>
            </w14:solidFill>
          </w14:textFill>
        </w:rPr>
        <w:t>108400</w:t>
      </w:r>
      <w:r>
        <w:rPr>
          <w:rFonts w:hint="eastAsia" w:ascii="仿宋_GB2312" w:eastAsia="仿宋_GB2312"/>
          <w:color w:val="000000" w:themeColor="text1"/>
          <w:sz w:val="30"/>
          <w:szCs w:val="30"/>
          <w:lang w:val="en-US" w:eastAsia="zh-CN"/>
          <w14:textFill>
            <w14:solidFill>
              <w14:schemeClr w14:val="tx1"/>
            </w14:solidFill>
          </w14:textFill>
        </w:rPr>
        <w:t>.00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人员增加</w:t>
      </w:r>
      <w:r>
        <w:rPr>
          <w:rFonts w:hint="eastAsia" w:ascii="仿宋_GB2312" w:eastAsia="仿宋_GB2312"/>
          <w:color w:val="000000" w:themeColor="text1"/>
          <w:sz w:val="30"/>
          <w:szCs w:val="30"/>
          <w:lang w:eastAsia="zh-CN"/>
          <w14:textFill>
            <w14:solidFill>
              <w14:schemeClr w14:val="tx1"/>
            </w14:solidFill>
          </w14:textFill>
        </w:rPr>
        <w:t>。农林水支出3001594.66</w:t>
      </w:r>
      <w:r>
        <w:rPr>
          <w:rFonts w:hint="eastAsia" w:ascii="仿宋_GB2312" w:eastAsia="仿宋_GB2312"/>
          <w:color w:val="000000" w:themeColor="text1"/>
          <w:sz w:val="30"/>
          <w:szCs w:val="30"/>
          <w:lang w:val="en-US" w:eastAsia="zh-CN"/>
          <w14:textFill>
            <w14:solidFill>
              <w14:schemeClr w14:val="tx1"/>
            </w14:solidFill>
          </w14:textFill>
        </w:rPr>
        <w:t>元，占23.15%，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w:t>
      </w:r>
      <w:r>
        <w:rPr>
          <w:rFonts w:hint="eastAsia" w:ascii="仿宋_GB2312" w:eastAsia="仿宋_GB2312"/>
          <w:color w:val="000000" w:themeColor="text1"/>
          <w:sz w:val="30"/>
          <w:szCs w:val="30"/>
          <w14:textFill>
            <w14:solidFill>
              <w14:schemeClr w14:val="tx1"/>
            </w14:solidFill>
          </w14:textFill>
        </w:rPr>
        <w:t>190605.34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减少5.97%，</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书记主任一肩挑村干部减少。</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度一般公共财政拨款基本支出12966636.01</w:t>
      </w:r>
      <w:r>
        <w:rPr>
          <w:rFonts w:hint="eastAsia" w:ascii="仿宋_GB2312" w:eastAsia="仿宋_GB2312"/>
          <w:sz w:val="30"/>
          <w:szCs w:val="30"/>
          <w:lang w:eastAsia="zh-CN"/>
        </w:rPr>
        <w:t>元</w:t>
      </w:r>
      <w:r>
        <w:rPr>
          <w:rFonts w:hint="eastAsia" w:ascii="仿宋_GB2312" w:eastAsia="仿宋_GB2312"/>
          <w:sz w:val="30"/>
          <w:szCs w:val="30"/>
        </w:rPr>
        <w:t>。其中：人员经费11125437.14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1439156.25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人员增加，经费相应增长</w:t>
      </w:r>
      <w:r>
        <w:rPr>
          <w:rFonts w:hint="eastAsia" w:ascii="仿宋_GB2312" w:eastAsia="仿宋_GB2312"/>
          <w:sz w:val="30"/>
          <w:szCs w:val="30"/>
        </w:rPr>
        <w:t>。人员经费用途主要包括基本工资4892381</w:t>
      </w:r>
      <w:r>
        <w:rPr>
          <w:rFonts w:hint="eastAsia" w:ascii="仿宋_GB2312" w:eastAsia="仿宋_GB2312"/>
          <w:sz w:val="30"/>
          <w:szCs w:val="30"/>
          <w:lang w:eastAsia="zh-CN"/>
        </w:rPr>
        <w:t>元，</w:t>
      </w:r>
      <w:r>
        <w:rPr>
          <w:rFonts w:hint="eastAsia" w:ascii="仿宋_GB2312" w:eastAsia="仿宋_GB2312"/>
          <w:sz w:val="30"/>
          <w:szCs w:val="30"/>
        </w:rPr>
        <w:t>津贴补贴434540</w:t>
      </w:r>
      <w:r>
        <w:rPr>
          <w:rFonts w:hint="eastAsia" w:ascii="仿宋_GB2312" w:eastAsia="仿宋_GB2312"/>
          <w:sz w:val="30"/>
          <w:szCs w:val="30"/>
          <w:lang w:eastAsia="zh-CN"/>
        </w:rPr>
        <w:t>元，</w:t>
      </w:r>
      <w:r>
        <w:rPr>
          <w:rFonts w:hint="eastAsia" w:ascii="仿宋_GB2312" w:eastAsia="仿宋_GB2312"/>
          <w:sz w:val="30"/>
          <w:szCs w:val="30"/>
        </w:rPr>
        <w:t>奖金1815887</w:t>
      </w:r>
      <w:r>
        <w:rPr>
          <w:rFonts w:hint="eastAsia" w:ascii="仿宋_GB2312" w:eastAsia="仿宋_GB2312"/>
          <w:sz w:val="30"/>
          <w:szCs w:val="30"/>
          <w:lang w:eastAsia="zh-CN"/>
        </w:rPr>
        <w:t>元，</w:t>
      </w:r>
      <w:r>
        <w:rPr>
          <w:rFonts w:hint="eastAsia" w:ascii="仿宋_GB2312" w:eastAsia="仿宋_GB2312"/>
          <w:sz w:val="30"/>
          <w:szCs w:val="30"/>
        </w:rPr>
        <w:t>机关事业单位基本养老保险缴费693267.63</w:t>
      </w:r>
      <w:r>
        <w:rPr>
          <w:rFonts w:hint="eastAsia" w:ascii="仿宋_GB2312" w:eastAsia="仿宋_GB2312"/>
          <w:sz w:val="30"/>
          <w:szCs w:val="30"/>
          <w:lang w:eastAsia="zh-CN"/>
        </w:rPr>
        <w:t>元，职工基本医疗保险金297761.51元，对个人和家庭的补助2991600元</w:t>
      </w:r>
      <w:r>
        <w:rPr>
          <w:rFonts w:hint="eastAsia" w:ascii="仿宋_GB2312" w:eastAsia="仿宋_GB2312"/>
          <w:sz w:val="30"/>
          <w:szCs w:val="30"/>
          <w:lang w:val="en-US" w:eastAsia="zh-CN"/>
        </w:rPr>
        <w:t>,退休费5750元，</w:t>
      </w:r>
      <w:r>
        <w:rPr>
          <w:rFonts w:hint="eastAsia" w:ascii="仿宋_GB2312" w:eastAsia="仿宋_GB2312"/>
          <w:sz w:val="30"/>
          <w:szCs w:val="30"/>
        </w:rPr>
        <w:t>生活补助2985850</w:t>
      </w:r>
      <w:r>
        <w:rPr>
          <w:rFonts w:hint="eastAsia" w:ascii="仿宋_GB2312" w:eastAsia="仿宋_GB2312"/>
          <w:sz w:val="30"/>
          <w:szCs w:val="30"/>
          <w:lang w:eastAsia="zh-CN"/>
        </w:rPr>
        <w:t>元</w:t>
      </w:r>
      <w:r>
        <w:rPr>
          <w:rFonts w:hint="eastAsia" w:ascii="仿宋_GB2312" w:eastAsia="仿宋_GB2312"/>
          <w:sz w:val="30"/>
          <w:szCs w:val="30"/>
        </w:rPr>
        <w:t>。公用经费1826416.37</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799630.37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办公费和劳务费支出增加</w:t>
      </w:r>
      <w:r>
        <w:rPr>
          <w:rFonts w:hint="eastAsia" w:ascii="仿宋_GB2312" w:eastAsia="仿宋_GB2312"/>
          <w:sz w:val="30"/>
          <w:szCs w:val="30"/>
        </w:rPr>
        <w:t>，公用经费用途主要包括办公费860481.22</w:t>
      </w:r>
      <w:r>
        <w:rPr>
          <w:rFonts w:hint="eastAsia" w:ascii="仿宋_GB2312" w:eastAsia="仿宋_GB2312"/>
          <w:sz w:val="30"/>
          <w:szCs w:val="30"/>
          <w:lang w:eastAsia="zh-CN"/>
        </w:rPr>
        <w:t>元，</w:t>
      </w:r>
      <w:r>
        <w:rPr>
          <w:rFonts w:hint="eastAsia" w:ascii="仿宋_GB2312" w:eastAsia="仿宋_GB2312"/>
          <w:sz w:val="30"/>
          <w:szCs w:val="30"/>
        </w:rPr>
        <w:t>电费84486.89</w:t>
      </w:r>
      <w:r>
        <w:rPr>
          <w:rFonts w:hint="eastAsia" w:ascii="仿宋_GB2312" w:eastAsia="仿宋_GB2312"/>
          <w:sz w:val="30"/>
          <w:szCs w:val="30"/>
          <w:lang w:eastAsia="zh-CN"/>
        </w:rPr>
        <w:t>元，取暖费105000元，</w:t>
      </w:r>
      <w:r>
        <w:rPr>
          <w:rFonts w:hint="eastAsia" w:ascii="仿宋_GB2312" w:eastAsia="仿宋_GB2312"/>
          <w:sz w:val="30"/>
          <w:szCs w:val="30"/>
          <w:lang w:val="en-US" w:eastAsia="zh-CN"/>
        </w:rPr>
        <w:t>培训费2400元，</w:t>
      </w:r>
      <w:r>
        <w:rPr>
          <w:rFonts w:hint="eastAsia" w:ascii="仿宋_GB2312" w:eastAsia="仿宋_GB2312"/>
          <w:sz w:val="30"/>
          <w:szCs w:val="30"/>
        </w:rPr>
        <w:t>劳务费505500</w:t>
      </w:r>
      <w:r>
        <w:rPr>
          <w:rFonts w:hint="eastAsia" w:ascii="仿宋_GB2312" w:eastAsia="仿宋_GB2312"/>
          <w:sz w:val="30"/>
          <w:szCs w:val="30"/>
          <w:lang w:eastAsia="zh-CN"/>
        </w:rPr>
        <w:t>元，工会经费</w:t>
      </w:r>
      <w:r>
        <w:rPr>
          <w:rFonts w:hint="eastAsia" w:ascii="仿宋_GB2312" w:eastAsia="仿宋_GB2312"/>
          <w:sz w:val="30"/>
          <w:szCs w:val="30"/>
          <w:lang w:val="en-US" w:eastAsia="zh-CN"/>
        </w:rPr>
        <w:t>102800元，公务用车运行维护费20498.26元，其他交通费用145250元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20498.26</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val="en-US" w:eastAsia="zh-CN"/>
        </w:rPr>
        <w:t>减少4501.74</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6651.73</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1</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本部门机关运行经费支出1826416.37</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，机关运行经费主要用于开支办公费860481.22</w:t>
      </w:r>
      <w:r>
        <w:rPr>
          <w:rFonts w:hint="eastAsia" w:ascii="仿宋_GB2312" w:eastAsia="仿宋_GB2312"/>
          <w:sz w:val="30"/>
          <w:szCs w:val="30"/>
          <w:lang w:eastAsia="zh-CN"/>
        </w:rPr>
        <w:t>元，</w:t>
      </w:r>
      <w:r>
        <w:rPr>
          <w:rFonts w:hint="eastAsia" w:ascii="仿宋_GB2312" w:eastAsia="仿宋_GB2312"/>
          <w:sz w:val="30"/>
          <w:szCs w:val="30"/>
        </w:rPr>
        <w:t>电费84486.89</w:t>
      </w:r>
      <w:r>
        <w:rPr>
          <w:rFonts w:hint="eastAsia" w:ascii="仿宋_GB2312" w:eastAsia="仿宋_GB2312"/>
          <w:sz w:val="30"/>
          <w:szCs w:val="30"/>
          <w:lang w:eastAsia="zh-CN"/>
        </w:rPr>
        <w:t>元，取暖费105000元，</w:t>
      </w:r>
      <w:r>
        <w:rPr>
          <w:rFonts w:hint="eastAsia" w:ascii="仿宋_GB2312" w:eastAsia="仿宋_GB2312"/>
          <w:sz w:val="30"/>
          <w:szCs w:val="30"/>
          <w:lang w:val="en-US" w:eastAsia="zh-CN"/>
        </w:rPr>
        <w:t>培训费2400元，</w:t>
      </w:r>
      <w:r>
        <w:rPr>
          <w:rFonts w:hint="eastAsia" w:ascii="仿宋_GB2312" w:eastAsia="仿宋_GB2312"/>
          <w:sz w:val="30"/>
          <w:szCs w:val="30"/>
        </w:rPr>
        <w:t>劳务费505500</w:t>
      </w:r>
      <w:r>
        <w:rPr>
          <w:rFonts w:hint="eastAsia" w:ascii="仿宋_GB2312" w:eastAsia="仿宋_GB2312"/>
          <w:sz w:val="30"/>
          <w:szCs w:val="30"/>
          <w:lang w:eastAsia="zh-CN"/>
        </w:rPr>
        <w:t>元，工会经费</w:t>
      </w:r>
      <w:r>
        <w:rPr>
          <w:rFonts w:hint="eastAsia" w:ascii="仿宋_GB2312" w:eastAsia="仿宋_GB2312"/>
          <w:sz w:val="30"/>
          <w:szCs w:val="30"/>
          <w:lang w:val="en-US" w:eastAsia="zh-CN"/>
        </w:rPr>
        <w:t>102800元，公务用车运行维护费20498.26元，其他交通费用145250元</w:t>
      </w:r>
      <w:r>
        <w:rPr>
          <w:rFonts w:hint="eastAsia" w:ascii="仿宋_GB2312" w:eastAsia="仿宋_GB2312"/>
          <w:sz w:val="30"/>
          <w:szCs w:val="30"/>
        </w:rPr>
        <w:t>。机关运行经费较</w:t>
      </w:r>
      <w:r>
        <w:rPr>
          <w:rFonts w:hint="eastAsia" w:ascii="仿宋_GB2312" w:eastAsia="仿宋_GB2312"/>
          <w:sz w:val="30"/>
          <w:szCs w:val="30"/>
          <w:lang w:val="en-US" w:eastAsia="zh-CN"/>
        </w:rPr>
        <w:t>2020</w:t>
      </w:r>
      <w:r>
        <w:rPr>
          <w:rFonts w:hint="eastAsia" w:ascii="仿宋_GB2312" w:eastAsia="仿宋_GB2312"/>
          <w:sz w:val="30"/>
          <w:szCs w:val="30"/>
        </w:rPr>
        <w:t>年</w:t>
      </w:r>
      <w:r>
        <w:rPr>
          <w:rFonts w:hint="eastAsia" w:ascii="仿宋_GB2312" w:eastAsia="仿宋_GB2312"/>
          <w:sz w:val="30"/>
          <w:szCs w:val="30"/>
          <w:lang w:eastAsia="zh-CN"/>
        </w:rPr>
        <w:t>增加</w:t>
      </w:r>
      <w:r>
        <w:rPr>
          <w:rFonts w:hint="eastAsia" w:ascii="仿宋_GB2312" w:eastAsia="仿宋_GB2312"/>
          <w:sz w:val="30"/>
          <w:szCs w:val="30"/>
          <w:lang w:val="en-US" w:eastAsia="zh-CN"/>
        </w:rPr>
        <w:t>799630.37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办公费和劳务费支出相应增加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环境治理垃圾运输车</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default" w:ascii="仿宋_GB2312" w:eastAsia="仿宋_GB2312"/>
          <w:sz w:val="30"/>
          <w:szCs w:val="30"/>
          <w:lang w:val="en-US"/>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1958865.00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108775.00</w:t>
      </w:r>
      <w:r>
        <w:rPr>
          <w:rFonts w:hint="eastAsia" w:ascii="仿宋_GB2312" w:eastAsia="仿宋_GB2312"/>
          <w:sz w:val="30"/>
          <w:szCs w:val="30"/>
          <w:lang w:eastAsia="zh-CN"/>
        </w:rPr>
        <w:t>元，</w:t>
      </w:r>
      <w:r>
        <w:rPr>
          <w:rFonts w:hint="eastAsia" w:ascii="仿宋_GB2312" w:eastAsia="仿宋_GB2312"/>
          <w:sz w:val="30"/>
          <w:szCs w:val="30"/>
        </w:rPr>
        <w:t>政府采购</w:t>
      </w:r>
      <w:r>
        <w:rPr>
          <w:rFonts w:hint="eastAsia" w:ascii="仿宋_GB2312" w:eastAsia="仿宋_GB2312"/>
          <w:sz w:val="30"/>
          <w:szCs w:val="30"/>
          <w:lang w:val="en-US" w:eastAsia="zh-CN"/>
        </w:rPr>
        <w:t>工程</w:t>
      </w:r>
      <w:r>
        <w:rPr>
          <w:rFonts w:hint="eastAsia" w:ascii="仿宋_GB2312" w:eastAsia="仿宋_GB2312"/>
          <w:sz w:val="30"/>
          <w:szCs w:val="30"/>
        </w:rPr>
        <w:t>支出</w:t>
      </w:r>
      <w:r>
        <w:rPr>
          <w:rFonts w:hint="eastAsia" w:ascii="仿宋_GB2312" w:eastAsia="仿宋_GB2312"/>
          <w:sz w:val="30"/>
          <w:szCs w:val="30"/>
          <w:lang w:val="en-US" w:eastAsia="zh-CN"/>
        </w:rPr>
        <w:t>1850090.00元</w:t>
      </w:r>
      <w:r>
        <w:rPr>
          <w:rFonts w:hint="eastAsia" w:ascii="仿宋_GB2312" w:eastAsia="仿宋_GB2312"/>
          <w:sz w:val="30"/>
          <w:szCs w:val="30"/>
        </w:rPr>
        <w:t>。</w:t>
      </w:r>
      <w:bookmarkStart w:id="0" w:name="_GoBack"/>
      <w:bookmarkEnd w:id="0"/>
    </w:p>
    <w:p>
      <w:pPr>
        <w:spacing w:line="620" w:lineRule="exact"/>
        <w:ind w:firstLine="602" w:firstLineChars="200"/>
        <w:rPr>
          <w:rFonts w:hint="eastAsia" w:ascii="仿宋_GB2312" w:eastAsia="楷体_GB2312"/>
          <w:sz w:val="30"/>
          <w:szCs w:val="30"/>
          <w:lang w:val="en-US" w:eastAsia="zh-CN"/>
        </w:rPr>
      </w:pPr>
      <w:r>
        <w:rPr>
          <w:rFonts w:hint="eastAsia" w:ascii="楷体_GB2312" w:eastAsia="楷体_GB2312"/>
          <w:b/>
          <w:sz w:val="30"/>
          <w:szCs w:val="30"/>
        </w:rPr>
        <w:t>（四）预算绩效管理情况说明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BAFD5"/>
    <w:multiLevelType w:val="singleLevel"/>
    <w:tmpl w:val="591BAFD5"/>
    <w:lvl w:ilvl="0" w:tentative="0">
      <w:start w:val="1"/>
      <w:numFmt w:val="decimal"/>
      <w:suff w:val="nothing"/>
      <w:lvlText w:val="%1、"/>
      <w:lvlJc w:val="left"/>
    </w:lvl>
  </w:abstractNum>
  <w:abstractNum w:abstractNumId="1">
    <w:nsid w:val="591BB26D"/>
    <w:multiLevelType w:val="singleLevel"/>
    <w:tmpl w:val="591BB26D"/>
    <w:lvl w:ilvl="0" w:tentative="0">
      <w:start w:val="1"/>
      <w:numFmt w:val="decimal"/>
      <w:suff w:val="nothing"/>
      <w:lvlText w:val="%1、"/>
      <w:lvlJc w:val="left"/>
    </w:lvl>
  </w:abstractNum>
  <w:abstractNum w:abstractNumId="2">
    <w:nsid w:val="591BB471"/>
    <w:multiLevelType w:val="singleLevel"/>
    <w:tmpl w:val="591BB471"/>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5ZWQ1OWEwOGMzZjMxOTQyZjc0YjUyYmQ2MTM5ZDk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78A9"/>
    <w:rsid w:val="042A0E76"/>
    <w:rsid w:val="061B3109"/>
    <w:rsid w:val="062A0EEA"/>
    <w:rsid w:val="06B56F46"/>
    <w:rsid w:val="06F9785D"/>
    <w:rsid w:val="07533C77"/>
    <w:rsid w:val="07DB144F"/>
    <w:rsid w:val="08002DD3"/>
    <w:rsid w:val="08055DDB"/>
    <w:rsid w:val="09792DC7"/>
    <w:rsid w:val="0A1378AF"/>
    <w:rsid w:val="0AF52007"/>
    <w:rsid w:val="0E1B1BB0"/>
    <w:rsid w:val="0E5C239D"/>
    <w:rsid w:val="0F717E9F"/>
    <w:rsid w:val="11A30723"/>
    <w:rsid w:val="13DC0DAA"/>
    <w:rsid w:val="17542C27"/>
    <w:rsid w:val="18F1352C"/>
    <w:rsid w:val="19643582"/>
    <w:rsid w:val="1A136006"/>
    <w:rsid w:val="1AC612CA"/>
    <w:rsid w:val="1B261FF7"/>
    <w:rsid w:val="1B943FD8"/>
    <w:rsid w:val="1BE55780"/>
    <w:rsid w:val="1D43072D"/>
    <w:rsid w:val="1DD64839"/>
    <w:rsid w:val="1E4E1B05"/>
    <w:rsid w:val="1F681883"/>
    <w:rsid w:val="202D63E7"/>
    <w:rsid w:val="20B147CB"/>
    <w:rsid w:val="20DE5EC4"/>
    <w:rsid w:val="22C5473E"/>
    <w:rsid w:val="24743B45"/>
    <w:rsid w:val="24FE14F4"/>
    <w:rsid w:val="294169E8"/>
    <w:rsid w:val="29A41D12"/>
    <w:rsid w:val="2AC80393"/>
    <w:rsid w:val="2B3F5EAD"/>
    <w:rsid w:val="2B830110"/>
    <w:rsid w:val="2BCE7FDF"/>
    <w:rsid w:val="2EDE6F67"/>
    <w:rsid w:val="2EE67926"/>
    <w:rsid w:val="2FB67BE9"/>
    <w:rsid w:val="304553E8"/>
    <w:rsid w:val="311F310D"/>
    <w:rsid w:val="31F10271"/>
    <w:rsid w:val="324D5B40"/>
    <w:rsid w:val="33150359"/>
    <w:rsid w:val="335A65FC"/>
    <w:rsid w:val="339C3F38"/>
    <w:rsid w:val="342B75D4"/>
    <w:rsid w:val="35130FCB"/>
    <w:rsid w:val="357C6CFE"/>
    <w:rsid w:val="35EE38D4"/>
    <w:rsid w:val="36DE5132"/>
    <w:rsid w:val="37605942"/>
    <w:rsid w:val="3C111A15"/>
    <w:rsid w:val="3C4A0C64"/>
    <w:rsid w:val="3C522D57"/>
    <w:rsid w:val="3C7D3E5B"/>
    <w:rsid w:val="3CEF5670"/>
    <w:rsid w:val="3EDE7988"/>
    <w:rsid w:val="3EFE5ED2"/>
    <w:rsid w:val="3F5860E5"/>
    <w:rsid w:val="419343B1"/>
    <w:rsid w:val="43BE0617"/>
    <w:rsid w:val="4471520B"/>
    <w:rsid w:val="450A76E4"/>
    <w:rsid w:val="46965745"/>
    <w:rsid w:val="46F6048A"/>
    <w:rsid w:val="479705C5"/>
    <w:rsid w:val="48270D4B"/>
    <w:rsid w:val="4E661EA1"/>
    <w:rsid w:val="4F421CAD"/>
    <w:rsid w:val="50D92DFE"/>
    <w:rsid w:val="523D116B"/>
    <w:rsid w:val="531F67AA"/>
    <w:rsid w:val="53F817F2"/>
    <w:rsid w:val="540C76A3"/>
    <w:rsid w:val="56BD1507"/>
    <w:rsid w:val="59AB00DC"/>
    <w:rsid w:val="5A901811"/>
    <w:rsid w:val="5BF36344"/>
    <w:rsid w:val="5C131606"/>
    <w:rsid w:val="5C1862BF"/>
    <w:rsid w:val="5C5A1537"/>
    <w:rsid w:val="5F2727A8"/>
    <w:rsid w:val="5F2E629E"/>
    <w:rsid w:val="625C7262"/>
    <w:rsid w:val="62960785"/>
    <w:rsid w:val="62E406D5"/>
    <w:rsid w:val="63561EBB"/>
    <w:rsid w:val="637A5D7B"/>
    <w:rsid w:val="638E7A78"/>
    <w:rsid w:val="65780979"/>
    <w:rsid w:val="67540B73"/>
    <w:rsid w:val="681B720D"/>
    <w:rsid w:val="687C65F6"/>
    <w:rsid w:val="68AE41E3"/>
    <w:rsid w:val="69016DE7"/>
    <w:rsid w:val="6BBE6CF5"/>
    <w:rsid w:val="6D75333B"/>
    <w:rsid w:val="6DAF3103"/>
    <w:rsid w:val="6E18109D"/>
    <w:rsid w:val="703B64A8"/>
    <w:rsid w:val="71940950"/>
    <w:rsid w:val="72072B23"/>
    <w:rsid w:val="72F54273"/>
    <w:rsid w:val="74FD430D"/>
    <w:rsid w:val="759B3F21"/>
    <w:rsid w:val="763F0CE1"/>
    <w:rsid w:val="783A46C4"/>
    <w:rsid w:val="79916311"/>
    <w:rsid w:val="7A0344C4"/>
    <w:rsid w:val="7CA61426"/>
    <w:rsid w:val="7CDD3E62"/>
    <w:rsid w:val="7DB3724A"/>
    <w:rsid w:val="7DC04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character" w:customStyle="1" w:styleId="10">
    <w:name w:val="font61"/>
    <w:basedOn w:val="6"/>
    <w:uiPriority w:val="0"/>
    <w:rPr>
      <w:rFonts w:hint="eastAsia" w:ascii="宋体" w:hAnsi="宋体" w:eastAsia="宋体" w:cs="宋体"/>
      <w:color w:val="000000"/>
      <w:sz w:val="20"/>
      <w:szCs w:val="20"/>
      <w:u w:val="none"/>
    </w:rPr>
  </w:style>
  <w:style w:type="character" w:customStyle="1" w:styleId="11">
    <w:name w:val="font51"/>
    <w:basedOn w:val="6"/>
    <w:qFormat/>
    <w:uiPriority w:val="0"/>
    <w:rPr>
      <w:rFonts w:hint="eastAsia" w:ascii="宋体" w:hAnsi="宋体" w:eastAsia="宋体" w:cs="宋体"/>
      <w:color w:val="000000"/>
      <w:sz w:val="22"/>
      <w:szCs w:val="22"/>
      <w:u w:val="none"/>
    </w:rPr>
  </w:style>
  <w:style w:type="character" w:customStyle="1" w:styleId="12">
    <w:name w:val="font11"/>
    <w:basedOn w:val="6"/>
    <w:qFormat/>
    <w:uiPriority w:val="0"/>
    <w:rPr>
      <w:rFonts w:hint="eastAsia" w:ascii="宋体" w:hAnsi="宋体" w:eastAsia="宋体" w:cs="宋体"/>
      <w:color w:val="000000"/>
      <w:sz w:val="24"/>
      <w:szCs w:val="24"/>
      <w:u w:val="none"/>
    </w:rPr>
  </w:style>
  <w:style w:type="character" w:customStyle="1" w:styleId="13">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16</Pages>
  <Words>4604</Words>
  <Characters>5106</Characters>
  <Lines>44</Lines>
  <Paragraphs>12</Paragraphs>
  <TotalTime>1</TotalTime>
  <ScaleCrop>false</ScaleCrop>
  <LinksUpToDate>false</LinksUpToDate>
  <CharactersWithSpaces>5133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2022-09-20T08:38:19Z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E5FCAE459F3E420FBC016A5DA065AE11</vt:lpwstr>
  </property>
</Properties>
</file>