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坪庄乡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600" w:lineRule="exact"/>
        <w:ind w:firstLine="640" w:firstLineChars="200"/>
        <w:rPr>
          <w:rFonts w:ascii="仿宋_GB2312" w:eastAsia="仿宋_GB2312"/>
          <w:sz w:val="32"/>
        </w:rPr>
      </w:pPr>
      <w:bookmarkStart w:id="16" w:name="bookmark24"/>
      <w:r>
        <w:rPr>
          <w:rFonts w:hint="eastAsia" w:ascii="仿宋_GB2312" w:eastAsia="仿宋_GB2312"/>
          <w:sz w:val="32"/>
        </w:rPr>
        <w:t>主要职责是：乡党委、政府主要承担着贯彻落实党和政府各项路线方针政策、促进经济发展、加强社会管理、提供公共服务和维护农村稳定，推动农村物质文明、政治文明、精神文明及和谐社会建设的重大任务。根据党章和《地方组织法》的规定，结合当前农村经济社会发展的新形势，新时期乡镇重点履行以下职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促进经济发展、增加农民收入。认真贯彻党在农村的各项方针政策，切实落实国家强农惠农政策措施。结合当地实际和做好乡村发展规划，推动产业结构调整，转变经济发展方式。稳定和完善农村基本经营制度，支持农民专业合作经济组织发展，健全农村市场和农业服务体系。保护基本农田，推广农业先进事业技术，抓好粮食生产。发展培育特色优势产业和特色经济，扶持龙头企业发展壮大，促进现代农业发展。</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强化公共服务，着力改善民生。加快新型农村公共服务体系建设，着力解决群众生产生活中的突出问题。建立健全农村社会保障体系，完善农村最低生活保障制度。加强农村精神文明建设，繁荣发展农村文化。提高农村人口素质，稳定农村低生育水平。加强生态建设和环境保户，做好防灾减灾工作。做好新农村建设的规划和实施，不断改善农村人畜饮水道路等基础设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加强社会管理，维护农村稳定。强化农村社会治安综合治理，加强乡镇信访和人民调解工作，维护农村社会公共秩序，确保农村社会稳定。协同相关部门搞好农村市场监管，维护市场秩序。推进依法行政，严格依法履行职责，健全维护农民权益机制，保障农民合法权益，维护农民社会公平正义。</w:t>
      </w:r>
    </w:p>
    <w:p>
      <w:pPr>
        <w:ind w:firstLine="640" w:firstLineChars="200"/>
        <w:rPr>
          <w:rFonts w:ascii="仿宋_GB2312" w:eastAsia="仿宋_GB2312"/>
          <w:sz w:val="32"/>
        </w:rPr>
      </w:pPr>
      <w:r>
        <w:rPr>
          <w:rFonts w:hint="eastAsia" w:ascii="仿宋_GB2312" w:eastAsia="仿宋_GB2312"/>
          <w:sz w:val="32"/>
        </w:rPr>
        <w:t>推进基层民主，促进农村和谐。加强农村党的基层组织建设，指导村民自治，引导农民有序参与村级事务管理，推动农村社区建设，促进社会组织健康发展，增强农村社会自治功能。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党政综合办公室</w:t>
      </w:r>
    </w:p>
    <w:p>
      <w:pPr>
        <w:spacing w:line="600" w:lineRule="exact"/>
        <w:rPr>
          <w:rFonts w:ascii="仿宋" w:hAnsi="仿宋" w:eastAsia="仿宋" w:cs="仿宋"/>
          <w:sz w:val="32"/>
        </w:rPr>
      </w:pPr>
      <w:r>
        <w:rPr>
          <w:rFonts w:hint="eastAsia" w:ascii="仿宋" w:hAnsi="仿宋" w:eastAsia="仿宋" w:cs="仿宋"/>
          <w:sz w:val="32"/>
        </w:rPr>
        <w:t xml:space="preserve">    主要负责乡镇党委、人大、政府日常工作；负责乡镇纪检监察、组织人事、工会、团委、妇联、信访接待、档案管理和机关后勤等工作。</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经济社会发展办公室</w:t>
      </w:r>
    </w:p>
    <w:p>
      <w:pPr>
        <w:spacing w:line="600" w:lineRule="exact"/>
        <w:rPr>
          <w:rFonts w:ascii="仿宋" w:hAnsi="仿宋" w:eastAsia="仿宋" w:cs="仿宋"/>
          <w:sz w:val="32"/>
        </w:rPr>
      </w:pPr>
      <w:r>
        <w:rPr>
          <w:rFonts w:hint="eastAsia" w:ascii="仿宋" w:hAnsi="仿宋" w:eastAsia="仿宋" w:cs="仿宋"/>
          <w:sz w:val="32"/>
        </w:rPr>
        <w:t xml:space="preserve">   主要负责乡镇经济发展规划、安全生产监管、统计和审计工作；负责扶贫开发和惠农强农政策措施的贯彻落实，稳定和完善农村基本经营制度等工作；负责乡镇社会发展规划的拟定及组织实施；负责乡镇宣传、统战、民族宗教、教育、民政、科技、文化、卫生、体育、广播影视工作；负责村镇建设、环境保护的监管等工作；</w:t>
      </w:r>
    </w:p>
    <w:p>
      <w:pPr>
        <w:spacing w:line="600" w:lineRule="exact"/>
        <w:ind w:firstLine="640"/>
        <w:rPr>
          <w:rFonts w:ascii="仿宋" w:hAnsi="仿宋" w:eastAsia="仿宋" w:cs="仿宋"/>
          <w:sz w:val="32"/>
        </w:rPr>
      </w:pPr>
      <w:r>
        <w:rPr>
          <w:rFonts w:hint="eastAsia" w:ascii="仿宋" w:hAnsi="仿宋" w:eastAsia="仿宋" w:cs="仿宋"/>
          <w:sz w:val="32"/>
        </w:rPr>
        <w:t>3、人口和计划生育办公室</w:t>
      </w:r>
    </w:p>
    <w:p>
      <w:pPr>
        <w:spacing w:line="600" w:lineRule="exact"/>
        <w:ind w:firstLine="640"/>
        <w:rPr>
          <w:rFonts w:ascii="仿宋" w:hAnsi="仿宋" w:eastAsia="仿宋" w:cs="仿宋"/>
          <w:sz w:val="32"/>
        </w:rPr>
      </w:pPr>
      <w:r>
        <w:rPr>
          <w:rFonts w:hint="eastAsia" w:ascii="仿宋" w:hAnsi="仿宋" w:eastAsia="仿宋" w:cs="仿宋"/>
          <w:sz w:val="32"/>
        </w:rPr>
        <w:t>主要负责国家人口和计划生育方针政策的宣传，依法管理乡镇人口和计划生育工作；</w:t>
      </w:r>
    </w:p>
    <w:p>
      <w:pPr>
        <w:numPr>
          <w:ilvl w:val="0"/>
          <w:numId w:val="3"/>
        </w:numPr>
        <w:spacing w:line="600" w:lineRule="exact"/>
        <w:ind w:firstLine="640"/>
        <w:rPr>
          <w:rFonts w:ascii="仿宋" w:hAnsi="仿宋" w:eastAsia="仿宋" w:cs="仿宋"/>
          <w:sz w:val="32"/>
        </w:rPr>
      </w:pPr>
      <w:r>
        <w:rPr>
          <w:rFonts w:hint="eastAsia" w:ascii="仿宋" w:hAnsi="仿宋" w:eastAsia="仿宋" w:cs="仿宋"/>
          <w:sz w:val="32"/>
        </w:rPr>
        <w:t>社会治安综合治理办公室（挂人民武装部牌子）</w:t>
      </w:r>
    </w:p>
    <w:p>
      <w:pPr>
        <w:spacing w:line="600" w:lineRule="exact"/>
        <w:ind w:firstLine="640"/>
        <w:rPr>
          <w:rFonts w:ascii="仿宋" w:hAnsi="仿宋" w:eastAsia="仿宋" w:cs="仿宋"/>
          <w:sz w:val="32"/>
        </w:rPr>
      </w:pPr>
      <w:r>
        <w:rPr>
          <w:rFonts w:hint="eastAsia" w:ascii="仿宋" w:hAnsi="仿宋" w:eastAsia="仿宋" w:cs="仿宋"/>
          <w:sz w:val="32"/>
        </w:rPr>
        <w:t>主要负责维护基层社会稳定、国防动员、征兵、民兵训练、预备役管理工作；负责基层民间纠纷调解等工作。</w:t>
      </w:r>
    </w:p>
    <w:p>
      <w:pPr>
        <w:spacing w:line="600" w:lineRule="exact"/>
        <w:ind w:firstLine="640"/>
        <w:rPr>
          <w:rFonts w:ascii="仿宋" w:hAnsi="仿宋" w:eastAsia="仿宋" w:cs="仿宋"/>
          <w:sz w:val="32"/>
        </w:rPr>
      </w:pPr>
      <w:r>
        <w:rPr>
          <w:rFonts w:hint="eastAsia" w:ascii="仿宋" w:hAnsi="仿宋" w:eastAsia="仿宋" w:cs="仿宋"/>
          <w:sz w:val="32"/>
        </w:rPr>
        <w:t>事业机构：</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农业服务中心</w:t>
      </w:r>
    </w:p>
    <w:p>
      <w:pPr>
        <w:spacing w:line="600" w:lineRule="exact"/>
        <w:ind w:firstLine="640"/>
        <w:rPr>
          <w:rFonts w:ascii="仿宋" w:hAnsi="仿宋" w:eastAsia="仿宋" w:cs="仿宋"/>
          <w:sz w:val="32"/>
        </w:rPr>
      </w:pPr>
      <w:r>
        <w:rPr>
          <w:rFonts w:hint="eastAsia" w:ascii="仿宋" w:hAnsi="仿宋" w:eastAsia="仿宋" w:cs="仿宋"/>
          <w:sz w:val="32"/>
        </w:rPr>
        <w:t>负责乡镇农业、农技、农机技术推广工作；负责乡镇林业、水利、渔业等各类服务工作；负责乡镇植物疫情监管防控工作；负责乡镇农产品质量安全监管服务等工作。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农经财政服务中心</w:t>
      </w:r>
    </w:p>
    <w:p>
      <w:pPr>
        <w:spacing w:line="600" w:lineRule="exact"/>
        <w:ind w:firstLine="640"/>
        <w:rPr>
          <w:rFonts w:ascii="仿宋" w:hAnsi="仿宋" w:eastAsia="仿宋" w:cs="仿宋"/>
          <w:sz w:val="32"/>
        </w:rPr>
      </w:pPr>
      <w:r>
        <w:rPr>
          <w:rFonts w:hint="eastAsia" w:ascii="仿宋" w:hAnsi="仿宋" w:eastAsia="仿宋" w:cs="仿宋"/>
          <w:sz w:val="32"/>
        </w:rPr>
        <w:t>负责农村经济经营管理、乡镇企业服务工作；负责乡镇各类惠农资金核算核拨工作，参与农村集体资产与财务管理等工作；</w:t>
      </w:r>
    </w:p>
    <w:p>
      <w:pPr>
        <w:numPr>
          <w:ilvl w:val="0"/>
          <w:numId w:val="4"/>
        </w:numPr>
        <w:spacing w:line="600" w:lineRule="exact"/>
        <w:ind w:firstLine="640"/>
        <w:rPr>
          <w:rFonts w:ascii="仿宋" w:hAnsi="仿宋" w:eastAsia="仿宋" w:cs="仿宋"/>
          <w:sz w:val="32"/>
        </w:rPr>
      </w:pPr>
      <w:r>
        <w:rPr>
          <w:rFonts w:hint="eastAsia" w:ascii="仿宋" w:hAnsi="仿宋" w:eastAsia="仿宋" w:cs="仿宋"/>
          <w:sz w:val="32"/>
        </w:rPr>
        <w:t>社会事务服务中心</w:t>
      </w:r>
    </w:p>
    <w:p>
      <w:pPr>
        <w:spacing w:line="600" w:lineRule="exact"/>
        <w:ind w:firstLine="640"/>
        <w:rPr>
          <w:rFonts w:ascii="仿宋" w:hAnsi="仿宋" w:eastAsia="仿宋" w:cs="仿宋"/>
          <w:sz w:val="32"/>
        </w:rPr>
      </w:pPr>
      <w:r>
        <w:rPr>
          <w:rFonts w:hint="eastAsia" w:ascii="仿宋" w:hAnsi="仿宋" w:eastAsia="仿宋" w:cs="仿宋"/>
          <w:sz w:val="32"/>
        </w:rPr>
        <w:t>负责乡镇社会保障工作；负责乡镇劳务输出和劳动争议等工作。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0670" cy="4276090"/>
            <wp:effectExtent l="0" t="0" r="381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360670" cy="427609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7495" cy="3476625"/>
            <wp:effectExtent l="0" t="0" r="6985" b="133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357495" cy="347662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0035" cy="4389755"/>
            <wp:effectExtent l="0" t="0" r="4445"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5360035" cy="438975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4480" cy="3744595"/>
            <wp:effectExtent l="0" t="0" r="0" b="444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364480" cy="374459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1305" cy="4132580"/>
            <wp:effectExtent l="0" t="0" r="3175" b="1270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5361305" cy="413258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8130" cy="3023235"/>
            <wp:effectExtent l="0" t="0" r="6350"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4"/>
                    <a:stretch>
                      <a:fillRect/>
                    </a:stretch>
                  </pic:blipFill>
                  <pic:spPr>
                    <a:xfrm>
                      <a:off x="0" y="0"/>
                      <a:ext cx="5358130" cy="30232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0670" cy="1139825"/>
            <wp:effectExtent l="0" t="0" r="3810" b="317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a:stretch>
                      <a:fillRect/>
                    </a:stretch>
                  </pic:blipFill>
                  <pic:spPr>
                    <a:xfrm>
                      <a:off x="0" y="0"/>
                      <a:ext cx="5360670" cy="113982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8130" cy="1709420"/>
            <wp:effectExtent l="0" t="0" r="6350" b="1270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6"/>
                    <a:stretch>
                      <a:fillRect/>
                    </a:stretch>
                  </pic:blipFill>
                  <pic:spPr>
                    <a:xfrm>
                      <a:off x="0" y="0"/>
                      <a:ext cx="5358130" cy="170942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8130" cy="2561590"/>
            <wp:effectExtent l="0" t="0" r="6350" b="1397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7"/>
                    <a:stretch>
                      <a:fillRect/>
                    </a:stretch>
                  </pic:blipFill>
                  <pic:spPr>
                    <a:xfrm>
                      <a:off x="0" y="0"/>
                      <a:ext cx="5358130" cy="2561590"/>
                    </a:xfrm>
                    <a:prstGeom prst="rect">
                      <a:avLst/>
                    </a:prstGeom>
                    <a:noFill/>
                    <a:ln>
                      <a:noFill/>
                    </a:ln>
                  </pic:spPr>
                </pic:pic>
              </a:graphicData>
            </a:graphic>
          </wp:inline>
        </w:drawing>
      </w:r>
    </w:p>
    <w:p>
      <w:pPr>
        <w:pStyle w:val="13"/>
        <w:keepNext w:val="0"/>
        <w:keepLines w:val="0"/>
        <w:pageBreakBefore w:val="0"/>
        <w:widowControl w:val="0"/>
        <w:numPr>
          <w:ilvl w:val="0"/>
          <w:numId w:val="5"/>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2021年度收入总计14526959.49元，支出总计14868981.78元，与2020年决算数相比，收入增加2321940.47元，增长19%，支出增加2663962.76元，增长21.8%。主要原因是其他收入、人员经费增加，收入支出相应增加。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14526959.49</w:t>
      </w:r>
      <w:r>
        <w:rPr>
          <w:rFonts w:hint="eastAsia" w:ascii="仿宋_GB2312" w:hAnsi="仿宋_GB2312" w:eastAsia="仿宋_GB2312" w:cs="仿宋_GB2312"/>
          <w:color w:val="000000"/>
          <w:spacing w:val="0"/>
          <w:w w:val="100"/>
          <w:position w:val="0"/>
          <w:sz w:val="32"/>
          <w:szCs w:val="32"/>
        </w:rPr>
        <w:t>元，其中：财政拨款收入11042527.49元，占</w:t>
      </w:r>
      <w:r>
        <w:rPr>
          <w:rFonts w:hint="eastAsia" w:ascii="仿宋_GB2312" w:hAnsi="仿宋_GB2312" w:eastAsia="仿宋_GB2312" w:cs="仿宋_GB2312"/>
          <w:color w:val="000000"/>
          <w:spacing w:val="0"/>
          <w:w w:val="100"/>
          <w:position w:val="0"/>
          <w:sz w:val="32"/>
          <w:szCs w:val="32"/>
          <w:lang w:val="en-US" w:eastAsia="zh-CN"/>
        </w:rPr>
        <w:t>76</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%；附属部门（本单位）上缴收入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%；其他收入3484432元，占</w:t>
      </w:r>
      <w:r>
        <w:rPr>
          <w:rFonts w:hint="eastAsia" w:ascii="仿宋_GB2312" w:hAnsi="仿宋_GB2312" w:eastAsia="仿宋_GB2312" w:cs="仿宋_GB2312"/>
          <w:color w:val="000000"/>
          <w:spacing w:val="0"/>
          <w:w w:val="100"/>
          <w:position w:val="0"/>
          <w:sz w:val="32"/>
          <w:szCs w:val="32"/>
          <w:lang w:val="en-US" w:eastAsia="zh-CN"/>
        </w:rPr>
        <w:t>24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14868981.78</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14868981.78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%；对附属部门（本单位）补助支出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14526959.49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2321940.47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14868981.78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2663962.76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21.8</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11065027.49万元，占本年支出的74.4%，较上年决算数增加3951167.28 万元，增长55%。</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7864644.05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公共安全支出</w:t>
      </w:r>
      <w:r>
        <w:rPr>
          <w:rFonts w:hint="eastAsia" w:ascii="仿宋_GB2312" w:hAnsi="仿宋_GB2312" w:eastAsia="仿宋_GB2312" w:cs="仿宋_GB2312"/>
          <w:color w:val="000000"/>
          <w:spacing w:val="0"/>
          <w:w w:val="100"/>
          <w:position w:val="0"/>
          <w:sz w:val="32"/>
          <w:szCs w:val="32"/>
          <w:lang w:val="en-US" w:eastAsia="zh-CN"/>
        </w:rPr>
        <w:t>20000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2751132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24.9</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11065027.49</w:t>
      </w:r>
      <w:r>
        <w:rPr>
          <w:rFonts w:hint="eastAsia" w:ascii="仿宋_GB2312" w:hAnsi="仿宋_GB2312" w:eastAsia="仿宋_GB2312" w:cs="仿宋_GB2312"/>
          <w:color w:val="000000"/>
          <w:spacing w:val="0"/>
          <w:w w:val="100"/>
          <w:position w:val="0"/>
          <w:sz w:val="32"/>
          <w:szCs w:val="32"/>
        </w:rPr>
        <w:t>元。其中：人员经费9344022.44元，较上年增加</w:t>
      </w:r>
      <w:r>
        <w:rPr>
          <w:rFonts w:hint="eastAsia" w:ascii="仿宋_GB2312" w:hAnsi="仿宋_GB2312" w:eastAsia="仿宋_GB2312" w:cs="仿宋_GB2312"/>
          <w:color w:val="000000"/>
          <w:spacing w:val="0"/>
          <w:w w:val="100"/>
          <w:position w:val="0"/>
          <w:sz w:val="32"/>
          <w:szCs w:val="32"/>
          <w:lang w:val="en-US" w:eastAsia="zh-CN"/>
        </w:rPr>
        <w:t>178496.43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人员增加经费相应增加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公用经费1721005.05元，较上年增加</w:t>
      </w:r>
      <w:r>
        <w:rPr>
          <w:rFonts w:hint="eastAsia" w:ascii="仿宋_GB2312" w:hAnsi="仿宋_GB2312" w:eastAsia="仿宋_GB2312" w:cs="仿宋_GB2312"/>
          <w:color w:val="000000"/>
          <w:spacing w:val="0"/>
          <w:w w:val="100"/>
          <w:position w:val="0"/>
          <w:sz w:val="32"/>
          <w:szCs w:val="32"/>
          <w:lang w:val="en-US" w:eastAsia="zh-CN"/>
        </w:rPr>
        <w:t>399808.66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公用经费增加</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水电</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取暖</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维修维护费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20000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20000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车辆保险及维修费。</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20000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20000</w:t>
      </w:r>
      <w:r>
        <w:rPr>
          <w:rFonts w:hint="eastAsia" w:ascii="仿宋_GB2312" w:hAnsi="仿宋_GB2312" w:eastAsia="仿宋_GB2312" w:cs="仿宋_GB2312"/>
          <w:color w:val="000000"/>
          <w:spacing w:val="0"/>
          <w:w w:val="100"/>
          <w:position w:val="0"/>
          <w:sz w:val="32"/>
          <w:szCs w:val="32"/>
        </w:rPr>
        <w:t>元，主要用于维修费、保险费等，费用支出较年初预算数增加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2</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50万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截至</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年12月31日，本部门共有车辆</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辆，其中：主要领导干部用车</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辆、</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他用车</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辆，其他用车主要是</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环境治理垃圾运输车</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单价50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以上通用设备</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台（套），单价100万元以上专用设备</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台（套）</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90683</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90</w:t>
      </w:r>
      <w:bookmarkStart w:id="17" w:name="_GoBack"/>
      <w:bookmarkEnd w:id="17"/>
      <w:r>
        <w:rPr>
          <w:rFonts w:hint="eastAsia" w:ascii="仿宋_GB2312" w:hAnsi="仿宋_GB2312" w:eastAsia="仿宋_GB2312" w:cs="仿宋_GB2312"/>
          <w:color w:val="000000"/>
          <w:spacing w:val="0"/>
          <w:w w:val="100"/>
          <w:position w:val="0"/>
          <w:sz w:val="32"/>
          <w:szCs w:val="32"/>
          <w:lang w:val="en-US" w:eastAsia="zh-CN" w:bidi="en-US"/>
        </w:rPr>
        <w:t>683</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复印纸等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无</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91BAFD5"/>
    <w:multiLevelType w:val="singleLevel"/>
    <w:tmpl w:val="591BAFD5"/>
    <w:lvl w:ilvl="0" w:tentative="0">
      <w:start w:val="1"/>
      <w:numFmt w:val="decimal"/>
      <w:suff w:val="nothing"/>
      <w:lvlText w:val="%1、"/>
      <w:lvlJc w:val="left"/>
    </w:lvl>
  </w:abstractNum>
  <w:abstractNum w:abstractNumId="3">
    <w:nsid w:val="591BB26D"/>
    <w:multiLevelType w:val="singleLevel"/>
    <w:tmpl w:val="591BB26D"/>
    <w:lvl w:ilvl="0" w:tentative="0">
      <w:start w:val="1"/>
      <w:numFmt w:val="decimal"/>
      <w:suff w:val="nothing"/>
      <w:lvlText w:val="%1、"/>
      <w:lvlJc w:val="left"/>
    </w:lvl>
  </w:abstractNum>
  <w:abstractNum w:abstractNumId="4">
    <w:nsid w:val="591BB40E"/>
    <w:multiLevelType w:val="singleLevel"/>
    <w:tmpl w:val="591BB40E"/>
    <w:lvl w:ilvl="0" w:tentative="0">
      <w:start w:val="4"/>
      <w:numFmt w:val="decimal"/>
      <w:suff w:val="nothing"/>
      <w:lvlText w:val="%1、"/>
      <w:lvlJc w:val="left"/>
    </w:lvl>
  </w:abstractNum>
  <w:abstractNum w:abstractNumId="5">
    <w:nsid w:val="591BB471"/>
    <w:multiLevelType w:val="singleLevel"/>
    <w:tmpl w:val="591BB471"/>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ljZDQwMjYzNjE4NDljNTRhM2MzNzM3YThhODEwMDgifQ=="/>
  </w:docVars>
  <w:rsids>
    <w:rsidRoot w:val="00000000"/>
    <w:rsid w:val="0511788F"/>
    <w:rsid w:val="06AA1511"/>
    <w:rsid w:val="0A4C6688"/>
    <w:rsid w:val="0D890E7C"/>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7238</Words>
  <Characters>7841</Characters>
  <TotalTime>8</TotalTime>
  <ScaleCrop>false</ScaleCrop>
  <LinksUpToDate>false</LinksUpToDate>
  <CharactersWithSpaces>7889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2022-09-20T03:07:17Z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