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5"/>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2"/>
      <w:bookmarkStart w:id="1" w:name="bookmark0"/>
      <w:bookmarkStart w:id="2" w:name="bookmark1"/>
      <w:r>
        <w:rPr>
          <w:rFonts w:hint="eastAsia" w:ascii="方正小标宋_GBK" w:hAnsi="方正小标宋_GBK" w:eastAsia="方正小标宋_GBK" w:cs="方正小标宋_GBK"/>
          <w:sz w:val="40"/>
          <w:szCs w:val="40"/>
          <w:lang w:val="en-US" w:eastAsia="zh-CN"/>
        </w:rPr>
        <w:t>东乡县医疗保障局</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ind w:firstLine="640" w:firstLineChars="200"/>
        <w:rPr>
          <w:rFonts w:ascii="楷体_GB2312" w:eastAsia="楷体_GB2312"/>
          <w:sz w:val="32"/>
          <w:szCs w:val="32"/>
          <w:highlight w:val="none"/>
        </w:rPr>
      </w:pPr>
      <w:r>
        <w:rPr>
          <w:rFonts w:hint="eastAsia" w:ascii="楷体_GB2312" w:eastAsia="楷体_GB2312"/>
          <w:sz w:val="32"/>
          <w:szCs w:val="32"/>
          <w:highlight w:val="none"/>
        </w:rPr>
        <w:t>（一）贯彻执行国家和省州关于医疗保险、生育保险、医疗救助等医疗保障制度的法律法规、规划和标准，拟订全县相关政策、规划和标准，组织起草相关县政府规章草案。拟订全县公务员医疗补助、企事业单位补充医疗保险政策和管理办法。</w:t>
      </w:r>
    </w:p>
    <w:p>
      <w:pPr>
        <w:ind w:firstLine="640" w:firstLineChars="200"/>
        <w:rPr>
          <w:rFonts w:ascii="楷体_GB2312" w:eastAsia="楷体_GB2312"/>
          <w:sz w:val="32"/>
          <w:szCs w:val="32"/>
          <w:highlight w:val="none"/>
        </w:rPr>
      </w:pPr>
      <w:r>
        <w:rPr>
          <w:rFonts w:hint="eastAsia" w:ascii="楷体_GB2312" w:eastAsia="楷体_GB2312"/>
          <w:sz w:val="32"/>
          <w:szCs w:val="32"/>
          <w:highlight w:val="none"/>
        </w:rPr>
        <w:t>（二）拟定并组织实施全县医疗保障基金监督管理办法，建立健全医疗保障基金安全防控机制，推进医疗保障基金支付方式改革。</w:t>
      </w:r>
    </w:p>
    <w:p>
      <w:pPr>
        <w:ind w:firstLine="640" w:firstLineChars="200"/>
        <w:rPr>
          <w:rFonts w:ascii="楷体_GB2312" w:eastAsia="楷体_GB2312"/>
          <w:sz w:val="32"/>
          <w:szCs w:val="32"/>
          <w:highlight w:val="none"/>
        </w:rPr>
      </w:pPr>
      <w:r>
        <w:rPr>
          <w:rFonts w:hint="eastAsia" w:ascii="楷体_GB2312" w:eastAsia="楷体_GB2312"/>
          <w:sz w:val="32"/>
          <w:szCs w:val="32"/>
          <w:highlight w:val="none"/>
        </w:rPr>
        <w:t>（三）组织制定全县医疗保障筹资和待遇政策，完善动态调整和县域调剂平衡机制，统筹城乡医疗保障待遇标准，建立健全与筹资水平相适应的待遇调整机制。负责建立、实施城乡居民建档立卡户、低保户、残疾人社会救助保障。</w:t>
      </w:r>
    </w:p>
    <w:p>
      <w:pPr>
        <w:ind w:firstLine="640" w:firstLineChars="200"/>
        <w:rPr>
          <w:rFonts w:ascii="楷体_GB2312" w:eastAsia="楷体_GB2312"/>
          <w:sz w:val="32"/>
          <w:szCs w:val="32"/>
          <w:highlight w:val="none"/>
        </w:rPr>
      </w:pPr>
      <w:r>
        <w:rPr>
          <w:rFonts w:hint="eastAsia" w:ascii="楷体_GB2312" w:eastAsia="楷体_GB2312"/>
          <w:sz w:val="32"/>
          <w:szCs w:val="32"/>
          <w:highlight w:val="none"/>
        </w:rPr>
        <w:t>（四）组织制定城乡统一的药品、医用耗材、医疗服务项目、医疗服务设施等医保目录和支付标准，建立动态调整机制，承担医保目录准入相关工作。</w:t>
      </w:r>
    </w:p>
    <w:p>
      <w:pPr>
        <w:ind w:firstLine="640" w:firstLineChars="200"/>
        <w:rPr>
          <w:rFonts w:ascii="楷体_GB2312" w:eastAsia="楷体_GB2312"/>
          <w:sz w:val="32"/>
          <w:szCs w:val="32"/>
          <w:highlight w:val="none"/>
        </w:rPr>
      </w:pPr>
      <w:r>
        <w:rPr>
          <w:rFonts w:hint="eastAsia" w:ascii="楷体_GB2312" w:eastAsia="楷体_GB2312"/>
          <w:sz w:val="32"/>
          <w:szCs w:val="32"/>
          <w:highlight w:val="none"/>
        </w:rPr>
        <w:t>（五）组织制定药品、医用耗材价格和医疗服务项目、医疗服务设施收费等政策，建立医保支付医药服务价格合理确定和动态调整机制，推动建立市场主导的社会医药服务价格形成机制，建立价格信息监测和信息发布制度。</w:t>
      </w:r>
    </w:p>
    <w:p>
      <w:pPr>
        <w:ind w:firstLine="640" w:firstLineChars="200"/>
        <w:rPr>
          <w:rFonts w:ascii="楷体_GB2312" w:eastAsia="楷体_GB2312"/>
          <w:sz w:val="32"/>
          <w:szCs w:val="32"/>
          <w:highlight w:val="none"/>
        </w:rPr>
      </w:pPr>
      <w:r>
        <w:rPr>
          <w:rFonts w:hint="eastAsia" w:ascii="楷体_GB2312" w:eastAsia="楷体_GB2312"/>
          <w:sz w:val="32"/>
          <w:szCs w:val="32"/>
          <w:highlight w:val="none"/>
        </w:rPr>
        <w:t>（六）制定药品、医用耗材的招标采购政策并监督实施，指导药品和医用耗材集中采购平台建设。</w:t>
      </w:r>
    </w:p>
    <w:p>
      <w:pPr>
        <w:ind w:firstLine="640" w:firstLineChars="200"/>
        <w:rPr>
          <w:rFonts w:ascii="楷体_GB2312" w:eastAsia="楷体_GB2312"/>
          <w:sz w:val="32"/>
          <w:szCs w:val="32"/>
          <w:highlight w:val="none"/>
        </w:rPr>
      </w:pPr>
      <w:r>
        <w:rPr>
          <w:rFonts w:hint="eastAsia" w:ascii="楷体_GB2312" w:eastAsia="楷体_GB2312"/>
          <w:sz w:val="32"/>
          <w:szCs w:val="32"/>
          <w:highlight w:val="none"/>
        </w:rPr>
        <w:t>（七）制定定点医药机构协议和支付管理办法并组织实施，建立健全医疗保障信用评价体系和信息披露制度，监督管理纳入医保范围内的医疗服务行为和医疗费用，依法查处医疗保障和生育保险领域违法违规行为。</w:t>
      </w:r>
    </w:p>
    <w:p>
      <w:pPr>
        <w:ind w:firstLine="640" w:firstLineChars="200"/>
        <w:rPr>
          <w:rFonts w:ascii="楷体_GB2312" w:eastAsia="楷体_GB2312"/>
          <w:sz w:val="32"/>
          <w:szCs w:val="32"/>
          <w:highlight w:val="none"/>
        </w:rPr>
      </w:pPr>
      <w:r>
        <w:rPr>
          <w:rFonts w:hint="eastAsia" w:ascii="楷体_GB2312" w:eastAsia="楷体_GB2312"/>
          <w:sz w:val="32"/>
          <w:szCs w:val="32"/>
          <w:highlight w:val="none"/>
        </w:rPr>
        <w:t>（八）负责公共服务体系和信息化建设。组织制定和完善异地就医管理和费用结算政策。建立健全医疗保障关系转移接续制度。</w:t>
      </w:r>
    </w:p>
    <w:p>
      <w:pPr>
        <w:ind w:firstLine="640" w:firstLineChars="200"/>
        <w:rPr>
          <w:rFonts w:ascii="楷体_GB2312" w:eastAsia="楷体_GB2312"/>
          <w:sz w:val="32"/>
          <w:szCs w:val="32"/>
          <w:highlight w:val="none"/>
        </w:rPr>
      </w:pPr>
      <w:r>
        <w:rPr>
          <w:rFonts w:hint="eastAsia" w:ascii="楷体_GB2312" w:eastAsia="楷体_GB2312"/>
          <w:sz w:val="32"/>
          <w:szCs w:val="32"/>
          <w:highlight w:val="none"/>
        </w:rPr>
        <w:t>（九）指导全县医疗保险、生育保险经办机构开展业务工作。</w:t>
      </w:r>
    </w:p>
    <w:p>
      <w:pPr>
        <w:ind w:firstLine="640" w:firstLineChars="200"/>
        <w:rPr>
          <w:rFonts w:ascii="楷体_GB2312" w:eastAsia="楷体_GB2312"/>
          <w:sz w:val="32"/>
          <w:szCs w:val="32"/>
          <w:highlight w:val="none"/>
        </w:rPr>
      </w:pPr>
      <w:r>
        <w:rPr>
          <w:rFonts w:hint="eastAsia" w:ascii="楷体_GB2312" w:eastAsia="楷体_GB2312"/>
          <w:sz w:val="32"/>
          <w:szCs w:val="32"/>
          <w:highlight w:val="none"/>
        </w:rPr>
        <w:t>（十）按规定要求，承担对口事业服务机构业务工作的指导，协调和监督职责。</w:t>
      </w:r>
    </w:p>
    <w:p>
      <w:pPr>
        <w:ind w:firstLine="640" w:firstLineChars="200"/>
        <w:rPr>
          <w:rFonts w:ascii="楷体_GB2312" w:eastAsia="楷体_GB2312"/>
          <w:sz w:val="32"/>
          <w:szCs w:val="32"/>
          <w:highlight w:val="none"/>
        </w:rPr>
      </w:pPr>
      <w:r>
        <w:rPr>
          <w:rFonts w:hint="eastAsia" w:ascii="楷体_GB2312" w:eastAsia="楷体_GB2312"/>
          <w:sz w:val="32"/>
          <w:szCs w:val="32"/>
          <w:highlight w:val="none"/>
        </w:rPr>
        <w:t>（十一）完成县委、县政府和上级业务部门交办的其他工作任务。</w:t>
      </w:r>
    </w:p>
    <w:p>
      <w:pPr>
        <w:ind w:firstLine="640" w:firstLineChars="200"/>
        <w:rPr>
          <w:rFonts w:ascii="楷体_GB2312" w:eastAsia="楷体_GB2312"/>
          <w:sz w:val="32"/>
          <w:szCs w:val="32"/>
          <w:highlight w:val="none"/>
        </w:rPr>
      </w:pPr>
      <w:r>
        <w:rPr>
          <w:rFonts w:hint="eastAsia" w:ascii="楷体_GB2312" w:eastAsia="楷体_GB2312"/>
          <w:sz w:val="32"/>
          <w:szCs w:val="32"/>
          <w:highlight w:val="none"/>
        </w:rPr>
        <w:t>（十二）职能转变。县医保局应加强、优化和统筹全县医疗保障方面的能力建设，完善统一的城乡居民基本医疗保险制度和大病保险制度，建立健全覆盖全民、城乡统筹的多层次医疗保障体系，不断提高医疗保障水平，确保医保资金合理使用、安全可控，推进医疗、医保、医药“三医联动”改革，深入推进简政放权，更好保障人民群众就医需求、减轻医药费用负担。</w:t>
      </w:r>
    </w:p>
    <w:p>
      <w:pPr>
        <w:spacing w:line="640" w:lineRule="exact"/>
        <w:ind w:firstLine="640" w:firstLineChars="200"/>
        <w:rPr>
          <w:rFonts w:hint="eastAsia" w:ascii="仿宋_GB2312" w:hAnsi="黑体" w:eastAsia="仿宋_GB2312"/>
          <w:sz w:val="32"/>
          <w:szCs w:val="32"/>
          <w:highlight w:val="none"/>
        </w:rPr>
      </w:pPr>
      <w:r>
        <w:rPr>
          <w:rFonts w:hint="eastAsia" w:ascii="楷体_GB2312" w:eastAsia="楷体_GB2312"/>
          <w:sz w:val="32"/>
          <w:szCs w:val="32"/>
          <w:highlight w:val="none"/>
        </w:rPr>
        <w:t>（十三）与县卫生健康局的有关职责分工。县卫生健康局、县医疗保障局等部门在医疗、医保、医药等方面加强制度和政策衔接，建立沟通协商机制，协同推进改革，提高医疗资源使用效率和医疗保障水平。</w:t>
      </w:r>
    </w:p>
    <w:p>
      <w:pPr>
        <w:spacing w:line="640" w:lineRule="exact"/>
        <w:ind w:firstLine="1597" w:firstLineChars="497"/>
        <w:rPr>
          <w:rFonts w:hint="eastAsia" w:ascii="仿宋_GB2312" w:hAnsi="黑体" w:eastAsia="仿宋_GB2312"/>
          <w:b/>
          <w:bCs/>
          <w:sz w:val="32"/>
          <w:szCs w:val="32"/>
          <w:highlight w:val="none"/>
        </w:rPr>
      </w:pPr>
      <w:r>
        <w:rPr>
          <w:rFonts w:hint="eastAsia" w:ascii="仿宋_GB2312" w:hAnsi="黑体" w:eastAsia="仿宋_GB2312"/>
          <w:b/>
          <w:bCs/>
          <w:sz w:val="32"/>
          <w:szCs w:val="32"/>
          <w:highlight w:val="none"/>
        </w:rPr>
        <w:t>二、机构设置</w:t>
      </w:r>
    </w:p>
    <w:p>
      <w:pPr>
        <w:spacing w:line="640" w:lineRule="exact"/>
        <w:rPr>
          <w:rFonts w:hint="eastAsia" w:ascii="仿宋_GB2312" w:hAnsi="黑体" w:eastAsia="仿宋_GB2312"/>
          <w:sz w:val="32"/>
          <w:szCs w:val="32"/>
          <w:highlight w:val="none"/>
        </w:rPr>
      </w:pPr>
      <w:r>
        <w:rPr>
          <w:rFonts w:hint="eastAsia" w:ascii="楷体_GB2312" w:eastAsia="楷体_GB2312"/>
          <w:sz w:val="32"/>
          <w:szCs w:val="32"/>
          <w:highlight w:val="none"/>
        </w:rPr>
        <w:t>1.综合办公室（行政审批股）；2.医疗经办管理股；3.医保基金管理股。</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4" w:name="bookmark5"/>
      <w:r>
        <w:rPr>
          <w:rFonts w:hint="eastAsia" w:ascii="仿宋_GB2312" w:hAnsi="仿宋_GB2312" w:eastAsia="仿宋_GB2312" w:cs="仿宋_GB2312"/>
          <w:color w:val="000000"/>
          <w:spacing w:val="0"/>
          <w:w w:val="100"/>
          <w:position w:val="0"/>
          <w:sz w:val="32"/>
          <w:szCs w:val="32"/>
        </w:rPr>
        <w:t>一</w:t>
      </w:r>
      <w:bookmarkEnd w:id="4"/>
      <w:r>
        <w:rPr>
          <w:rFonts w:hint="eastAsia" w:ascii="仿宋_GB2312" w:hAnsi="仿宋_GB2312" w:eastAsia="仿宋_GB2312" w:cs="仿宋_GB2312"/>
          <w:color w:val="000000"/>
          <w:spacing w:val="0"/>
          <w:w w:val="100"/>
          <w:position w:val="0"/>
          <w:sz w:val="32"/>
          <w:szCs w:val="32"/>
        </w:rPr>
        <w:t>、收入支出决算总表</w:t>
      </w:r>
    </w:p>
    <w:tbl>
      <w:tblPr>
        <w:tblW w:w="887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152"/>
        <w:gridCol w:w="635"/>
        <w:gridCol w:w="1662"/>
        <w:gridCol w:w="1656"/>
        <w:gridCol w:w="890"/>
        <w:gridCol w:w="18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jc w:val="center"/>
        </w:trPr>
        <w:tc>
          <w:tcPr>
            <w:tcW w:w="8872" w:type="dxa"/>
            <w:gridSpan w:val="6"/>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bdr w:val="none" w:color="auto" w:sz="0" w:space="0"/>
                <w:shd w:val="clear" w:color="auto" w:fill="auto"/>
                <w:lang w:val="en-US" w:eastAsia="zh-CN" w:bidi="ar"/>
              </w:rPr>
              <w:t>收入支出决算批复表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2152" w:type="dxa"/>
            <w:tcBorders>
              <w:top w:val="nil"/>
              <w:left w:val="nil"/>
              <w:bottom w:val="nil"/>
              <w:right w:val="nil"/>
            </w:tcBorders>
            <w:shd w:val="clear"/>
            <w:noWrap/>
            <w:vAlign w:val="bottom"/>
          </w:tcPr>
          <w:p>
            <w:pPr>
              <w:rPr>
                <w:rFonts w:hint="eastAsia" w:ascii="Arial" w:hAnsi="Arial" w:cs="Arial"/>
                <w:i w:val="0"/>
                <w:iCs w:val="0"/>
                <w:color w:val="000000"/>
                <w:sz w:val="18"/>
                <w:szCs w:val="18"/>
                <w:u w:val="none"/>
              </w:rPr>
            </w:pPr>
          </w:p>
        </w:tc>
        <w:tc>
          <w:tcPr>
            <w:tcW w:w="635" w:type="dxa"/>
            <w:tcBorders>
              <w:top w:val="nil"/>
              <w:left w:val="nil"/>
              <w:bottom w:val="nil"/>
              <w:right w:val="nil"/>
            </w:tcBorders>
            <w:shd w:val="clear"/>
            <w:noWrap/>
            <w:vAlign w:val="bottom"/>
          </w:tcPr>
          <w:p>
            <w:pPr>
              <w:rPr>
                <w:rFonts w:hint="default" w:ascii="Arial" w:hAnsi="Arial" w:cs="Arial"/>
                <w:i w:val="0"/>
                <w:iCs w:val="0"/>
                <w:color w:val="000000"/>
                <w:sz w:val="18"/>
                <w:szCs w:val="18"/>
                <w:u w:val="none"/>
              </w:rPr>
            </w:pPr>
          </w:p>
        </w:tc>
        <w:tc>
          <w:tcPr>
            <w:tcW w:w="1662" w:type="dxa"/>
            <w:tcBorders>
              <w:top w:val="nil"/>
              <w:left w:val="nil"/>
              <w:bottom w:val="nil"/>
              <w:right w:val="nil"/>
            </w:tcBorders>
            <w:shd w:val="clear"/>
            <w:noWrap/>
            <w:vAlign w:val="bottom"/>
          </w:tcPr>
          <w:p>
            <w:pPr>
              <w:rPr>
                <w:rFonts w:hint="default" w:ascii="Arial" w:hAnsi="Arial" w:cs="Arial"/>
                <w:i w:val="0"/>
                <w:iCs w:val="0"/>
                <w:color w:val="000000"/>
                <w:sz w:val="18"/>
                <w:szCs w:val="18"/>
                <w:u w:val="none"/>
              </w:rPr>
            </w:pPr>
          </w:p>
        </w:tc>
        <w:tc>
          <w:tcPr>
            <w:tcW w:w="1656" w:type="dxa"/>
            <w:tcBorders>
              <w:top w:val="nil"/>
              <w:left w:val="nil"/>
              <w:bottom w:val="nil"/>
              <w:right w:val="nil"/>
            </w:tcBorders>
            <w:shd w:val="clear"/>
            <w:noWrap/>
            <w:vAlign w:val="bottom"/>
          </w:tcPr>
          <w:p>
            <w:pPr>
              <w:rPr>
                <w:rFonts w:hint="default" w:ascii="Arial" w:hAnsi="Arial" w:cs="Arial"/>
                <w:i w:val="0"/>
                <w:iCs w:val="0"/>
                <w:color w:val="000000"/>
                <w:sz w:val="18"/>
                <w:szCs w:val="18"/>
                <w:u w:val="none"/>
              </w:rPr>
            </w:pPr>
          </w:p>
        </w:tc>
        <w:tc>
          <w:tcPr>
            <w:tcW w:w="890" w:type="dxa"/>
            <w:tcBorders>
              <w:top w:val="nil"/>
              <w:left w:val="nil"/>
              <w:bottom w:val="nil"/>
              <w:right w:val="nil"/>
            </w:tcBorders>
            <w:shd w:val="clear"/>
            <w:noWrap/>
            <w:vAlign w:val="bottom"/>
          </w:tcPr>
          <w:p>
            <w:pPr>
              <w:rPr>
                <w:rFonts w:hint="default" w:ascii="Arial" w:hAnsi="Arial" w:cs="Arial"/>
                <w:i w:val="0"/>
                <w:iCs w:val="0"/>
                <w:color w:val="000000"/>
                <w:sz w:val="18"/>
                <w:szCs w:val="18"/>
                <w:u w:val="none"/>
              </w:rPr>
            </w:pPr>
          </w:p>
        </w:tc>
        <w:tc>
          <w:tcPr>
            <w:tcW w:w="1877"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财决批复01表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2152" w:type="dxa"/>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部门：临夏州东乡族自治县医疗保障局</w:t>
            </w:r>
          </w:p>
        </w:tc>
        <w:tc>
          <w:tcPr>
            <w:tcW w:w="635" w:type="dxa"/>
            <w:tcBorders>
              <w:top w:val="nil"/>
              <w:left w:val="nil"/>
              <w:bottom w:val="nil"/>
              <w:right w:val="nil"/>
            </w:tcBorders>
            <w:shd w:val="clear"/>
            <w:noWrap/>
            <w:vAlign w:val="bottom"/>
          </w:tcPr>
          <w:p>
            <w:pPr>
              <w:rPr>
                <w:rFonts w:hint="default" w:ascii="Arial" w:hAnsi="Arial" w:cs="Arial"/>
                <w:i w:val="0"/>
                <w:iCs w:val="0"/>
                <w:color w:val="000000"/>
                <w:sz w:val="18"/>
                <w:szCs w:val="18"/>
                <w:u w:val="none"/>
              </w:rPr>
            </w:pPr>
          </w:p>
        </w:tc>
        <w:tc>
          <w:tcPr>
            <w:tcW w:w="1662" w:type="dxa"/>
            <w:tcBorders>
              <w:top w:val="nil"/>
              <w:left w:val="nil"/>
              <w:bottom w:val="nil"/>
              <w:right w:val="nil"/>
            </w:tcBorders>
            <w:shd w:val="clear"/>
            <w:noWrap/>
            <w:vAlign w:val="bottom"/>
          </w:tcPr>
          <w:p>
            <w:pPr>
              <w:rPr>
                <w:rFonts w:hint="default" w:ascii="Arial" w:hAnsi="Arial" w:cs="Arial"/>
                <w:i w:val="0"/>
                <w:iCs w:val="0"/>
                <w:color w:val="000000"/>
                <w:sz w:val="18"/>
                <w:szCs w:val="18"/>
                <w:u w:val="none"/>
              </w:rPr>
            </w:pPr>
          </w:p>
        </w:tc>
        <w:tc>
          <w:tcPr>
            <w:tcW w:w="1656" w:type="dxa"/>
            <w:tcBorders>
              <w:top w:val="nil"/>
              <w:left w:val="nil"/>
              <w:bottom w:val="nil"/>
              <w:right w:val="nil"/>
            </w:tcBorders>
            <w:shd w:val="clear"/>
            <w:noWrap/>
            <w:vAlign w:val="bottom"/>
          </w:tcPr>
          <w:p>
            <w:pPr>
              <w:rPr>
                <w:rFonts w:hint="default" w:ascii="Arial" w:hAnsi="Arial" w:cs="Arial"/>
                <w:i w:val="0"/>
                <w:iCs w:val="0"/>
                <w:color w:val="000000"/>
                <w:sz w:val="18"/>
                <w:szCs w:val="18"/>
                <w:u w:val="none"/>
              </w:rPr>
            </w:pPr>
          </w:p>
        </w:tc>
        <w:tc>
          <w:tcPr>
            <w:tcW w:w="890" w:type="dxa"/>
            <w:tcBorders>
              <w:top w:val="nil"/>
              <w:left w:val="nil"/>
              <w:bottom w:val="nil"/>
              <w:right w:val="nil"/>
            </w:tcBorders>
            <w:shd w:val="clear"/>
            <w:noWrap/>
            <w:vAlign w:val="bottom"/>
          </w:tcPr>
          <w:p>
            <w:pPr>
              <w:rPr>
                <w:rFonts w:hint="default" w:ascii="Arial" w:hAnsi="Arial" w:cs="Arial"/>
                <w:i w:val="0"/>
                <w:iCs w:val="0"/>
                <w:color w:val="000000"/>
                <w:sz w:val="18"/>
                <w:szCs w:val="18"/>
                <w:u w:val="none"/>
              </w:rPr>
            </w:pPr>
          </w:p>
        </w:tc>
        <w:tc>
          <w:tcPr>
            <w:tcW w:w="1877"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4449"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收入</w:t>
            </w:r>
          </w:p>
        </w:tc>
        <w:tc>
          <w:tcPr>
            <w:tcW w:w="4423" w:type="dxa"/>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项目</w:t>
            </w: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行次</w:t>
            </w:r>
          </w:p>
        </w:tc>
        <w:tc>
          <w:tcPr>
            <w:tcW w:w="16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金额</w:t>
            </w: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项目</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行次</w:t>
            </w:r>
          </w:p>
        </w:tc>
        <w:tc>
          <w:tcPr>
            <w:tcW w:w="187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栏次</w:t>
            </w:r>
          </w:p>
        </w:tc>
        <w:tc>
          <w:tcPr>
            <w:tcW w:w="635"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16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w:t>
            </w: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栏次</w:t>
            </w:r>
          </w:p>
        </w:tc>
        <w:tc>
          <w:tcPr>
            <w:tcW w:w="890"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187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一、一般公共预算财政拨款收入</w:t>
            </w: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w:t>
            </w:r>
          </w:p>
        </w:tc>
        <w:tc>
          <w:tcPr>
            <w:tcW w:w="166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118,898,409.62</w:t>
            </w: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一、一般公共服务支出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32</w:t>
            </w:r>
          </w:p>
        </w:tc>
        <w:tc>
          <w:tcPr>
            <w:tcW w:w="18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35,054.00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二、政府性基金预算财政拨款收入</w:t>
            </w: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w:t>
            </w:r>
          </w:p>
        </w:tc>
        <w:tc>
          <w:tcPr>
            <w:tcW w:w="166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3,719,661.16</w:t>
            </w: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二、外交支出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33</w:t>
            </w:r>
          </w:p>
        </w:tc>
        <w:tc>
          <w:tcPr>
            <w:tcW w:w="18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三、国有资本经营预算财政拨款收入</w:t>
            </w: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3</w:t>
            </w:r>
          </w:p>
        </w:tc>
        <w:tc>
          <w:tcPr>
            <w:tcW w:w="166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三、国防支出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34</w:t>
            </w:r>
          </w:p>
        </w:tc>
        <w:tc>
          <w:tcPr>
            <w:tcW w:w="18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四、上级补助收入</w:t>
            </w: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4</w:t>
            </w:r>
          </w:p>
        </w:tc>
        <w:tc>
          <w:tcPr>
            <w:tcW w:w="166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四、公共安全支出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35</w:t>
            </w:r>
          </w:p>
        </w:tc>
        <w:tc>
          <w:tcPr>
            <w:tcW w:w="18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五、事业收入</w:t>
            </w: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5</w:t>
            </w:r>
          </w:p>
        </w:tc>
        <w:tc>
          <w:tcPr>
            <w:tcW w:w="166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五、教育支出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36</w:t>
            </w:r>
          </w:p>
        </w:tc>
        <w:tc>
          <w:tcPr>
            <w:tcW w:w="18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六、经营收入</w:t>
            </w: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6</w:t>
            </w:r>
          </w:p>
        </w:tc>
        <w:tc>
          <w:tcPr>
            <w:tcW w:w="166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六、科学技术支出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37</w:t>
            </w:r>
          </w:p>
        </w:tc>
        <w:tc>
          <w:tcPr>
            <w:tcW w:w="18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七、附属单位上缴收入</w:t>
            </w: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7</w:t>
            </w:r>
          </w:p>
        </w:tc>
        <w:tc>
          <w:tcPr>
            <w:tcW w:w="166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七、文化旅游体育与传媒支出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38</w:t>
            </w:r>
          </w:p>
        </w:tc>
        <w:tc>
          <w:tcPr>
            <w:tcW w:w="18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八、其他收入</w:t>
            </w: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8</w:t>
            </w:r>
          </w:p>
        </w:tc>
        <w:tc>
          <w:tcPr>
            <w:tcW w:w="166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八、社会保障和就业支出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39</w:t>
            </w:r>
          </w:p>
        </w:tc>
        <w:tc>
          <w:tcPr>
            <w:tcW w:w="18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444,879.12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9</w:t>
            </w:r>
          </w:p>
        </w:tc>
        <w:tc>
          <w:tcPr>
            <w:tcW w:w="166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九、卫生健康支出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40</w:t>
            </w:r>
          </w:p>
        </w:tc>
        <w:tc>
          <w:tcPr>
            <w:tcW w:w="18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118,319,476.50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10</w:t>
            </w:r>
          </w:p>
        </w:tc>
        <w:tc>
          <w:tcPr>
            <w:tcW w:w="166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十、节能环保支出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41</w:t>
            </w:r>
          </w:p>
        </w:tc>
        <w:tc>
          <w:tcPr>
            <w:tcW w:w="18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11</w:t>
            </w:r>
          </w:p>
        </w:tc>
        <w:tc>
          <w:tcPr>
            <w:tcW w:w="166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十一、城乡社区支出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42</w:t>
            </w:r>
          </w:p>
        </w:tc>
        <w:tc>
          <w:tcPr>
            <w:tcW w:w="18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12</w:t>
            </w:r>
          </w:p>
        </w:tc>
        <w:tc>
          <w:tcPr>
            <w:tcW w:w="166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十二、农林水支出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43</w:t>
            </w:r>
          </w:p>
        </w:tc>
        <w:tc>
          <w:tcPr>
            <w:tcW w:w="18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99,000.00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13</w:t>
            </w:r>
          </w:p>
        </w:tc>
        <w:tc>
          <w:tcPr>
            <w:tcW w:w="166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十三、交通运输支出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44</w:t>
            </w:r>
          </w:p>
        </w:tc>
        <w:tc>
          <w:tcPr>
            <w:tcW w:w="18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14</w:t>
            </w:r>
          </w:p>
        </w:tc>
        <w:tc>
          <w:tcPr>
            <w:tcW w:w="166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十四、资源勘探工业信息等支出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45</w:t>
            </w:r>
          </w:p>
        </w:tc>
        <w:tc>
          <w:tcPr>
            <w:tcW w:w="18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15</w:t>
            </w:r>
          </w:p>
        </w:tc>
        <w:tc>
          <w:tcPr>
            <w:tcW w:w="166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十五、商业服务业等支出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46</w:t>
            </w:r>
          </w:p>
        </w:tc>
        <w:tc>
          <w:tcPr>
            <w:tcW w:w="18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16</w:t>
            </w:r>
          </w:p>
        </w:tc>
        <w:tc>
          <w:tcPr>
            <w:tcW w:w="166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十六、金融支出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47</w:t>
            </w:r>
          </w:p>
        </w:tc>
        <w:tc>
          <w:tcPr>
            <w:tcW w:w="18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17</w:t>
            </w:r>
          </w:p>
        </w:tc>
        <w:tc>
          <w:tcPr>
            <w:tcW w:w="166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十七、援助其他地区支出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48</w:t>
            </w:r>
          </w:p>
        </w:tc>
        <w:tc>
          <w:tcPr>
            <w:tcW w:w="18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18</w:t>
            </w:r>
          </w:p>
        </w:tc>
        <w:tc>
          <w:tcPr>
            <w:tcW w:w="166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十八、自然资源海洋气象等支出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49</w:t>
            </w:r>
          </w:p>
        </w:tc>
        <w:tc>
          <w:tcPr>
            <w:tcW w:w="18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19</w:t>
            </w:r>
          </w:p>
        </w:tc>
        <w:tc>
          <w:tcPr>
            <w:tcW w:w="166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十九、住房保障支出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50</w:t>
            </w:r>
          </w:p>
        </w:tc>
        <w:tc>
          <w:tcPr>
            <w:tcW w:w="18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20</w:t>
            </w:r>
          </w:p>
        </w:tc>
        <w:tc>
          <w:tcPr>
            <w:tcW w:w="166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二十、粮油物资储备支出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51</w:t>
            </w:r>
          </w:p>
        </w:tc>
        <w:tc>
          <w:tcPr>
            <w:tcW w:w="18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21</w:t>
            </w:r>
          </w:p>
        </w:tc>
        <w:tc>
          <w:tcPr>
            <w:tcW w:w="166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二十一、国有资本经营预算支出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52</w:t>
            </w:r>
          </w:p>
        </w:tc>
        <w:tc>
          <w:tcPr>
            <w:tcW w:w="18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22</w:t>
            </w:r>
          </w:p>
        </w:tc>
        <w:tc>
          <w:tcPr>
            <w:tcW w:w="166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二十二、灾害防治及应急管理支出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53</w:t>
            </w:r>
          </w:p>
        </w:tc>
        <w:tc>
          <w:tcPr>
            <w:tcW w:w="18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23</w:t>
            </w:r>
          </w:p>
        </w:tc>
        <w:tc>
          <w:tcPr>
            <w:tcW w:w="166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二十三、其他支出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54</w:t>
            </w:r>
          </w:p>
        </w:tc>
        <w:tc>
          <w:tcPr>
            <w:tcW w:w="18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3,719,661.16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18"/>
                <w:szCs w:val="18"/>
                <w:u w:val="none"/>
              </w:rPr>
            </w:pP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24</w:t>
            </w:r>
          </w:p>
        </w:tc>
        <w:tc>
          <w:tcPr>
            <w:tcW w:w="166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二十四、债务还本支出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55</w:t>
            </w:r>
          </w:p>
        </w:tc>
        <w:tc>
          <w:tcPr>
            <w:tcW w:w="18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25</w:t>
            </w:r>
          </w:p>
        </w:tc>
        <w:tc>
          <w:tcPr>
            <w:tcW w:w="166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二十五、债务付息支出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56</w:t>
            </w:r>
          </w:p>
        </w:tc>
        <w:tc>
          <w:tcPr>
            <w:tcW w:w="18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26</w:t>
            </w:r>
          </w:p>
        </w:tc>
        <w:tc>
          <w:tcPr>
            <w:tcW w:w="166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二十六、抗疫特别国债安排的支出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57</w:t>
            </w:r>
          </w:p>
        </w:tc>
        <w:tc>
          <w:tcPr>
            <w:tcW w:w="18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spacing w:val="0"/>
                <w:w w:val="100"/>
                <w:kern w:val="0"/>
                <w:position w:val="0"/>
                <w:sz w:val="18"/>
                <w:szCs w:val="18"/>
                <w:u w:val="none"/>
                <w:bdr w:val="none" w:color="auto" w:sz="0" w:space="0"/>
                <w:shd w:val="clear" w:color="auto" w:fill="auto"/>
                <w:lang w:val="en-US" w:eastAsia="zh-CN" w:bidi="ar"/>
              </w:rPr>
              <w:t>本年收入合计</w:t>
            </w: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27</w:t>
            </w:r>
          </w:p>
        </w:tc>
        <w:tc>
          <w:tcPr>
            <w:tcW w:w="166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122,618,070.78</w:t>
            </w: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spacing w:val="0"/>
                <w:w w:val="100"/>
                <w:kern w:val="0"/>
                <w:position w:val="0"/>
                <w:sz w:val="18"/>
                <w:szCs w:val="18"/>
                <w:u w:val="none"/>
                <w:bdr w:val="none" w:color="auto" w:sz="0" w:space="0"/>
                <w:shd w:val="clear" w:color="auto" w:fill="auto"/>
                <w:lang w:val="en-US" w:eastAsia="zh-CN" w:bidi="ar"/>
              </w:rPr>
              <w:t>本年支出合计</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58</w:t>
            </w:r>
          </w:p>
        </w:tc>
        <w:tc>
          <w:tcPr>
            <w:tcW w:w="18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122,618,070.78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使用非财政拨款结余</w:t>
            </w: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28</w:t>
            </w:r>
          </w:p>
        </w:tc>
        <w:tc>
          <w:tcPr>
            <w:tcW w:w="166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结余分配</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59</w:t>
            </w:r>
          </w:p>
        </w:tc>
        <w:tc>
          <w:tcPr>
            <w:tcW w:w="18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年初结转和结余</w:t>
            </w: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29</w:t>
            </w:r>
          </w:p>
        </w:tc>
        <w:tc>
          <w:tcPr>
            <w:tcW w:w="166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年末结转和结余</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60</w:t>
            </w:r>
          </w:p>
        </w:tc>
        <w:tc>
          <w:tcPr>
            <w:tcW w:w="18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30</w:t>
            </w:r>
          </w:p>
        </w:tc>
        <w:tc>
          <w:tcPr>
            <w:tcW w:w="166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61</w:t>
            </w:r>
          </w:p>
        </w:tc>
        <w:tc>
          <w:tcPr>
            <w:tcW w:w="1877"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spacing w:val="0"/>
                <w:w w:val="100"/>
                <w:kern w:val="0"/>
                <w:position w:val="0"/>
                <w:sz w:val="18"/>
                <w:szCs w:val="18"/>
                <w:u w:val="none"/>
                <w:bdr w:val="none" w:color="auto" w:sz="0" w:space="0"/>
                <w:shd w:val="clear" w:color="auto" w:fill="auto"/>
                <w:lang w:val="en-US" w:eastAsia="zh-CN" w:bidi="ar"/>
              </w:rPr>
              <w:t>总计</w:t>
            </w: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31</w:t>
            </w:r>
          </w:p>
        </w:tc>
        <w:tc>
          <w:tcPr>
            <w:tcW w:w="166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122,618,070.78</w:t>
            </w: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spacing w:val="0"/>
                <w:w w:val="100"/>
                <w:kern w:val="0"/>
                <w:position w:val="0"/>
                <w:sz w:val="18"/>
                <w:szCs w:val="18"/>
                <w:u w:val="none"/>
                <w:bdr w:val="none" w:color="auto" w:sz="0" w:space="0"/>
                <w:shd w:val="clear" w:color="auto" w:fill="auto"/>
                <w:lang w:val="en-US" w:eastAsia="zh-CN" w:bidi="ar"/>
              </w:rPr>
              <w:t>总计</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62</w:t>
            </w:r>
          </w:p>
        </w:tc>
        <w:tc>
          <w:tcPr>
            <w:tcW w:w="18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122,618,070.78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8872" w:type="dxa"/>
            <w:gridSpan w:val="6"/>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注：本套报表金额单位转换时可能存在尾数误差。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872" w:type="dxa"/>
            <w:gridSpan w:val="6"/>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    1.本表依据《收入支出决算总表》（财决01表）进行批复。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872" w:type="dxa"/>
            <w:gridSpan w:val="6"/>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bdr w:val="none" w:color="auto" w:sz="0" w:space="0"/>
                <w:shd w:val="clear" w:color="auto" w:fill="auto"/>
                <w:lang w:val="en-US" w:eastAsia="zh-CN" w:bidi="ar"/>
              </w:rPr>
              <w:t xml:space="preserve">    2.本表以“万元”为金额单位（保留两位小数）。</w:t>
            </w:r>
          </w:p>
        </w:tc>
      </w:tr>
    </w:tbl>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5" w:name="bookmark6"/>
      <w:r>
        <w:rPr>
          <w:rFonts w:hint="eastAsia" w:ascii="仿宋_GB2312" w:hAnsi="仿宋_GB2312" w:eastAsia="仿宋_GB2312" w:cs="仿宋_GB2312"/>
          <w:color w:val="000000"/>
          <w:spacing w:val="0"/>
          <w:w w:val="100"/>
          <w:position w:val="0"/>
          <w:sz w:val="32"/>
          <w:szCs w:val="32"/>
        </w:rPr>
        <w:t>二</w:t>
      </w:r>
      <w:bookmarkEnd w:id="5"/>
      <w:r>
        <w:rPr>
          <w:rFonts w:hint="eastAsia" w:ascii="仿宋_GB2312" w:hAnsi="仿宋_GB2312" w:eastAsia="仿宋_GB2312" w:cs="仿宋_GB2312"/>
          <w:color w:val="000000"/>
          <w:spacing w:val="0"/>
          <w:w w:val="100"/>
          <w:position w:val="0"/>
          <w:sz w:val="32"/>
          <w:szCs w:val="32"/>
        </w:rPr>
        <w:t>、收入决算表</w:t>
      </w:r>
    </w:p>
    <w:tbl>
      <w:tblPr>
        <w:tblW w:w="89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386"/>
        <w:gridCol w:w="387"/>
        <w:gridCol w:w="387"/>
        <w:gridCol w:w="2148"/>
        <w:gridCol w:w="1471"/>
        <w:gridCol w:w="1270"/>
        <w:gridCol w:w="343"/>
        <w:gridCol w:w="363"/>
        <w:gridCol w:w="478"/>
        <w:gridCol w:w="593"/>
        <w:gridCol w:w="649"/>
        <w:gridCol w:w="4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482" w:type="dxa"/>
          <w:trHeight w:val="390" w:hRule="atLeast"/>
          <w:jc w:val="center"/>
        </w:trPr>
        <w:tc>
          <w:tcPr>
            <w:tcW w:w="8475" w:type="dxa"/>
            <w:gridSpan w:val="11"/>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bdr w:val="none" w:color="auto" w:sz="0" w:space="0"/>
                <w:shd w:val="clear" w:color="auto" w:fill="auto"/>
                <w:lang w:val="en-US" w:eastAsia="zh-CN" w:bidi="ar"/>
              </w:rPr>
              <w:t>收入决算批复表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386" w:type="dxa"/>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387"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87"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148"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471"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27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43"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63"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478"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593"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131" w:type="dxa"/>
            <w:gridSpan w:val="2"/>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财决批复02表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0" w:hRule="atLeast"/>
          <w:jc w:val="center"/>
        </w:trPr>
        <w:tc>
          <w:tcPr>
            <w:tcW w:w="6049" w:type="dxa"/>
            <w:gridSpan w:val="6"/>
            <w:tcBorders>
              <w:top w:val="nil"/>
              <w:left w:val="nil"/>
              <w:bottom w:val="nil"/>
              <w:right w:val="nil"/>
            </w:tcBorders>
            <w:shd w:val="clear"/>
            <w:noWrap/>
            <w:vAlign w:val="bottom"/>
          </w:tcPr>
          <w:p>
            <w:pPr>
              <w:jc w:val="center"/>
              <w:rPr>
                <w:rFonts w:hint="eastAsia" w:ascii="宋体" w:hAnsi="宋体" w:eastAsia="宋体" w:cs="宋体"/>
                <w:i w:val="0"/>
                <w:iCs w:val="0"/>
                <w:color w:val="000000"/>
                <w:sz w:val="20"/>
                <w:szCs w:val="20"/>
                <w:u w:val="none"/>
              </w:rPr>
            </w:pPr>
          </w:p>
        </w:tc>
        <w:tc>
          <w:tcPr>
            <w:tcW w:w="343"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63"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478"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593"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131" w:type="dxa"/>
            <w:gridSpan w:val="2"/>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160"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科目编码</w:t>
            </w:r>
          </w:p>
        </w:tc>
        <w:tc>
          <w:tcPr>
            <w:tcW w:w="2148"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科目名称</w:t>
            </w:r>
          </w:p>
        </w:tc>
        <w:tc>
          <w:tcPr>
            <w:tcW w:w="147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本年收入合计</w:t>
            </w:r>
          </w:p>
        </w:tc>
        <w:tc>
          <w:tcPr>
            <w:tcW w:w="127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财政拨款收入</w:t>
            </w:r>
          </w:p>
        </w:tc>
        <w:tc>
          <w:tcPr>
            <w:tcW w:w="34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上级补助收入</w:t>
            </w:r>
          </w:p>
        </w:tc>
        <w:tc>
          <w:tcPr>
            <w:tcW w:w="36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事业收入</w:t>
            </w:r>
          </w:p>
        </w:tc>
        <w:tc>
          <w:tcPr>
            <w:tcW w:w="47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经营收入</w:t>
            </w:r>
          </w:p>
        </w:tc>
        <w:tc>
          <w:tcPr>
            <w:tcW w:w="59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附属单位上缴收入</w:t>
            </w:r>
          </w:p>
        </w:tc>
        <w:tc>
          <w:tcPr>
            <w:tcW w:w="1131"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16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148"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7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4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7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9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31"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16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148"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7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4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7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9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31"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jc w:val="center"/>
        </w:trPr>
        <w:tc>
          <w:tcPr>
            <w:tcW w:w="116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148"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7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4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7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9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31"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86" w:type="dxa"/>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类</w:t>
            </w:r>
          </w:p>
        </w:tc>
        <w:tc>
          <w:tcPr>
            <w:tcW w:w="387"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款</w:t>
            </w:r>
          </w:p>
        </w:tc>
        <w:tc>
          <w:tcPr>
            <w:tcW w:w="387"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w:t>
            </w:r>
          </w:p>
        </w:tc>
        <w:tc>
          <w:tcPr>
            <w:tcW w:w="21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栏次</w:t>
            </w:r>
          </w:p>
        </w:tc>
        <w:tc>
          <w:tcPr>
            <w:tcW w:w="147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w:t>
            </w:r>
          </w:p>
        </w:tc>
        <w:tc>
          <w:tcPr>
            <w:tcW w:w="12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w:t>
            </w:r>
          </w:p>
        </w:tc>
        <w:tc>
          <w:tcPr>
            <w:tcW w:w="34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w:t>
            </w:r>
          </w:p>
        </w:tc>
        <w:tc>
          <w:tcPr>
            <w:tcW w:w="36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w:t>
            </w:r>
          </w:p>
        </w:tc>
        <w:tc>
          <w:tcPr>
            <w:tcW w:w="47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w:t>
            </w:r>
          </w:p>
        </w:tc>
        <w:tc>
          <w:tcPr>
            <w:tcW w:w="59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w:t>
            </w:r>
          </w:p>
        </w:tc>
        <w:tc>
          <w:tcPr>
            <w:tcW w:w="1131"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86" w:type="dxa"/>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87"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87"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1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14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spacing w:val="0"/>
                <w:w w:val="100"/>
                <w:kern w:val="0"/>
                <w:position w:val="0"/>
                <w:sz w:val="13"/>
                <w:szCs w:val="13"/>
                <w:u w:val="none"/>
                <w:bdr w:val="none" w:color="auto" w:sz="0" w:space="0"/>
                <w:shd w:val="clear" w:color="auto" w:fill="auto"/>
                <w:lang w:val="en-US" w:eastAsia="zh-CN" w:bidi="ar"/>
              </w:rPr>
              <w:t>122,618,070.78</w:t>
            </w:r>
          </w:p>
        </w:tc>
        <w:tc>
          <w:tcPr>
            <w:tcW w:w="12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spacing w:val="0"/>
                <w:w w:val="100"/>
                <w:kern w:val="0"/>
                <w:position w:val="0"/>
                <w:sz w:val="13"/>
                <w:szCs w:val="13"/>
                <w:u w:val="none"/>
                <w:bdr w:val="none" w:color="auto" w:sz="0" w:space="0"/>
                <w:shd w:val="clear" w:color="auto" w:fill="auto"/>
                <w:lang w:val="en-US" w:eastAsia="zh-CN" w:bidi="ar"/>
              </w:rPr>
              <w:t>122,618,070.78</w:t>
            </w:r>
          </w:p>
        </w:tc>
        <w:tc>
          <w:tcPr>
            <w:tcW w:w="343" w:type="dxa"/>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12"/>
                <w:szCs w:val="12"/>
                <w:u w:val="none"/>
              </w:rPr>
            </w:pPr>
          </w:p>
        </w:tc>
        <w:tc>
          <w:tcPr>
            <w:tcW w:w="36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47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59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1131"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1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w:t>
            </w:r>
          </w:p>
        </w:tc>
        <w:tc>
          <w:tcPr>
            <w:tcW w:w="21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一般公共服务支出</w:t>
            </w:r>
          </w:p>
        </w:tc>
        <w:tc>
          <w:tcPr>
            <w:tcW w:w="14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35,054.00</w:t>
            </w:r>
          </w:p>
        </w:tc>
        <w:tc>
          <w:tcPr>
            <w:tcW w:w="12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35,054.00</w:t>
            </w:r>
          </w:p>
        </w:tc>
        <w:tc>
          <w:tcPr>
            <w:tcW w:w="343" w:type="dxa"/>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2"/>
                <w:szCs w:val="12"/>
                <w:u w:val="none"/>
              </w:rPr>
            </w:pPr>
          </w:p>
        </w:tc>
        <w:tc>
          <w:tcPr>
            <w:tcW w:w="36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7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9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31"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1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20129</w:t>
            </w:r>
          </w:p>
        </w:tc>
        <w:tc>
          <w:tcPr>
            <w:tcW w:w="21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群众团体事务</w:t>
            </w:r>
          </w:p>
        </w:tc>
        <w:tc>
          <w:tcPr>
            <w:tcW w:w="14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35,054.00</w:t>
            </w:r>
          </w:p>
        </w:tc>
        <w:tc>
          <w:tcPr>
            <w:tcW w:w="12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35,054.00</w:t>
            </w:r>
          </w:p>
        </w:tc>
        <w:tc>
          <w:tcPr>
            <w:tcW w:w="343" w:type="dxa"/>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2"/>
                <w:szCs w:val="12"/>
                <w:u w:val="none"/>
              </w:rPr>
            </w:pPr>
          </w:p>
        </w:tc>
        <w:tc>
          <w:tcPr>
            <w:tcW w:w="36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7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9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31"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1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2012906</w:t>
            </w:r>
          </w:p>
        </w:tc>
        <w:tc>
          <w:tcPr>
            <w:tcW w:w="21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工会事务</w:t>
            </w:r>
          </w:p>
        </w:tc>
        <w:tc>
          <w:tcPr>
            <w:tcW w:w="14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35,054.00</w:t>
            </w:r>
          </w:p>
        </w:tc>
        <w:tc>
          <w:tcPr>
            <w:tcW w:w="12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35,054.00</w:t>
            </w:r>
          </w:p>
        </w:tc>
        <w:tc>
          <w:tcPr>
            <w:tcW w:w="343" w:type="dxa"/>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2"/>
                <w:szCs w:val="12"/>
                <w:u w:val="none"/>
              </w:rPr>
            </w:pPr>
          </w:p>
        </w:tc>
        <w:tc>
          <w:tcPr>
            <w:tcW w:w="36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7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9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31"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1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w:t>
            </w:r>
          </w:p>
        </w:tc>
        <w:tc>
          <w:tcPr>
            <w:tcW w:w="21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社会保障和就业支出</w:t>
            </w:r>
          </w:p>
        </w:tc>
        <w:tc>
          <w:tcPr>
            <w:tcW w:w="14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444,879.12</w:t>
            </w:r>
          </w:p>
        </w:tc>
        <w:tc>
          <w:tcPr>
            <w:tcW w:w="12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444,879.12</w:t>
            </w:r>
          </w:p>
        </w:tc>
        <w:tc>
          <w:tcPr>
            <w:tcW w:w="343" w:type="dxa"/>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2"/>
                <w:szCs w:val="12"/>
                <w:u w:val="none"/>
              </w:rPr>
            </w:pPr>
          </w:p>
        </w:tc>
        <w:tc>
          <w:tcPr>
            <w:tcW w:w="36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7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9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31"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1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20805</w:t>
            </w:r>
          </w:p>
        </w:tc>
        <w:tc>
          <w:tcPr>
            <w:tcW w:w="21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行政事业单位养老支出</w:t>
            </w:r>
          </w:p>
        </w:tc>
        <w:tc>
          <w:tcPr>
            <w:tcW w:w="14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444,879.12</w:t>
            </w:r>
          </w:p>
        </w:tc>
        <w:tc>
          <w:tcPr>
            <w:tcW w:w="12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444,879.12</w:t>
            </w:r>
          </w:p>
        </w:tc>
        <w:tc>
          <w:tcPr>
            <w:tcW w:w="343" w:type="dxa"/>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2"/>
                <w:szCs w:val="12"/>
                <w:u w:val="none"/>
              </w:rPr>
            </w:pPr>
          </w:p>
        </w:tc>
        <w:tc>
          <w:tcPr>
            <w:tcW w:w="36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7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9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31"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1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2080505</w:t>
            </w:r>
          </w:p>
        </w:tc>
        <w:tc>
          <w:tcPr>
            <w:tcW w:w="21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机关事业单位基本养老保险缴费支出</w:t>
            </w:r>
          </w:p>
        </w:tc>
        <w:tc>
          <w:tcPr>
            <w:tcW w:w="14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444,879.12</w:t>
            </w:r>
          </w:p>
        </w:tc>
        <w:tc>
          <w:tcPr>
            <w:tcW w:w="12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444,879.12</w:t>
            </w:r>
          </w:p>
        </w:tc>
        <w:tc>
          <w:tcPr>
            <w:tcW w:w="343" w:type="dxa"/>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2"/>
                <w:szCs w:val="12"/>
                <w:u w:val="none"/>
              </w:rPr>
            </w:pPr>
          </w:p>
        </w:tc>
        <w:tc>
          <w:tcPr>
            <w:tcW w:w="36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7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9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31"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1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w:t>
            </w:r>
          </w:p>
        </w:tc>
        <w:tc>
          <w:tcPr>
            <w:tcW w:w="21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卫生健康支出</w:t>
            </w:r>
          </w:p>
        </w:tc>
        <w:tc>
          <w:tcPr>
            <w:tcW w:w="14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118,319,476.50</w:t>
            </w:r>
          </w:p>
        </w:tc>
        <w:tc>
          <w:tcPr>
            <w:tcW w:w="12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118,319,476.50</w:t>
            </w:r>
          </w:p>
        </w:tc>
        <w:tc>
          <w:tcPr>
            <w:tcW w:w="343" w:type="dxa"/>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2"/>
                <w:szCs w:val="12"/>
                <w:u w:val="none"/>
              </w:rPr>
            </w:pPr>
          </w:p>
        </w:tc>
        <w:tc>
          <w:tcPr>
            <w:tcW w:w="36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7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9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31"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1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21012</w:t>
            </w:r>
          </w:p>
        </w:tc>
        <w:tc>
          <w:tcPr>
            <w:tcW w:w="21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财政对基本医疗保险基金的补助</w:t>
            </w:r>
          </w:p>
        </w:tc>
        <w:tc>
          <w:tcPr>
            <w:tcW w:w="14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8,681,289.40</w:t>
            </w:r>
          </w:p>
        </w:tc>
        <w:tc>
          <w:tcPr>
            <w:tcW w:w="12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8,681,289.40</w:t>
            </w:r>
          </w:p>
        </w:tc>
        <w:tc>
          <w:tcPr>
            <w:tcW w:w="343" w:type="dxa"/>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2"/>
                <w:szCs w:val="12"/>
                <w:u w:val="none"/>
              </w:rPr>
            </w:pPr>
          </w:p>
        </w:tc>
        <w:tc>
          <w:tcPr>
            <w:tcW w:w="36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7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9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31"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1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2101201</w:t>
            </w:r>
          </w:p>
        </w:tc>
        <w:tc>
          <w:tcPr>
            <w:tcW w:w="21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财政对职工基本医疗保险基金的补助</w:t>
            </w:r>
          </w:p>
        </w:tc>
        <w:tc>
          <w:tcPr>
            <w:tcW w:w="14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174,869.40</w:t>
            </w:r>
          </w:p>
        </w:tc>
        <w:tc>
          <w:tcPr>
            <w:tcW w:w="12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174,869.40</w:t>
            </w:r>
          </w:p>
        </w:tc>
        <w:tc>
          <w:tcPr>
            <w:tcW w:w="343" w:type="dxa"/>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2"/>
                <w:szCs w:val="12"/>
                <w:u w:val="none"/>
              </w:rPr>
            </w:pPr>
          </w:p>
        </w:tc>
        <w:tc>
          <w:tcPr>
            <w:tcW w:w="36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7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9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31"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1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2101202</w:t>
            </w:r>
          </w:p>
        </w:tc>
        <w:tc>
          <w:tcPr>
            <w:tcW w:w="21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财政对城乡居民基本医疗保险基金的补助</w:t>
            </w:r>
          </w:p>
        </w:tc>
        <w:tc>
          <w:tcPr>
            <w:tcW w:w="14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3,446,420.00</w:t>
            </w:r>
          </w:p>
        </w:tc>
        <w:tc>
          <w:tcPr>
            <w:tcW w:w="12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3,446,420.00</w:t>
            </w:r>
          </w:p>
        </w:tc>
        <w:tc>
          <w:tcPr>
            <w:tcW w:w="343" w:type="dxa"/>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2"/>
                <w:szCs w:val="12"/>
                <w:u w:val="none"/>
              </w:rPr>
            </w:pPr>
          </w:p>
        </w:tc>
        <w:tc>
          <w:tcPr>
            <w:tcW w:w="36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7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9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31"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1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2101299</w:t>
            </w:r>
          </w:p>
        </w:tc>
        <w:tc>
          <w:tcPr>
            <w:tcW w:w="21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财政对其他基本医疗保险基金的补助</w:t>
            </w:r>
          </w:p>
        </w:tc>
        <w:tc>
          <w:tcPr>
            <w:tcW w:w="14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5,060,000.00</w:t>
            </w:r>
          </w:p>
        </w:tc>
        <w:tc>
          <w:tcPr>
            <w:tcW w:w="12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5,060,000.00</w:t>
            </w:r>
          </w:p>
        </w:tc>
        <w:tc>
          <w:tcPr>
            <w:tcW w:w="343" w:type="dxa"/>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2"/>
                <w:szCs w:val="12"/>
                <w:u w:val="none"/>
              </w:rPr>
            </w:pPr>
          </w:p>
        </w:tc>
        <w:tc>
          <w:tcPr>
            <w:tcW w:w="36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7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9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31"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1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21013</w:t>
            </w:r>
          </w:p>
        </w:tc>
        <w:tc>
          <w:tcPr>
            <w:tcW w:w="21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医疗救助</w:t>
            </w:r>
          </w:p>
        </w:tc>
        <w:tc>
          <w:tcPr>
            <w:tcW w:w="14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104,959,389.50</w:t>
            </w:r>
          </w:p>
        </w:tc>
        <w:tc>
          <w:tcPr>
            <w:tcW w:w="12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104,959,389.50</w:t>
            </w:r>
          </w:p>
        </w:tc>
        <w:tc>
          <w:tcPr>
            <w:tcW w:w="343" w:type="dxa"/>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2"/>
                <w:szCs w:val="12"/>
                <w:u w:val="none"/>
              </w:rPr>
            </w:pPr>
          </w:p>
        </w:tc>
        <w:tc>
          <w:tcPr>
            <w:tcW w:w="36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7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9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31"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1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2101301</w:t>
            </w:r>
          </w:p>
        </w:tc>
        <w:tc>
          <w:tcPr>
            <w:tcW w:w="21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城乡医疗救助</w:t>
            </w:r>
          </w:p>
        </w:tc>
        <w:tc>
          <w:tcPr>
            <w:tcW w:w="14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104,959,389.50</w:t>
            </w:r>
          </w:p>
        </w:tc>
        <w:tc>
          <w:tcPr>
            <w:tcW w:w="12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104,959,389.50</w:t>
            </w:r>
          </w:p>
        </w:tc>
        <w:tc>
          <w:tcPr>
            <w:tcW w:w="343" w:type="dxa"/>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2"/>
                <w:szCs w:val="12"/>
                <w:u w:val="none"/>
              </w:rPr>
            </w:pPr>
          </w:p>
        </w:tc>
        <w:tc>
          <w:tcPr>
            <w:tcW w:w="36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7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9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31"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1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21015</w:t>
            </w:r>
          </w:p>
        </w:tc>
        <w:tc>
          <w:tcPr>
            <w:tcW w:w="21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医疗保障管理事务</w:t>
            </w:r>
          </w:p>
        </w:tc>
        <w:tc>
          <w:tcPr>
            <w:tcW w:w="14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4,678,797.60</w:t>
            </w:r>
          </w:p>
        </w:tc>
        <w:tc>
          <w:tcPr>
            <w:tcW w:w="12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4,678,797.60</w:t>
            </w:r>
          </w:p>
        </w:tc>
        <w:tc>
          <w:tcPr>
            <w:tcW w:w="343" w:type="dxa"/>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2"/>
                <w:szCs w:val="12"/>
                <w:u w:val="none"/>
              </w:rPr>
            </w:pPr>
          </w:p>
        </w:tc>
        <w:tc>
          <w:tcPr>
            <w:tcW w:w="36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7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9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31"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1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2101501</w:t>
            </w:r>
          </w:p>
        </w:tc>
        <w:tc>
          <w:tcPr>
            <w:tcW w:w="21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行政运行</w:t>
            </w:r>
          </w:p>
        </w:tc>
        <w:tc>
          <w:tcPr>
            <w:tcW w:w="14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4,448,797.60</w:t>
            </w:r>
          </w:p>
        </w:tc>
        <w:tc>
          <w:tcPr>
            <w:tcW w:w="12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4,448,797.60</w:t>
            </w:r>
          </w:p>
        </w:tc>
        <w:tc>
          <w:tcPr>
            <w:tcW w:w="343" w:type="dxa"/>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2"/>
                <w:szCs w:val="12"/>
                <w:u w:val="none"/>
              </w:rPr>
            </w:pPr>
          </w:p>
        </w:tc>
        <w:tc>
          <w:tcPr>
            <w:tcW w:w="36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7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9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31"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1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2101599</w:t>
            </w:r>
          </w:p>
        </w:tc>
        <w:tc>
          <w:tcPr>
            <w:tcW w:w="21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其他医疗保障管理事务支出</w:t>
            </w:r>
          </w:p>
        </w:tc>
        <w:tc>
          <w:tcPr>
            <w:tcW w:w="14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230,000.00</w:t>
            </w:r>
          </w:p>
        </w:tc>
        <w:tc>
          <w:tcPr>
            <w:tcW w:w="12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230,000.00</w:t>
            </w:r>
          </w:p>
        </w:tc>
        <w:tc>
          <w:tcPr>
            <w:tcW w:w="343" w:type="dxa"/>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2"/>
                <w:szCs w:val="12"/>
                <w:u w:val="none"/>
              </w:rPr>
            </w:pPr>
          </w:p>
        </w:tc>
        <w:tc>
          <w:tcPr>
            <w:tcW w:w="36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7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9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31"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1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w:t>
            </w:r>
          </w:p>
        </w:tc>
        <w:tc>
          <w:tcPr>
            <w:tcW w:w="21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农林水支出</w:t>
            </w:r>
          </w:p>
        </w:tc>
        <w:tc>
          <w:tcPr>
            <w:tcW w:w="14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99,000.00</w:t>
            </w:r>
          </w:p>
        </w:tc>
        <w:tc>
          <w:tcPr>
            <w:tcW w:w="12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99,000.00</w:t>
            </w:r>
          </w:p>
        </w:tc>
        <w:tc>
          <w:tcPr>
            <w:tcW w:w="343" w:type="dxa"/>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2"/>
                <w:szCs w:val="12"/>
                <w:u w:val="none"/>
              </w:rPr>
            </w:pPr>
          </w:p>
        </w:tc>
        <w:tc>
          <w:tcPr>
            <w:tcW w:w="36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7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9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31"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1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21305</w:t>
            </w:r>
          </w:p>
        </w:tc>
        <w:tc>
          <w:tcPr>
            <w:tcW w:w="21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扶贫</w:t>
            </w:r>
          </w:p>
        </w:tc>
        <w:tc>
          <w:tcPr>
            <w:tcW w:w="14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99,000.00</w:t>
            </w:r>
          </w:p>
        </w:tc>
        <w:tc>
          <w:tcPr>
            <w:tcW w:w="12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99,000.00</w:t>
            </w:r>
          </w:p>
        </w:tc>
        <w:tc>
          <w:tcPr>
            <w:tcW w:w="343" w:type="dxa"/>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2"/>
                <w:szCs w:val="12"/>
                <w:u w:val="none"/>
              </w:rPr>
            </w:pPr>
          </w:p>
        </w:tc>
        <w:tc>
          <w:tcPr>
            <w:tcW w:w="36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7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9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31"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1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2130501</w:t>
            </w:r>
          </w:p>
        </w:tc>
        <w:tc>
          <w:tcPr>
            <w:tcW w:w="21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行政运行</w:t>
            </w:r>
          </w:p>
        </w:tc>
        <w:tc>
          <w:tcPr>
            <w:tcW w:w="14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99,000.00</w:t>
            </w:r>
          </w:p>
        </w:tc>
        <w:tc>
          <w:tcPr>
            <w:tcW w:w="12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99,000.00</w:t>
            </w:r>
          </w:p>
        </w:tc>
        <w:tc>
          <w:tcPr>
            <w:tcW w:w="343" w:type="dxa"/>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2"/>
                <w:szCs w:val="12"/>
                <w:u w:val="none"/>
              </w:rPr>
            </w:pPr>
          </w:p>
        </w:tc>
        <w:tc>
          <w:tcPr>
            <w:tcW w:w="36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7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9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31"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1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229</w:t>
            </w:r>
          </w:p>
        </w:tc>
        <w:tc>
          <w:tcPr>
            <w:tcW w:w="21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其他支出</w:t>
            </w:r>
          </w:p>
        </w:tc>
        <w:tc>
          <w:tcPr>
            <w:tcW w:w="14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3,719,661.16</w:t>
            </w:r>
          </w:p>
        </w:tc>
        <w:tc>
          <w:tcPr>
            <w:tcW w:w="12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3,719,661.16</w:t>
            </w:r>
          </w:p>
        </w:tc>
        <w:tc>
          <w:tcPr>
            <w:tcW w:w="343" w:type="dxa"/>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2"/>
                <w:szCs w:val="12"/>
                <w:u w:val="none"/>
              </w:rPr>
            </w:pPr>
          </w:p>
        </w:tc>
        <w:tc>
          <w:tcPr>
            <w:tcW w:w="36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7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9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31"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1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22960</w:t>
            </w:r>
          </w:p>
        </w:tc>
        <w:tc>
          <w:tcPr>
            <w:tcW w:w="21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彩票公益金安排的支出</w:t>
            </w:r>
          </w:p>
        </w:tc>
        <w:tc>
          <w:tcPr>
            <w:tcW w:w="14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3,719,661.16</w:t>
            </w:r>
          </w:p>
        </w:tc>
        <w:tc>
          <w:tcPr>
            <w:tcW w:w="12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3,719,661.16</w:t>
            </w:r>
          </w:p>
        </w:tc>
        <w:tc>
          <w:tcPr>
            <w:tcW w:w="343" w:type="dxa"/>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2"/>
                <w:szCs w:val="12"/>
                <w:u w:val="none"/>
              </w:rPr>
            </w:pPr>
          </w:p>
        </w:tc>
        <w:tc>
          <w:tcPr>
            <w:tcW w:w="36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7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9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31"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2296013</w:t>
            </w:r>
          </w:p>
        </w:tc>
        <w:tc>
          <w:tcPr>
            <w:tcW w:w="21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用于城乡医疗救助的彩票公益金支出</w:t>
            </w:r>
          </w:p>
        </w:tc>
        <w:tc>
          <w:tcPr>
            <w:tcW w:w="14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3,719,661.16</w:t>
            </w:r>
          </w:p>
        </w:tc>
        <w:tc>
          <w:tcPr>
            <w:tcW w:w="12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3,719,661.16</w:t>
            </w:r>
          </w:p>
        </w:tc>
        <w:tc>
          <w:tcPr>
            <w:tcW w:w="343" w:type="dxa"/>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2"/>
                <w:szCs w:val="12"/>
                <w:u w:val="none"/>
              </w:rPr>
            </w:pPr>
          </w:p>
        </w:tc>
        <w:tc>
          <w:tcPr>
            <w:tcW w:w="36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7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9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31"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2" w:type="dxa"/>
          <w:trHeight w:val="308" w:hRule="atLeast"/>
          <w:jc w:val="center"/>
        </w:trPr>
        <w:tc>
          <w:tcPr>
            <w:tcW w:w="8475" w:type="dxa"/>
            <w:gridSpan w:val="11"/>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注：1.本表依据《收入决算表》（财决03表）进行批复。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2" w:type="dxa"/>
          <w:trHeight w:val="308" w:hRule="atLeast"/>
          <w:jc w:val="center"/>
        </w:trPr>
        <w:tc>
          <w:tcPr>
            <w:tcW w:w="8475" w:type="dxa"/>
            <w:gridSpan w:val="11"/>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2.本表含一般公共预算财政拨款、政府性基金预算财政拨款和国有资本经营预算财政拨款。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2" w:type="dxa"/>
          <w:trHeight w:val="308" w:hRule="atLeast"/>
          <w:jc w:val="center"/>
        </w:trPr>
        <w:tc>
          <w:tcPr>
            <w:tcW w:w="8475" w:type="dxa"/>
            <w:gridSpan w:val="11"/>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3.本表批复到项级科目。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2" w:type="dxa"/>
          <w:trHeight w:val="308" w:hRule="atLeast"/>
          <w:jc w:val="center"/>
        </w:trPr>
        <w:tc>
          <w:tcPr>
            <w:tcW w:w="8475" w:type="dxa"/>
            <w:gridSpan w:val="11"/>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4.本表以“万元”为金额单位（保留两位小数）。</w:t>
            </w:r>
          </w:p>
        </w:tc>
      </w:tr>
    </w:tbl>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tbl>
      <w:tblPr>
        <w:tblStyle w:val="5"/>
        <w:tblpPr w:leftFromText="180" w:rightFromText="180" w:vertAnchor="text" w:horzAnchor="page" w:tblpXSpec="center" w:tblpY="601"/>
        <w:tblOverlap w:val="never"/>
        <w:tblW w:w="925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6"/>
        <w:gridCol w:w="356"/>
        <w:gridCol w:w="356"/>
        <w:gridCol w:w="2876"/>
        <w:gridCol w:w="1204"/>
        <w:gridCol w:w="1063"/>
        <w:gridCol w:w="1204"/>
        <w:gridCol w:w="356"/>
        <w:gridCol w:w="356"/>
        <w:gridCol w:w="1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253"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356" w:type="dxa"/>
            <w:tcBorders>
              <w:top w:val="nil"/>
              <w:left w:val="nil"/>
              <w:bottom w:val="nil"/>
              <w:right w:val="nil"/>
            </w:tcBorders>
            <w:shd w:val="clear" w:color="auto" w:fill="auto"/>
            <w:noWrap/>
            <w:vAlign w:val="bottom"/>
          </w:tcPr>
          <w:p>
            <w:pPr>
              <w:rPr>
                <w:rFonts w:hint="eastAsia" w:ascii="Arial" w:hAnsi="Arial" w:cs="Arial"/>
                <w:i w:val="0"/>
                <w:iCs w:val="0"/>
                <w:color w:val="000000"/>
                <w:sz w:val="14"/>
                <w:szCs w:val="14"/>
                <w:u w:val="none"/>
              </w:rPr>
            </w:pPr>
          </w:p>
        </w:tc>
        <w:tc>
          <w:tcPr>
            <w:tcW w:w="356" w:type="dxa"/>
            <w:tcBorders>
              <w:top w:val="nil"/>
              <w:left w:val="nil"/>
              <w:bottom w:val="nil"/>
              <w:right w:val="nil"/>
            </w:tcBorders>
            <w:shd w:val="clear" w:color="auto" w:fill="auto"/>
            <w:noWrap/>
            <w:vAlign w:val="bottom"/>
          </w:tcPr>
          <w:p>
            <w:pPr>
              <w:rPr>
                <w:rFonts w:hint="default" w:ascii="Arial" w:hAnsi="Arial" w:cs="Arial"/>
                <w:i w:val="0"/>
                <w:iCs w:val="0"/>
                <w:color w:val="000000"/>
                <w:sz w:val="14"/>
                <w:szCs w:val="14"/>
                <w:u w:val="none"/>
              </w:rPr>
            </w:pPr>
          </w:p>
        </w:tc>
        <w:tc>
          <w:tcPr>
            <w:tcW w:w="356" w:type="dxa"/>
            <w:tcBorders>
              <w:top w:val="nil"/>
              <w:left w:val="nil"/>
              <w:bottom w:val="nil"/>
              <w:right w:val="nil"/>
            </w:tcBorders>
            <w:shd w:val="clear" w:color="auto" w:fill="auto"/>
            <w:noWrap/>
            <w:vAlign w:val="bottom"/>
          </w:tcPr>
          <w:p>
            <w:pPr>
              <w:rPr>
                <w:rFonts w:hint="default" w:ascii="Arial" w:hAnsi="Arial" w:cs="Arial"/>
                <w:i w:val="0"/>
                <w:iCs w:val="0"/>
                <w:color w:val="000000"/>
                <w:sz w:val="14"/>
                <w:szCs w:val="14"/>
                <w:u w:val="none"/>
              </w:rPr>
            </w:pPr>
          </w:p>
        </w:tc>
        <w:tc>
          <w:tcPr>
            <w:tcW w:w="2876" w:type="dxa"/>
            <w:tcBorders>
              <w:top w:val="nil"/>
              <w:left w:val="nil"/>
              <w:bottom w:val="nil"/>
              <w:right w:val="nil"/>
            </w:tcBorders>
            <w:shd w:val="clear" w:color="auto" w:fill="auto"/>
            <w:noWrap/>
            <w:vAlign w:val="bottom"/>
          </w:tcPr>
          <w:p>
            <w:pPr>
              <w:rPr>
                <w:rFonts w:hint="default" w:ascii="Arial" w:hAnsi="Arial" w:cs="Arial"/>
                <w:i w:val="0"/>
                <w:iCs w:val="0"/>
                <w:color w:val="000000"/>
                <w:sz w:val="14"/>
                <w:szCs w:val="14"/>
                <w:u w:val="none"/>
              </w:rPr>
            </w:pPr>
          </w:p>
        </w:tc>
        <w:tc>
          <w:tcPr>
            <w:tcW w:w="1204" w:type="dxa"/>
            <w:tcBorders>
              <w:top w:val="nil"/>
              <w:left w:val="nil"/>
              <w:bottom w:val="nil"/>
              <w:right w:val="nil"/>
            </w:tcBorders>
            <w:shd w:val="clear" w:color="auto" w:fill="auto"/>
            <w:noWrap/>
            <w:vAlign w:val="bottom"/>
          </w:tcPr>
          <w:p>
            <w:pPr>
              <w:rPr>
                <w:rFonts w:hint="default" w:ascii="Arial" w:hAnsi="Arial" w:cs="Arial"/>
                <w:i w:val="0"/>
                <w:iCs w:val="0"/>
                <w:color w:val="000000"/>
                <w:sz w:val="14"/>
                <w:szCs w:val="14"/>
                <w:u w:val="none"/>
              </w:rPr>
            </w:pPr>
          </w:p>
        </w:tc>
        <w:tc>
          <w:tcPr>
            <w:tcW w:w="1063" w:type="dxa"/>
            <w:tcBorders>
              <w:top w:val="nil"/>
              <w:left w:val="nil"/>
              <w:bottom w:val="nil"/>
              <w:right w:val="nil"/>
            </w:tcBorders>
            <w:shd w:val="clear" w:color="auto" w:fill="auto"/>
            <w:noWrap/>
            <w:vAlign w:val="bottom"/>
          </w:tcPr>
          <w:p>
            <w:pPr>
              <w:rPr>
                <w:rFonts w:hint="default" w:ascii="Arial" w:hAnsi="Arial" w:cs="Arial"/>
                <w:i w:val="0"/>
                <w:iCs w:val="0"/>
                <w:color w:val="000000"/>
                <w:sz w:val="14"/>
                <w:szCs w:val="14"/>
                <w:u w:val="none"/>
              </w:rPr>
            </w:pPr>
          </w:p>
        </w:tc>
        <w:tc>
          <w:tcPr>
            <w:tcW w:w="1204" w:type="dxa"/>
            <w:tcBorders>
              <w:top w:val="nil"/>
              <w:left w:val="nil"/>
              <w:bottom w:val="nil"/>
              <w:right w:val="nil"/>
            </w:tcBorders>
            <w:shd w:val="clear" w:color="auto" w:fill="auto"/>
            <w:noWrap/>
            <w:vAlign w:val="bottom"/>
          </w:tcPr>
          <w:p>
            <w:pPr>
              <w:rPr>
                <w:rFonts w:hint="default" w:ascii="Arial" w:hAnsi="Arial" w:cs="Arial"/>
                <w:i w:val="0"/>
                <w:iCs w:val="0"/>
                <w:color w:val="000000"/>
                <w:sz w:val="14"/>
                <w:szCs w:val="14"/>
                <w:u w:val="none"/>
              </w:rPr>
            </w:pPr>
          </w:p>
        </w:tc>
        <w:tc>
          <w:tcPr>
            <w:tcW w:w="356" w:type="dxa"/>
            <w:tcBorders>
              <w:top w:val="nil"/>
              <w:left w:val="nil"/>
              <w:bottom w:val="nil"/>
              <w:right w:val="nil"/>
            </w:tcBorders>
            <w:shd w:val="clear" w:color="auto" w:fill="auto"/>
            <w:noWrap/>
            <w:vAlign w:val="bottom"/>
          </w:tcPr>
          <w:p>
            <w:pPr>
              <w:rPr>
                <w:rFonts w:hint="default" w:ascii="Arial" w:hAnsi="Arial" w:cs="Arial"/>
                <w:i w:val="0"/>
                <w:iCs w:val="0"/>
                <w:color w:val="000000"/>
                <w:sz w:val="14"/>
                <w:szCs w:val="14"/>
                <w:u w:val="none"/>
              </w:rPr>
            </w:pPr>
          </w:p>
        </w:tc>
        <w:tc>
          <w:tcPr>
            <w:tcW w:w="356" w:type="dxa"/>
            <w:tcBorders>
              <w:top w:val="nil"/>
              <w:left w:val="nil"/>
              <w:bottom w:val="nil"/>
              <w:right w:val="nil"/>
            </w:tcBorders>
            <w:shd w:val="clear" w:color="auto" w:fill="auto"/>
            <w:noWrap/>
            <w:vAlign w:val="bottom"/>
          </w:tcPr>
          <w:p>
            <w:pPr>
              <w:rPr>
                <w:rFonts w:hint="default" w:ascii="Arial" w:hAnsi="Arial" w:cs="Arial"/>
                <w:i w:val="0"/>
                <w:iCs w:val="0"/>
                <w:color w:val="000000"/>
                <w:sz w:val="14"/>
                <w:szCs w:val="14"/>
                <w:u w:val="none"/>
              </w:rPr>
            </w:pPr>
          </w:p>
        </w:tc>
        <w:tc>
          <w:tcPr>
            <w:tcW w:w="112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财决批复03表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35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4"/>
                <w:szCs w:val="14"/>
                <w:u w:val="none"/>
              </w:rPr>
            </w:pPr>
          </w:p>
        </w:tc>
        <w:tc>
          <w:tcPr>
            <w:tcW w:w="356" w:type="dxa"/>
            <w:tcBorders>
              <w:top w:val="nil"/>
              <w:left w:val="nil"/>
              <w:bottom w:val="nil"/>
              <w:right w:val="nil"/>
            </w:tcBorders>
            <w:shd w:val="clear" w:color="auto" w:fill="auto"/>
            <w:noWrap/>
            <w:vAlign w:val="bottom"/>
          </w:tcPr>
          <w:p>
            <w:pPr>
              <w:rPr>
                <w:rFonts w:hint="default" w:ascii="Arial" w:hAnsi="Arial" w:cs="Arial"/>
                <w:i w:val="0"/>
                <w:iCs w:val="0"/>
                <w:color w:val="000000"/>
                <w:sz w:val="14"/>
                <w:szCs w:val="14"/>
                <w:u w:val="none"/>
              </w:rPr>
            </w:pPr>
          </w:p>
        </w:tc>
        <w:tc>
          <w:tcPr>
            <w:tcW w:w="356" w:type="dxa"/>
            <w:tcBorders>
              <w:top w:val="nil"/>
              <w:left w:val="nil"/>
              <w:bottom w:val="nil"/>
              <w:right w:val="nil"/>
            </w:tcBorders>
            <w:shd w:val="clear" w:color="auto" w:fill="auto"/>
            <w:noWrap/>
            <w:vAlign w:val="bottom"/>
          </w:tcPr>
          <w:p>
            <w:pPr>
              <w:rPr>
                <w:rFonts w:hint="default" w:ascii="Arial" w:hAnsi="Arial" w:cs="Arial"/>
                <w:i w:val="0"/>
                <w:iCs w:val="0"/>
                <w:color w:val="000000"/>
                <w:sz w:val="14"/>
                <w:szCs w:val="14"/>
                <w:u w:val="none"/>
              </w:rPr>
            </w:pPr>
          </w:p>
        </w:tc>
        <w:tc>
          <w:tcPr>
            <w:tcW w:w="2876" w:type="dxa"/>
            <w:tcBorders>
              <w:top w:val="nil"/>
              <w:left w:val="nil"/>
              <w:bottom w:val="nil"/>
              <w:right w:val="nil"/>
            </w:tcBorders>
            <w:shd w:val="clear" w:color="auto" w:fill="auto"/>
            <w:noWrap/>
            <w:vAlign w:val="bottom"/>
          </w:tcPr>
          <w:p>
            <w:pPr>
              <w:rPr>
                <w:rFonts w:hint="default" w:ascii="Arial" w:hAnsi="Arial" w:cs="Arial"/>
                <w:i w:val="0"/>
                <w:iCs w:val="0"/>
                <w:color w:val="000000"/>
                <w:sz w:val="14"/>
                <w:szCs w:val="14"/>
                <w:u w:val="none"/>
              </w:rPr>
            </w:pPr>
          </w:p>
        </w:tc>
        <w:tc>
          <w:tcPr>
            <w:tcW w:w="1204" w:type="dxa"/>
            <w:tcBorders>
              <w:top w:val="nil"/>
              <w:left w:val="nil"/>
              <w:bottom w:val="nil"/>
              <w:right w:val="nil"/>
            </w:tcBorders>
            <w:shd w:val="clear" w:color="auto" w:fill="auto"/>
            <w:noWrap/>
            <w:vAlign w:val="bottom"/>
          </w:tcPr>
          <w:p>
            <w:pPr>
              <w:rPr>
                <w:rFonts w:hint="default" w:ascii="Arial" w:hAnsi="Arial" w:cs="Arial"/>
                <w:i w:val="0"/>
                <w:iCs w:val="0"/>
                <w:color w:val="000000"/>
                <w:sz w:val="14"/>
                <w:szCs w:val="14"/>
                <w:u w:val="none"/>
              </w:rPr>
            </w:pPr>
          </w:p>
        </w:tc>
        <w:tc>
          <w:tcPr>
            <w:tcW w:w="1063" w:type="dxa"/>
            <w:tcBorders>
              <w:top w:val="nil"/>
              <w:left w:val="nil"/>
              <w:bottom w:val="nil"/>
              <w:right w:val="nil"/>
            </w:tcBorders>
            <w:shd w:val="clear" w:color="auto" w:fill="auto"/>
            <w:noWrap/>
            <w:vAlign w:val="bottom"/>
          </w:tcPr>
          <w:p>
            <w:pPr>
              <w:rPr>
                <w:rFonts w:hint="default" w:ascii="Arial" w:hAnsi="Arial" w:cs="Arial"/>
                <w:i w:val="0"/>
                <w:iCs w:val="0"/>
                <w:color w:val="000000"/>
                <w:sz w:val="14"/>
                <w:szCs w:val="14"/>
                <w:u w:val="none"/>
              </w:rPr>
            </w:pPr>
          </w:p>
        </w:tc>
        <w:tc>
          <w:tcPr>
            <w:tcW w:w="1204" w:type="dxa"/>
            <w:tcBorders>
              <w:top w:val="nil"/>
              <w:left w:val="nil"/>
              <w:bottom w:val="nil"/>
              <w:right w:val="nil"/>
            </w:tcBorders>
            <w:shd w:val="clear" w:color="auto" w:fill="auto"/>
            <w:noWrap/>
            <w:vAlign w:val="bottom"/>
          </w:tcPr>
          <w:p>
            <w:pPr>
              <w:rPr>
                <w:rFonts w:hint="default" w:ascii="Arial" w:hAnsi="Arial" w:cs="Arial"/>
                <w:i w:val="0"/>
                <w:iCs w:val="0"/>
                <w:color w:val="000000"/>
                <w:sz w:val="14"/>
                <w:szCs w:val="14"/>
                <w:u w:val="none"/>
              </w:rPr>
            </w:pPr>
          </w:p>
        </w:tc>
        <w:tc>
          <w:tcPr>
            <w:tcW w:w="356" w:type="dxa"/>
            <w:tcBorders>
              <w:top w:val="nil"/>
              <w:left w:val="nil"/>
              <w:bottom w:val="nil"/>
              <w:right w:val="nil"/>
            </w:tcBorders>
            <w:shd w:val="clear" w:color="auto" w:fill="auto"/>
            <w:noWrap/>
            <w:vAlign w:val="bottom"/>
          </w:tcPr>
          <w:p>
            <w:pPr>
              <w:rPr>
                <w:rFonts w:hint="default" w:ascii="Arial" w:hAnsi="Arial" w:cs="Arial"/>
                <w:i w:val="0"/>
                <w:iCs w:val="0"/>
                <w:color w:val="000000"/>
                <w:sz w:val="14"/>
                <w:szCs w:val="14"/>
                <w:u w:val="none"/>
              </w:rPr>
            </w:pPr>
          </w:p>
        </w:tc>
        <w:tc>
          <w:tcPr>
            <w:tcW w:w="356" w:type="dxa"/>
            <w:tcBorders>
              <w:top w:val="nil"/>
              <w:left w:val="nil"/>
              <w:bottom w:val="nil"/>
              <w:right w:val="nil"/>
            </w:tcBorders>
            <w:shd w:val="clear" w:color="auto" w:fill="auto"/>
            <w:noWrap/>
            <w:vAlign w:val="bottom"/>
          </w:tcPr>
          <w:p>
            <w:pPr>
              <w:rPr>
                <w:rFonts w:hint="default" w:ascii="Arial" w:hAnsi="Arial" w:cs="Arial"/>
                <w:i w:val="0"/>
                <w:iCs w:val="0"/>
                <w:color w:val="000000"/>
                <w:sz w:val="14"/>
                <w:szCs w:val="14"/>
                <w:u w:val="none"/>
              </w:rPr>
            </w:pPr>
          </w:p>
        </w:tc>
        <w:tc>
          <w:tcPr>
            <w:tcW w:w="112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科目编码</w:t>
            </w:r>
          </w:p>
        </w:tc>
        <w:tc>
          <w:tcPr>
            <w:tcW w:w="2876"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科目名称</w:t>
            </w:r>
          </w:p>
        </w:tc>
        <w:tc>
          <w:tcPr>
            <w:tcW w:w="120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本年支出合计</w:t>
            </w:r>
          </w:p>
        </w:tc>
        <w:tc>
          <w:tcPr>
            <w:tcW w:w="106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基本支出</w:t>
            </w:r>
          </w:p>
        </w:tc>
        <w:tc>
          <w:tcPr>
            <w:tcW w:w="120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项目支出</w:t>
            </w:r>
          </w:p>
        </w:tc>
        <w:tc>
          <w:tcPr>
            <w:tcW w:w="35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上缴上级支出</w:t>
            </w:r>
          </w:p>
        </w:tc>
        <w:tc>
          <w:tcPr>
            <w:tcW w:w="35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经营支出</w:t>
            </w:r>
          </w:p>
        </w:tc>
        <w:tc>
          <w:tcPr>
            <w:tcW w:w="112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4"/>
                <w:szCs w:val="14"/>
                <w:u w:val="none"/>
              </w:rPr>
            </w:pPr>
          </w:p>
        </w:tc>
        <w:tc>
          <w:tcPr>
            <w:tcW w:w="2876"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4"/>
                <w:szCs w:val="14"/>
                <w:u w:val="none"/>
              </w:rPr>
            </w:pPr>
          </w:p>
        </w:tc>
        <w:tc>
          <w:tcPr>
            <w:tcW w:w="120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4"/>
                <w:szCs w:val="14"/>
                <w:u w:val="none"/>
              </w:rPr>
            </w:pPr>
          </w:p>
        </w:tc>
        <w:tc>
          <w:tcPr>
            <w:tcW w:w="106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4"/>
                <w:szCs w:val="14"/>
                <w:u w:val="none"/>
              </w:rPr>
            </w:pPr>
          </w:p>
        </w:tc>
        <w:tc>
          <w:tcPr>
            <w:tcW w:w="120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4"/>
                <w:szCs w:val="14"/>
                <w:u w:val="none"/>
              </w:rPr>
            </w:pPr>
          </w:p>
        </w:tc>
        <w:tc>
          <w:tcPr>
            <w:tcW w:w="35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4"/>
                <w:szCs w:val="14"/>
                <w:u w:val="none"/>
              </w:rPr>
            </w:pPr>
          </w:p>
        </w:tc>
        <w:tc>
          <w:tcPr>
            <w:tcW w:w="35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4"/>
                <w:szCs w:val="14"/>
                <w:u w:val="none"/>
              </w:rPr>
            </w:pPr>
          </w:p>
        </w:tc>
        <w:tc>
          <w:tcPr>
            <w:tcW w:w="112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4"/>
                <w:szCs w:val="14"/>
                <w:u w:val="none"/>
              </w:rPr>
            </w:pPr>
          </w:p>
        </w:tc>
        <w:tc>
          <w:tcPr>
            <w:tcW w:w="2876"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4"/>
                <w:szCs w:val="14"/>
                <w:u w:val="none"/>
              </w:rPr>
            </w:pPr>
          </w:p>
        </w:tc>
        <w:tc>
          <w:tcPr>
            <w:tcW w:w="120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4"/>
                <w:szCs w:val="14"/>
                <w:u w:val="none"/>
              </w:rPr>
            </w:pPr>
          </w:p>
        </w:tc>
        <w:tc>
          <w:tcPr>
            <w:tcW w:w="106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4"/>
                <w:szCs w:val="14"/>
                <w:u w:val="none"/>
              </w:rPr>
            </w:pPr>
          </w:p>
        </w:tc>
        <w:tc>
          <w:tcPr>
            <w:tcW w:w="120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4"/>
                <w:szCs w:val="14"/>
                <w:u w:val="none"/>
              </w:rPr>
            </w:pPr>
          </w:p>
        </w:tc>
        <w:tc>
          <w:tcPr>
            <w:tcW w:w="35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4"/>
                <w:szCs w:val="14"/>
                <w:u w:val="none"/>
              </w:rPr>
            </w:pPr>
          </w:p>
        </w:tc>
        <w:tc>
          <w:tcPr>
            <w:tcW w:w="35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4"/>
                <w:szCs w:val="14"/>
                <w:u w:val="none"/>
              </w:rPr>
            </w:pPr>
          </w:p>
        </w:tc>
        <w:tc>
          <w:tcPr>
            <w:tcW w:w="112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4"/>
                <w:szCs w:val="14"/>
                <w:u w:val="none"/>
              </w:rPr>
            </w:pPr>
          </w:p>
        </w:tc>
        <w:tc>
          <w:tcPr>
            <w:tcW w:w="2876"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4"/>
                <w:szCs w:val="14"/>
                <w:u w:val="none"/>
              </w:rPr>
            </w:pPr>
          </w:p>
        </w:tc>
        <w:tc>
          <w:tcPr>
            <w:tcW w:w="120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4"/>
                <w:szCs w:val="14"/>
                <w:u w:val="none"/>
              </w:rPr>
            </w:pPr>
          </w:p>
        </w:tc>
        <w:tc>
          <w:tcPr>
            <w:tcW w:w="106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4"/>
                <w:szCs w:val="14"/>
                <w:u w:val="none"/>
              </w:rPr>
            </w:pPr>
          </w:p>
        </w:tc>
        <w:tc>
          <w:tcPr>
            <w:tcW w:w="120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4"/>
                <w:szCs w:val="14"/>
                <w:u w:val="none"/>
              </w:rPr>
            </w:pPr>
          </w:p>
        </w:tc>
        <w:tc>
          <w:tcPr>
            <w:tcW w:w="35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4"/>
                <w:szCs w:val="14"/>
                <w:u w:val="none"/>
              </w:rPr>
            </w:pPr>
          </w:p>
        </w:tc>
        <w:tc>
          <w:tcPr>
            <w:tcW w:w="35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4"/>
                <w:szCs w:val="14"/>
                <w:u w:val="none"/>
              </w:rPr>
            </w:pPr>
          </w:p>
        </w:tc>
        <w:tc>
          <w:tcPr>
            <w:tcW w:w="112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56" w:type="dxa"/>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类</w:t>
            </w:r>
          </w:p>
        </w:tc>
        <w:tc>
          <w:tcPr>
            <w:tcW w:w="35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款</w:t>
            </w:r>
          </w:p>
        </w:tc>
        <w:tc>
          <w:tcPr>
            <w:tcW w:w="35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项</w:t>
            </w:r>
          </w:p>
        </w:tc>
        <w:tc>
          <w:tcPr>
            <w:tcW w:w="2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栏次</w:t>
            </w:r>
          </w:p>
        </w:tc>
        <w:tc>
          <w:tcPr>
            <w:tcW w:w="120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1</w:t>
            </w:r>
          </w:p>
        </w:tc>
        <w:tc>
          <w:tcPr>
            <w:tcW w:w="106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2</w:t>
            </w:r>
          </w:p>
        </w:tc>
        <w:tc>
          <w:tcPr>
            <w:tcW w:w="120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3</w:t>
            </w:r>
          </w:p>
        </w:tc>
        <w:tc>
          <w:tcPr>
            <w:tcW w:w="3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4</w:t>
            </w:r>
          </w:p>
        </w:tc>
        <w:tc>
          <w:tcPr>
            <w:tcW w:w="3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5</w:t>
            </w:r>
          </w:p>
        </w:tc>
        <w:tc>
          <w:tcPr>
            <w:tcW w:w="112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56" w:type="dxa"/>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4"/>
                <w:szCs w:val="14"/>
                <w:u w:val="none"/>
              </w:rPr>
            </w:pPr>
          </w:p>
        </w:tc>
        <w:tc>
          <w:tcPr>
            <w:tcW w:w="35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4"/>
                <w:szCs w:val="14"/>
                <w:u w:val="none"/>
              </w:rPr>
            </w:pPr>
          </w:p>
        </w:tc>
        <w:tc>
          <w:tcPr>
            <w:tcW w:w="35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4"/>
                <w:szCs w:val="14"/>
                <w:u w:val="none"/>
              </w:rPr>
            </w:pPr>
          </w:p>
        </w:tc>
        <w:tc>
          <w:tcPr>
            <w:tcW w:w="2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合计</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spacing w:val="0"/>
                <w:w w:val="100"/>
                <w:kern w:val="0"/>
                <w:position w:val="0"/>
                <w:sz w:val="14"/>
                <w:szCs w:val="14"/>
                <w:u w:val="none"/>
                <w:shd w:val="clear" w:color="auto" w:fill="auto"/>
                <w:lang w:val="en-US" w:eastAsia="zh-CN" w:bidi="ar"/>
              </w:rPr>
              <w:t>122,618,070.78</w:t>
            </w:r>
          </w:p>
        </w:tc>
        <w:tc>
          <w:tcPr>
            <w:tcW w:w="1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spacing w:val="0"/>
                <w:w w:val="100"/>
                <w:kern w:val="0"/>
                <w:position w:val="0"/>
                <w:sz w:val="14"/>
                <w:szCs w:val="14"/>
                <w:u w:val="none"/>
                <w:shd w:val="clear" w:color="auto" w:fill="auto"/>
                <w:lang w:val="en-US" w:eastAsia="zh-CN" w:bidi="ar"/>
              </w:rPr>
              <w:t>4,987,324.12</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spacing w:val="0"/>
                <w:w w:val="100"/>
                <w:kern w:val="0"/>
                <w:position w:val="0"/>
                <w:sz w:val="14"/>
                <w:szCs w:val="14"/>
                <w:u w:val="none"/>
                <w:shd w:val="clear" w:color="auto" w:fill="auto"/>
                <w:lang w:val="en-US" w:eastAsia="zh-CN" w:bidi="ar"/>
              </w:rPr>
              <w:t>117,630,746.66</w:t>
            </w: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4"/>
                <w:szCs w:val="14"/>
                <w:u w:val="none"/>
              </w:rPr>
            </w:pPr>
          </w:p>
        </w:tc>
        <w:tc>
          <w:tcPr>
            <w:tcW w:w="11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201</w:t>
            </w:r>
          </w:p>
        </w:tc>
        <w:tc>
          <w:tcPr>
            <w:tcW w:w="2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一般公共服务支出</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35,054.00</w:t>
            </w:r>
          </w:p>
        </w:tc>
        <w:tc>
          <w:tcPr>
            <w:tcW w:w="1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35,054.00</w:t>
            </w:r>
          </w:p>
        </w:tc>
        <w:tc>
          <w:tcPr>
            <w:tcW w:w="12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1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20129</w:t>
            </w:r>
          </w:p>
        </w:tc>
        <w:tc>
          <w:tcPr>
            <w:tcW w:w="2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群众团体事务</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35,054.00</w:t>
            </w:r>
          </w:p>
        </w:tc>
        <w:tc>
          <w:tcPr>
            <w:tcW w:w="1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35,054.00</w:t>
            </w:r>
          </w:p>
        </w:tc>
        <w:tc>
          <w:tcPr>
            <w:tcW w:w="12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1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2012906</w:t>
            </w:r>
          </w:p>
        </w:tc>
        <w:tc>
          <w:tcPr>
            <w:tcW w:w="2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 xml:space="preserve">  工会事务</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35,054.00</w:t>
            </w:r>
          </w:p>
        </w:tc>
        <w:tc>
          <w:tcPr>
            <w:tcW w:w="1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35,054.00</w:t>
            </w:r>
          </w:p>
        </w:tc>
        <w:tc>
          <w:tcPr>
            <w:tcW w:w="12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1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208</w:t>
            </w:r>
          </w:p>
        </w:tc>
        <w:tc>
          <w:tcPr>
            <w:tcW w:w="2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社会保障和就业支出</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444,879.12</w:t>
            </w:r>
          </w:p>
        </w:tc>
        <w:tc>
          <w:tcPr>
            <w:tcW w:w="1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444,879.12</w:t>
            </w:r>
          </w:p>
        </w:tc>
        <w:tc>
          <w:tcPr>
            <w:tcW w:w="12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1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20805</w:t>
            </w:r>
          </w:p>
        </w:tc>
        <w:tc>
          <w:tcPr>
            <w:tcW w:w="2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行政事业单位养老支出</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444,879.12</w:t>
            </w:r>
          </w:p>
        </w:tc>
        <w:tc>
          <w:tcPr>
            <w:tcW w:w="1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444,879.12</w:t>
            </w:r>
          </w:p>
        </w:tc>
        <w:tc>
          <w:tcPr>
            <w:tcW w:w="12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1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2080505</w:t>
            </w:r>
          </w:p>
        </w:tc>
        <w:tc>
          <w:tcPr>
            <w:tcW w:w="2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 xml:space="preserve">  机关事业单位基本养老保险缴费支出</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444,879.12</w:t>
            </w:r>
          </w:p>
        </w:tc>
        <w:tc>
          <w:tcPr>
            <w:tcW w:w="1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444,879.12</w:t>
            </w:r>
          </w:p>
        </w:tc>
        <w:tc>
          <w:tcPr>
            <w:tcW w:w="12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1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210</w:t>
            </w:r>
          </w:p>
        </w:tc>
        <w:tc>
          <w:tcPr>
            <w:tcW w:w="2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卫生健康支出</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118,319,476.50</w:t>
            </w:r>
          </w:p>
        </w:tc>
        <w:tc>
          <w:tcPr>
            <w:tcW w:w="1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4,408,391.00</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113,911,085.50</w:t>
            </w: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1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21012</w:t>
            </w:r>
          </w:p>
        </w:tc>
        <w:tc>
          <w:tcPr>
            <w:tcW w:w="2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财政对基本医疗保险基金的补助</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8,681,289.40</w:t>
            </w:r>
          </w:p>
        </w:tc>
        <w:tc>
          <w:tcPr>
            <w:tcW w:w="1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174,869.40</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8,506,420.00</w:t>
            </w: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1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2101201</w:t>
            </w:r>
          </w:p>
        </w:tc>
        <w:tc>
          <w:tcPr>
            <w:tcW w:w="2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 xml:space="preserve">  财政对职工基本医疗保险基金的补助</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174,869.40</w:t>
            </w:r>
          </w:p>
        </w:tc>
        <w:tc>
          <w:tcPr>
            <w:tcW w:w="1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174,869.40</w:t>
            </w:r>
          </w:p>
        </w:tc>
        <w:tc>
          <w:tcPr>
            <w:tcW w:w="12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1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2101202</w:t>
            </w:r>
          </w:p>
        </w:tc>
        <w:tc>
          <w:tcPr>
            <w:tcW w:w="2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 xml:space="preserve">  财政对城乡居民基本医疗保险基金的补助</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3,446,420.00</w:t>
            </w:r>
          </w:p>
        </w:tc>
        <w:tc>
          <w:tcPr>
            <w:tcW w:w="10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3,446,420.00</w:t>
            </w: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1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2101299</w:t>
            </w:r>
          </w:p>
        </w:tc>
        <w:tc>
          <w:tcPr>
            <w:tcW w:w="2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 xml:space="preserve">  财政对其他基本医疗保险基金的补助</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5,060,000.00</w:t>
            </w:r>
          </w:p>
        </w:tc>
        <w:tc>
          <w:tcPr>
            <w:tcW w:w="10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5,060,000.00</w:t>
            </w: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1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21013</w:t>
            </w:r>
          </w:p>
        </w:tc>
        <w:tc>
          <w:tcPr>
            <w:tcW w:w="2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医疗救助</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104,959,389.50</w:t>
            </w:r>
          </w:p>
        </w:tc>
        <w:tc>
          <w:tcPr>
            <w:tcW w:w="10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104,959,389.50</w:t>
            </w: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1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2101301</w:t>
            </w:r>
          </w:p>
        </w:tc>
        <w:tc>
          <w:tcPr>
            <w:tcW w:w="2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 xml:space="preserve">  城乡医疗救助</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104,959,389.50</w:t>
            </w:r>
          </w:p>
        </w:tc>
        <w:tc>
          <w:tcPr>
            <w:tcW w:w="10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104,959,389.50</w:t>
            </w: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1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21015</w:t>
            </w:r>
          </w:p>
        </w:tc>
        <w:tc>
          <w:tcPr>
            <w:tcW w:w="2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医疗保障管理事务</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4,678,797.60</w:t>
            </w:r>
          </w:p>
        </w:tc>
        <w:tc>
          <w:tcPr>
            <w:tcW w:w="1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4,233,521.60</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445,276.00</w:t>
            </w: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1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2101501</w:t>
            </w:r>
          </w:p>
        </w:tc>
        <w:tc>
          <w:tcPr>
            <w:tcW w:w="2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 xml:space="preserve">  行政运行</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4,448,797.60</w:t>
            </w:r>
          </w:p>
        </w:tc>
        <w:tc>
          <w:tcPr>
            <w:tcW w:w="1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4,003,521.60</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445,276.00</w:t>
            </w: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1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2101599</w:t>
            </w:r>
          </w:p>
        </w:tc>
        <w:tc>
          <w:tcPr>
            <w:tcW w:w="2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 xml:space="preserve">  其他医疗保障管理事务支出</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230,000.00</w:t>
            </w:r>
          </w:p>
        </w:tc>
        <w:tc>
          <w:tcPr>
            <w:tcW w:w="1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230,000.00</w:t>
            </w:r>
          </w:p>
        </w:tc>
        <w:tc>
          <w:tcPr>
            <w:tcW w:w="12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1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213</w:t>
            </w:r>
          </w:p>
        </w:tc>
        <w:tc>
          <w:tcPr>
            <w:tcW w:w="2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农林水支出</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99,000.00</w:t>
            </w:r>
          </w:p>
        </w:tc>
        <w:tc>
          <w:tcPr>
            <w:tcW w:w="1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99,000.00</w:t>
            </w:r>
          </w:p>
        </w:tc>
        <w:tc>
          <w:tcPr>
            <w:tcW w:w="12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1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21305</w:t>
            </w:r>
          </w:p>
        </w:tc>
        <w:tc>
          <w:tcPr>
            <w:tcW w:w="2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扶贫</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99,000.00</w:t>
            </w:r>
          </w:p>
        </w:tc>
        <w:tc>
          <w:tcPr>
            <w:tcW w:w="1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99,000.00</w:t>
            </w:r>
          </w:p>
        </w:tc>
        <w:tc>
          <w:tcPr>
            <w:tcW w:w="12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1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2130501</w:t>
            </w:r>
          </w:p>
        </w:tc>
        <w:tc>
          <w:tcPr>
            <w:tcW w:w="2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 xml:space="preserve">  行政运行</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99,000.00</w:t>
            </w:r>
          </w:p>
        </w:tc>
        <w:tc>
          <w:tcPr>
            <w:tcW w:w="1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99,000.00</w:t>
            </w:r>
          </w:p>
        </w:tc>
        <w:tc>
          <w:tcPr>
            <w:tcW w:w="12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1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229</w:t>
            </w:r>
          </w:p>
        </w:tc>
        <w:tc>
          <w:tcPr>
            <w:tcW w:w="2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其他支出</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3,719,661.16</w:t>
            </w:r>
          </w:p>
        </w:tc>
        <w:tc>
          <w:tcPr>
            <w:tcW w:w="10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3,719,661.16</w:t>
            </w: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1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22960</w:t>
            </w:r>
          </w:p>
        </w:tc>
        <w:tc>
          <w:tcPr>
            <w:tcW w:w="2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彩票公益金安排的支出</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3,719,661.16</w:t>
            </w:r>
          </w:p>
        </w:tc>
        <w:tc>
          <w:tcPr>
            <w:tcW w:w="10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3,719,661.16</w:t>
            </w: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1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2296013</w:t>
            </w:r>
          </w:p>
        </w:tc>
        <w:tc>
          <w:tcPr>
            <w:tcW w:w="2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 xml:space="preserve">  用于城乡医疗救助的彩票公益金支出</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3,719,661.16</w:t>
            </w:r>
          </w:p>
        </w:tc>
        <w:tc>
          <w:tcPr>
            <w:tcW w:w="10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3,719,661.16</w:t>
            </w: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1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253"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注：1.本表依据《支出决算表》（财决04表）进行批复。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253"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 xml:space="preserve">    2.本表含一般公共预算财政拨款、政府性基金预算财政拨款和国有资本经营预算财政拨款。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253"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 xml:space="preserve">    3.本表批复到项级科目。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253"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 xml:space="preserve">    4.本表以“万元”为金额单位（保留两位小数）。</w:t>
            </w:r>
          </w:p>
        </w:tc>
      </w:tr>
    </w:tbl>
    <w:p>
      <w:pPr>
        <w:pStyle w:val="15"/>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支出决算表</w:t>
      </w:r>
    </w:p>
    <w:tbl>
      <w:tblPr>
        <w:tblW w:w="857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362"/>
        <w:gridCol w:w="363"/>
        <w:gridCol w:w="364"/>
        <w:gridCol w:w="2299"/>
        <w:gridCol w:w="1398"/>
        <w:gridCol w:w="1437"/>
        <w:gridCol w:w="1380"/>
        <w:gridCol w:w="240"/>
        <w:gridCol w:w="364"/>
        <w:gridCol w:w="3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8571" w:type="dxa"/>
            <w:gridSpan w:val="10"/>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bdr w:val="none" w:color="auto" w:sz="0" w:space="0"/>
                <w:shd w:val="clear" w:color="auto" w:fill="auto"/>
                <w:lang w:val="en-US" w:eastAsia="zh-CN" w:bidi="ar"/>
              </w:rPr>
              <w:t>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362" w:type="dxa"/>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363"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6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299"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398"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437"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38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4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6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64" w:type="dxa"/>
            <w:tcBorders>
              <w:top w:val="nil"/>
              <w:left w:val="nil"/>
              <w:bottom w:val="nil"/>
              <w:right w:val="nil"/>
            </w:tcBorders>
            <w:shd w:val="clear"/>
            <w:noWrap/>
            <w:vAlign w:val="bottom"/>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362" w:type="dxa"/>
            <w:tcBorders>
              <w:top w:val="nil"/>
              <w:left w:val="nil"/>
              <w:bottom w:val="nil"/>
              <w:right w:val="nil"/>
            </w:tcBorders>
            <w:shd w:val="clear"/>
            <w:noWrap/>
            <w:vAlign w:val="bottom"/>
          </w:tcPr>
          <w:p>
            <w:pPr>
              <w:rPr>
                <w:rFonts w:hint="eastAsia" w:ascii="宋体" w:hAnsi="宋体" w:eastAsia="宋体" w:cs="宋体"/>
                <w:i w:val="0"/>
                <w:iCs w:val="0"/>
                <w:color w:val="000000"/>
                <w:sz w:val="20"/>
                <w:szCs w:val="20"/>
                <w:u w:val="none"/>
              </w:rPr>
            </w:pPr>
          </w:p>
        </w:tc>
        <w:tc>
          <w:tcPr>
            <w:tcW w:w="363"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6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299"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398"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437"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38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4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6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64" w:type="dxa"/>
            <w:tcBorders>
              <w:top w:val="nil"/>
              <w:left w:val="nil"/>
              <w:bottom w:val="nil"/>
              <w:right w:val="nil"/>
            </w:tcBorders>
            <w:shd w:val="clear"/>
            <w:noWrap/>
            <w:vAlign w:val="bottom"/>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89"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科目编码</w:t>
            </w:r>
          </w:p>
        </w:tc>
        <w:tc>
          <w:tcPr>
            <w:tcW w:w="2299"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科目名称</w:t>
            </w:r>
          </w:p>
        </w:tc>
        <w:tc>
          <w:tcPr>
            <w:tcW w:w="139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本年支出合计</w:t>
            </w:r>
          </w:p>
        </w:tc>
        <w:tc>
          <w:tcPr>
            <w:tcW w:w="1437"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基本支出</w:t>
            </w:r>
          </w:p>
        </w:tc>
        <w:tc>
          <w:tcPr>
            <w:tcW w:w="13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项目支出</w:t>
            </w:r>
          </w:p>
        </w:tc>
        <w:tc>
          <w:tcPr>
            <w:tcW w:w="24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上缴上级支出</w:t>
            </w:r>
          </w:p>
        </w:tc>
        <w:tc>
          <w:tcPr>
            <w:tcW w:w="36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经营支出</w:t>
            </w:r>
          </w:p>
        </w:tc>
        <w:tc>
          <w:tcPr>
            <w:tcW w:w="36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89"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2299"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139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43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3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2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36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36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89"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2299"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139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43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3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2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36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36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89"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2299"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139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43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3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2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36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36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62" w:type="dxa"/>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类</w:t>
            </w:r>
          </w:p>
        </w:tc>
        <w:tc>
          <w:tcPr>
            <w:tcW w:w="363"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款</w:t>
            </w:r>
          </w:p>
        </w:tc>
        <w:tc>
          <w:tcPr>
            <w:tcW w:w="364"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项</w:t>
            </w:r>
          </w:p>
        </w:tc>
        <w:tc>
          <w:tcPr>
            <w:tcW w:w="229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栏次</w:t>
            </w:r>
          </w:p>
        </w:tc>
        <w:tc>
          <w:tcPr>
            <w:tcW w:w="139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1</w:t>
            </w:r>
          </w:p>
        </w:tc>
        <w:tc>
          <w:tcPr>
            <w:tcW w:w="143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2</w:t>
            </w:r>
          </w:p>
        </w:tc>
        <w:tc>
          <w:tcPr>
            <w:tcW w:w="13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w:t>
            </w:r>
          </w:p>
        </w:tc>
        <w:tc>
          <w:tcPr>
            <w:tcW w:w="2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4</w:t>
            </w:r>
          </w:p>
        </w:tc>
        <w:tc>
          <w:tcPr>
            <w:tcW w:w="36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5</w:t>
            </w:r>
          </w:p>
        </w:tc>
        <w:tc>
          <w:tcPr>
            <w:tcW w:w="36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62" w:type="dxa"/>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363"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364"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229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合计</w:t>
            </w:r>
          </w:p>
        </w:tc>
        <w:tc>
          <w:tcPr>
            <w:tcW w:w="13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bdr w:val="none" w:color="auto" w:sz="0" w:space="0"/>
                <w:shd w:val="clear" w:color="auto" w:fill="auto"/>
                <w:lang w:val="en-US" w:eastAsia="zh-CN" w:bidi="ar"/>
              </w:rPr>
              <w:t>122,618,070.78</w:t>
            </w:r>
          </w:p>
        </w:tc>
        <w:tc>
          <w:tcPr>
            <w:tcW w:w="14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bdr w:val="none" w:color="auto" w:sz="0" w:space="0"/>
                <w:shd w:val="clear" w:color="auto" w:fill="auto"/>
                <w:lang w:val="en-US" w:eastAsia="zh-CN" w:bidi="ar"/>
              </w:rPr>
              <w:t>4,987,324.12</w:t>
            </w:r>
          </w:p>
        </w:tc>
        <w:tc>
          <w:tcPr>
            <w:tcW w:w="13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bdr w:val="none" w:color="auto" w:sz="0" w:space="0"/>
                <w:shd w:val="clear" w:color="auto" w:fill="auto"/>
                <w:lang w:val="en-US" w:eastAsia="zh-CN" w:bidi="ar"/>
              </w:rPr>
              <w:t>117,630,746.66</w:t>
            </w: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6"/>
                <w:szCs w:val="16"/>
                <w:u w:val="none"/>
              </w:rPr>
            </w:pPr>
          </w:p>
        </w:tc>
        <w:tc>
          <w:tcPr>
            <w:tcW w:w="3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6"/>
                <w:szCs w:val="16"/>
                <w:u w:val="none"/>
              </w:rPr>
            </w:pPr>
          </w:p>
        </w:tc>
        <w:tc>
          <w:tcPr>
            <w:tcW w:w="3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8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201</w:t>
            </w:r>
          </w:p>
        </w:tc>
        <w:tc>
          <w:tcPr>
            <w:tcW w:w="229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一般公共服务支出</w:t>
            </w:r>
          </w:p>
        </w:tc>
        <w:tc>
          <w:tcPr>
            <w:tcW w:w="13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35,054.00</w:t>
            </w:r>
          </w:p>
        </w:tc>
        <w:tc>
          <w:tcPr>
            <w:tcW w:w="14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35,054.00</w:t>
            </w:r>
          </w:p>
        </w:tc>
        <w:tc>
          <w:tcPr>
            <w:tcW w:w="13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8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20129</w:t>
            </w:r>
          </w:p>
        </w:tc>
        <w:tc>
          <w:tcPr>
            <w:tcW w:w="229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群众团体事务</w:t>
            </w:r>
          </w:p>
        </w:tc>
        <w:tc>
          <w:tcPr>
            <w:tcW w:w="13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35,054.00</w:t>
            </w:r>
          </w:p>
        </w:tc>
        <w:tc>
          <w:tcPr>
            <w:tcW w:w="14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35,054.00</w:t>
            </w:r>
          </w:p>
        </w:tc>
        <w:tc>
          <w:tcPr>
            <w:tcW w:w="13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8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2012906</w:t>
            </w:r>
          </w:p>
        </w:tc>
        <w:tc>
          <w:tcPr>
            <w:tcW w:w="229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工会事务</w:t>
            </w:r>
          </w:p>
        </w:tc>
        <w:tc>
          <w:tcPr>
            <w:tcW w:w="13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35,054.00</w:t>
            </w:r>
          </w:p>
        </w:tc>
        <w:tc>
          <w:tcPr>
            <w:tcW w:w="14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35,054.00</w:t>
            </w:r>
          </w:p>
        </w:tc>
        <w:tc>
          <w:tcPr>
            <w:tcW w:w="13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8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208</w:t>
            </w:r>
          </w:p>
        </w:tc>
        <w:tc>
          <w:tcPr>
            <w:tcW w:w="229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社会保障和就业支出</w:t>
            </w:r>
          </w:p>
        </w:tc>
        <w:tc>
          <w:tcPr>
            <w:tcW w:w="13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444,879.12</w:t>
            </w:r>
          </w:p>
        </w:tc>
        <w:tc>
          <w:tcPr>
            <w:tcW w:w="14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444,879.12</w:t>
            </w:r>
          </w:p>
        </w:tc>
        <w:tc>
          <w:tcPr>
            <w:tcW w:w="13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8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20805</w:t>
            </w:r>
          </w:p>
        </w:tc>
        <w:tc>
          <w:tcPr>
            <w:tcW w:w="229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行政事业单位养老支出</w:t>
            </w:r>
          </w:p>
        </w:tc>
        <w:tc>
          <w:tcPr>
            <w:tcW w:w="13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444,879.12</w:t>
            </w:r>
          </w:p>
        </w:tc>
        <w:tc>
          <w:tcPr>
            <w:tcW w:w="14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444,879.12</w:t>
            </w:r>
          </w:p>
        </w:tc>
        <w:tc>
          <w:tcPr>
            <w:tcW w:w="13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8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2080505</w:t>
            </w:r>
          </w:p>
        </w:tc>
        <w:tc>
          <w:tcPr>
            <w:tcW w:w="229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机关事业单位基本养老保险缴费支出</w:t>
            </w:r>
          </w:p>
        </w:tc>
        <w:tc>
          <w:tcPr>
            <w:tcW w:w="13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444,879.12</w:t>
            </w:r>
          </w:p>
        </w:tc>
        <w:tc>
          <w:tcPr>
            <w:tcW w:w="14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444,879.12</w:t>
            </w:r>
          </w:p>
        </w:tc>
        <w:tc>
          <w:tcPr>
            <w:tcW w:w="13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8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210</w:t>
            </w:r>
          </w:p>
        </w:tc>
        <w:tc>
          <w:tcPr>
            <w:tcW w:w="229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卫生健康支出</w:t>
            </w:r>
          </w:p>
        </w:tc>
        <w:tc>
          <w:tcPr>
            <w:tcW w:w="13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118,319,476.50</w:t>
            </w:r>
          </w:p>
        </w:tc>
        <w:tc>
          <w:tcPr>
            <w:tcW w:w="14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4,408,391.00</w:t>
            </w:r>
          </w:p>
        </w:tc>
        <w:tc>
          <w:tcPr>
            <w:tcW w:w="13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113,911,085.50</w:t>
            </w: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8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21012</w:t>
            </w:r>
          </w:p>
        </w:tc>
        <w:tc>
          <w:tcPr>
            <w:tcW w:w="229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财政对基本医疗保险基金的补助</w:t>
            </w:r>
          </w:p>
        </w:tc>
        <w:tc>
          <w:tcPr>
            <w:tcW w:w="13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8,681,289.40</w:t>
            </w:r>
          </w:p>
        </w:tc>
        <w:tc>
          <w:tcPr>
            <w:tcW w:w="14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174,869.40</w:t>
            </w:r>
          </w:p>
        </w:tc>
        <w:tc>
          <w:tcPr>
            <w:tcW w:w="13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8,506,420.00</w:t>
            </w: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8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2101201</w:t>
            </w:r>
          </w:p>
        </w:tc>
        <w:tc>
          <w:tcPr>
            <w:tcW w:w="229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财政对职工基本医疗保险基金的补助</w:t>
            </w:r>
          </w:p>
        </w:tc>
        <w:tc>
          <w:tcPr>
            <w:tcW w:w="13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174,869.40</w:t>
            </w:r>
          </w:p>
        </w:tc>
        <w:tc>
          <w:tcPr>
            <w:tcW w:w="14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174,869.40</w:t>
            </w:r>
          </w:p>
        </w:tc>
        <w:tc>
          <w:tcPr>
            <w:tcW w:w="13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8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2101202</w:t>
            </w:r>
          </w:p>
        </w:tc>
        <w:tc>
          <w:tcPr>
            <w:tcW w:w="229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财政对城乡居民基本医疗保险基金的补助</w:t>
            </w:r>
          </w:p>
        </w:tc>
        <w:tc>
          <w:tcPr>
            <w:tcW w:w="13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3,446,420.00</w:t>
            </w:r>
          </w:p>
        </w:tc>
        <w:tc>
          <w:tcPr>
            <w:tcW w:w="143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13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3,446,420.00</w:t>
            </w: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8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2101299</w:t>
            </w:r>
          </w:p>
        </w:tc>
        <w:tc>
          <w:tcPr>
            <w:tcW w:w="229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财政对其他基本医疗保险基金的补助</w:t>
            </w:r>
          </w:p>
        </w:tc>
        <w:tc>
          <w:tcPr>
            <w:tcW w:w="13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5,060,000.00</w:t>
            </w:r>
          </w:p>
        </w:tc>
        <w:tc>
          <w:tcPr>
            <w:tcW w:w="143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13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5,060,000.00</w:t>
            </w: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8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21013</w:t>
            </w:r>
          </w:p>
        </w:tc>
        <w:tc>
          <w:tcPr>
            <w:tcW w:w="229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医疗救助</w:t>
            </w:r>
          </w:p>
        </w:tc>
        <w:tc>
          <w:tcPr>
            <w:tcW w:w="13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104,959,389.50</w:t>
            </w:r>
          </w:p>
        </w:tc>
        <w:tc>
          <w:tcPr>
            <w:tcW w:w="143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13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104,959,389.50</w:t>
            </w: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8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2101301</w:t>
            </w:r>
          </w:p>
        </w:tc>
        <w:tc>
          <w:tcPr>
            <w:tcW w:w="229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城乡医疗救助</w:t>
            </w:r>
          </w:p>
        </w:tc>
        <w:tc>
          <w:tcPr>
            <w:tcW w:w="13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104,959,389.50</w:t>
            </w:r>
          </w:p>
        </w:tc>
        <w:tc>
          <w:tcPr>
            <w:tcW w:w="143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13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104,959,389.50</w:t>
            </w: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8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21015</w:t>
            </w:r>
          </w:p>
        </w:tc>
        <w:tc>
          <w:tcPr>
            <w:tcW w:w="229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医疗保障管理事务</w:t>
            </w:r>
          </w:p>
        </w:tc>
        <w:tc>
          <w:tcPr>
            <w:tcW w:w="13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4,678,797.60</w:t>
            </w:r>
          </w:p>
        </w:tc>
        <w:tc>
          <w:tcPr>
            <w:tcW w:w="14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4,233,521.60</w:t>
            </w:r>
          </w:p>
        </w:tc>
        <w:tc>
          <w:tcPr>
            <w:tcW w:w="13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445,276.00</w:t>
            </w: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8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2101501</w:t>
            </w:r>
          </w:p>
        </w:tc>
        <w:tc>
          <w:tcPr>
            <w:tcW w:w="229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行政运行</w:t>
            </w:r>
          </w:p>
        </w:tc>
        <w:tc>
          <w:tcPr>
            <w:tcW w:w="13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4,448,797.60</w:t>
            </w:r>
          </w:p>
        </w:tc>
        <w:tc>
          <w:tcPr>
            <w:tcW w:w="14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4,003,521.60</w:t>
            </w:r>
          </w:p>
        </w:tc>
        <w:tc>
          <w:tcPr>
            <w:tcW w:w="13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445,276.00</w:t>
            </w: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8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2101599</w:t>
            </w:r>
          </w:p>
        </w:tc>
        <w:tc>
          <w:tcPr>
            <w:tcW w:w="229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其他医疗保障管理事务支出</w:t>
            </w:r>
          </w:p>
        </w:tc>
        <w:tc>
          <w:tcPr>
            <w:tcW w:w="13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230,000.00</w:t>
            </w:r>
          </w:p>
        </w:tc>
        <w:tc>
          <w:tcPr>
            <w:tcW w:w="14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230,000.00</w:t>
            </w:r>
          </w:p>
        </w:tc>
        <w:tc>
          <w:tcPr>
            <w:tcW w:w="13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8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213</w:t>
            </w:r>
          </w:p>
        </w:tc>
        <w:tc>
          <w:tcPr>
            <w:tcW w:w="229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农林水支出</w:t>
            </w:r>
          </w:p>
        </w:tc>
        <w:tc>
          <w:tcPr>
            <w:tcW w:w="13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99,000.00</w:t>
            </w:r>
          </w:p>
        </w:tc>
        <w:tc>
          <w:tcPr>
            <w:tcW w:w="14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99,000.00</w:t>
            </w:r>
          </w:p>
        </w:tc>
        <w:tc>
          <w:tcPr>
            <w:tcW w:w="13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8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21305</w:t>
            </w:r>
          </w:p>
        </w:tc>
        <w:tc>
          <w:tcPr>
            <w:tcW w:w="229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扶贫</w:t>
            </w:r>
          </w:p>
        </w:tc>
        <w:tc>
          <w:tcPr>
            <w:tcW w:w="13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99,000.00</w:t>
            </w:r>
          </w:p>
        </w:tc>
        <w:tc>
          <w:tcPr>
            <w:tcW w:w="14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99,000.00</w:t>
            </w:r>
          </w:p>
        </w:tc>
        <w:tc>
          <w:tcPr>
            <w:tcW w:w="13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8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2130501</w:t>
            </w:r>
          </w:p>
        </w:tc>
        <w:tc>
          <w:tcPr>
            <w:tcW w:w="229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行政运行</w:t>
            </w:r>
          </w:p>
        </w:tc>
        <w:tc>
          <w:tcPr>
            <w:tcW w:w="13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99,000.00</w:t>
            </w:r>
          </w:p>
        </w:tc>
        <w:tc>
          <w:tcPr>
            <w:tcW w:w="14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99,000.00</w:t>
            </w:r>
          </w:p>
        </w:tc>
        <w:tc>
          <w:tcPr>
            <w:tcW w:w="13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8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229</w:t>
            </w:r>
          </w:p>
        </w:tc>
        <w:tc>
          <w:tcPr>
            <w:tcW w:w="229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其他支出</w:t>
            </w:r>
          </w:p>
        </w:tc>
        <w:tc>
          <w:tcPr>
            <w:tcW w:w="13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3,719,661.16</w:t>
            </w:r>
          </w:p>
        </w:tc>
        <w:tc>
          <w:tcPr>
            <w:tcW w:w="143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13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3,719,661.16</w:t>
            </w: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8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22960</w:t>
            </w:r>
          </w:p>
        </w:tc>
        <w:tc>
          <w:tcPr>
            <w:tcW w:w="229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彩票公益金安排的支出</w:t>
            </w:r>
          </w:p>
        </w:tc>
        <w:tc>
          <w:tcPr>
            <w:tcW w:w="13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3,719,661.16</w:t>
            </w:r>
          </w:p>
        </w:tc>
        <w:tc>
          <w:tcPr>
            <w:tcW w:w="143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13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3,719,661.16</w:t>
            </w: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8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2296013</w:t>
            </w:r>
          </w:p>
        </w:tc>
        <w:tc>
          <w:tcPr>
            <w:tcW w:w="229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用于城乡医疗救助的彩票公益金支出</w:t>
            </w:r>
          </w:p>
        </w:tc>
        <w:tc>
          <w:tcPr>
            <w:tcW w:w="13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3,719,661.16</w:t>
            </w:r>
          </w:p>
        </w:tc>
        <w:tc>
          <w:tcPr>
            <w:tcW w:w="143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13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3,719,661.16</w:t>
            </w: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71" w:type="dxa"/>
            <w:gridSpan w:val="10"/>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注：1.本表依据《支出决算表》（财决04表）进行批复。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71" w:type="dxa"/>
            <w:gridSpan w:val="10"/>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2.本表含一般公共预算财政拨款、政府性基金预算财政拨款和国有资本经营预算财政拨款。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71" w:type="dxa"/>
            <w:gridSpan w:val="10"/>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3.本表批复到项级科目。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71" w:type="dxa"/>
            <w:gridSpan w:val="10"/>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4.本表以“万元”为金额单位（保留两位小数）。</w:t>
            </w:r>
          </w:p>
        </w:tc>
      </w:tr>
    </w:tbl>
    <w:p>
      <w:pPr>
        <w:pStyle w:val="15"/>
        <w:keepNext w:val="0"/>
        <w:keepLines w:val="0"/>
        <w:pageBreakBefore w:val="0"/>
        <w:widowControl w:val="0"/>
        <w:numPr>
          <w:numId w:val="0"/>
        </w:numPr>
        <w:shd w:val="clear" w:color="auto" w:fill="auto"/>
        <w:tabs>
          <w:tab w:val="left" w:pos="822"/>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财政拨款收入支出决算总表</w:t>
      </w:r>
    </w:p>
    <w:tbl>
      <w:tblPr>
        <w:tblW w:w="87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211"/>
        <w:gridCol w:w="292"/>
        <w:gridCol w:w="1411"/>
        <w:gridCol w:w="1233"/>
        <w:gridCol w:w="496"/>
        <w:gridCol w:w="1268"/>
        <w:gridCol w:w="1283"/>
        <w:gridCol w:w="1041"/>
        <w:gridCol w:w="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jc w:val="center"/>
        </w:trPr>
        <w:tc>
          <w:tcPr>
            <w:tcW w:w="8745" w:type="dxa"/>
            <w:gridSpan w:val="9"/>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bdr w:val="none" w:color="auto" w:sz="0" w:space="0"/>
                <w:shd w:val="clear" w:color="auto" w:fill="auto"/>
                <w:lang w:val="en-US" w:eastAsia="zh-CN" w:bidi="ar"/>
              </w:rPr>
              <w:t>财政拨款收入支出决算批复表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2" w:hRule="atLeast"/>
          <w:jc w:val="center"/>
        </w:trPr>
        <w:tc>
          <w:tcPr>
            <w:tcW w:w="1211" w:type="dxa"/>
            <w:tcBorders>
              <w:top w:val="nil"/>
              <w:left w:val="nil"/>
              <w:bottom w:val="nil"/>
              <w:right w:val="nil"/>
            </w:tcBorders>
            <w:shd w:val="clear"/>
            <w:noWrap/>
            <w:vAlign w:val="bottom"/>
          </w:tcPr>
          <w:p>
            <w:pPr>
              <w:rPr>
                <w:rFonts w:hint="eastAsia" w:ascii="Arial" w:hAnsi="Arial" w:cs="Arial"/>
                <w:i w:val="0"/>
                <w:iCs w:val="0"/>
                <w:color w:val="000000"/>
                <w:sz w:val="16"/>
                <w:szCs w:val="16"/>
                <w:u w:val="none"/>
              </w:rPr>
            </w:pPr>
          </w:p>
        </w:tc>
        <w:tc>
          <w:tcPr>
            <w:tcW w:w="292" w:type="dxa"/>
            <w:tcBorders>
              <w:top w:val="nil"/>
              <w:left w:val="nil"/>
              <w:bottom w:val="nil"/>
              <w:right w:val="nil"/>
            </w:tcBorders>
            <w:shd w:val="clear"/>
            <w:noWrap/>
            <w:vAlign w:val="bottom"/>
          </w:tcPr>
          <w:p>
            <w:pPr>
              <w:rPr>
                <w:rFonts w:hint="default" w:ascii="Arial" w:hAnsi="Arial" w:cs="Arial"/>
                <w:i w:val="0"/>
                <w:iCs w:val="0"/>
                <w:color w:val="000000"/>
                <w:sz w:val="16"/>
                <w:szCs w:val="16"/>
                <w:u w:val="none"/>
              </w:rPr>
            </w:pPr>
          </w:p>
        </w:tc>
        <w:tc>
          <w:tcPr>
            <w:tcW w:w="1411" w:type="dxa"/>
            <w:tcBorders>
              <w:top w:val="nil"/>
              <w:left w:val="nil"/>
              <w:bottom w:val="nil"/>
              <w:right w:val="nil"/>
            </w:tcBorders>
            <w:shd w:val="clear"/>
            <w:noWrap/>
            <w:vAlign w:val="bottom"/>
          </w:tcPr>
          <w:p>
            <w:pPr>
              <w:rPr>
                <w:rFonts w:hint="default" w:ascii="Arial" w:hAnsi="Arial" w:cs="Arial"/>
                <w:i w:val="0"/>
                <w:iCs w:val="0"/>
                <w:color w:val="000000"/>
                <w:sz w:val="16"/>
                <w:szCs w:val="16"/>
                <w:u w:val="none"/>
              </w:rPr>
            </w:pPr>
          </w:p>
        </w:tc>
        <w:tc>
          <w:tcPr>
            <w:tcW w:w="1233" w:type="dxa"/>
            <w:tcBorders>
              <w:top w:val="nil"/>
              <w:left w:val="nil"/>
              <w:bottom w:val="nil"/>
              <w:right w:val="nil"/>
            </w:tcBorders>
            <w:shd w:val="clear"/>
            <w:noWrap/>
            <w:vAlign w:val="bottom"/>
          </w:tcPr>
          <w:p>
            <w:pPr>
              <w:rPr>
                <w:rFonts w:hint="default" w:ascii="Arial" w:hAnsi="Arial" w:cs="Arial"/>
                <w:i w:val="0"/>
                <w:iCs w:val="0"/>
                <w:color w:val="000000"/>
                <w:sz w:val="16"/>
                <w:szCs w:val="16"/>
                <w:u w:val="none"/>
              </w:rPr>
            </w:pPr>
          </w:p>
        </w:tc>
        <w:tc>
          <w:tcPr>
            <w:tcW w:w="496" w:type="dxa"/>
            <w:tcBorders>
              <w:top w:val="nil"/>
              <w:left w:val="nil"/>
              <w:bottom w:val="nil"/>
              <w:right w:val="nil"/>
            </w:tcBorders>
            <w:shd w:val="clear"/>
            <w:noWrap/>
            <w:vAlign w:val="bottom"/>
          </w:tcPr>
          <w:p>
            <w:pPr>
              <w:rPr>
                <w:rFonts w:hint="default" w:ascii="Arial" w:hAnsi="Arial" w:cs="Arial"/>
                <w:i w:val="0"/>
                <w:iCs w:val="0"/>
                <w:color w:val="000000"/>
                <w:sz w:val="16"/>
                <w:szCs w:val="16"/>
                <w:u w:val="none"/>
              </w:rPr>
            </w:pPr>
          </w:p>
        </w:tc>
        <w:tc>
          <w:tcPr>
            <w:tcW w:w="1268" w:type="dxa"/>
            <w:tcBorders>
              <w:top w:val="nil"/>
              <w:left w:val="nil"/>
              <w:bottom w:val="nil"/>
              <w:right w:val="nil"/>
            </w:tcBorders>
            <w:shd w:val="clear"/>
            <w:noWrap/>
            <w:vAlign w:val="bottom"/>
          </w:tcPr>
          <w:p>
            <w:pPr>
              <w:rPr>
                <w:rFonts w:hint="default" w:ascii="Arial" w:hAnsi="Arial" w:cs="Arial"/>
                <w:i w:val="0"/>
                <w:iCs w:val="0"/>
                <w:color w:val="000000"/>
                <w:sz w:val="16"/>
                <w:szCs w:val="16"/>
                <w:u w:val="none"/>
              </w:rPr>
            </w:pPr>
          </w:p>
        </w:tc>
        <w:tc>
          <w:tcPr>
            <w:tcW w:w="2834" w:type="dxa"/>
            <w:gridSpan w:val="3"/>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财决批复04表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8" w:hRule="atLeast"/>
          <w:jc w:val="center"/>
        </w:trPr>
        <w:tc>
          <w:tcPr>
            <w:tcW w:w="1211" w:type="dxa"/>
            <w:tcBorders>
              <w:top w:val="nil"/>
              <w:left w:val="nil"/>
              <w:bottom w:val="nil"/>
              <w:right w:val="nil"/>
            </w:tcBorders>
            <w:shd w:val="clear"/>
            <w:noWrap/>
            <w:vAlign w:val="bottom"/>
          </w:tcPr>
          <w:p>
            <w:pPr>
              <w:rPr>
                <w:rFonts w:hint="eastAsia" w:ascii="宋体" w:hAnsi="宋体" w:eastAsia="宋体" w:cs="宋体"/>
                <w:i w:val="0"/>
                <w:iCs w:val="0"/>
                <w:color w:val="000000"/>
                <w:sz w:val="16"/>
                <w:szCs w:val="16"/>
                <w:u w:val="none"/>
              </w:rPr>
            </w:pPr>
          </w:p>
        </w:tc>
        <w:tc>
          <w:tcPr>
            <w:tcW w:w="292" w:type="dxa"/>
            <w:tcBorders>
              <w:top w:val="nil"/>
              <w:left w:val="nil"/>
              <w:bottom w:val="nil"/>
              <w:right w:val="nil"/>
            </w:tcBorders>
            <w:shd w:val="clear"/>
            <w:noWrap/>
            <w:vAlign w:val="bottom"/>
          </w:tcPr>
          <w:p>
            <w:pPr>
              <w:rPr>
                <w:rFonts w:hint="default" w:ascii="Arial" w:hAnsi="Arial" w:cs="Arial"/>
                <w:i w:val="0"/>
                <w:iCs w:val="0"/>
                <w:color w:val="000000"/>
                <w:sz w:val="16"/>
                <w:szCs w:val="16"/>
                <w:u w:val="none"/>
              </w:rPr>
            </w:pPr>
          </w:p>
        </w:tc>
        <w:tc>
          <w:tcPr>
            <w:tcW w:w="1411" w:type="dxa"/>
            <w:tcBorders>
              <w:top w:val="nil"/>
              <w:left w:val="nil"/>
              <w:bottom w:val="nil"/>
              <w:right w:val="nil"/>
            </w:tcBorders>
            <w:shd w:val="clear"/>
            <w:noWrap/>
            <w:vAlign w:val="bottom"/>
          </w:tcPr>
          <w:p>
            <w:pPr>
              <w:rPr>
                <w:rFonts w:hint="default" w:ascii="Arial" w:hAnsi="Arial" w:cs="Arial"/>
                <w:i w:val="0"/>
                <w:iCs w:val="0"/>
                <w:color w:val="000000"/>
                <w:sz w:val="16"/>
                <w:szCs w:val="16"/>
                <w:u w:val="none"/>
              </w:rPr>
            </w:pPr>
          </w:p>
        </w:tc>
        <w:tc>
          <w:tcPr>
            <w:tcW w:w="1233" w:type="dxa"/>
            <w:tcBorders>
              <w:top w:val="nil"/>
              <w:left w:val="nil"/>
              <w:bottom w:val="nil"/>
              <w:right w:val="nil"/>
            </w:tcBorders>
            <w:shd w:val="clear"/>
            <w:noWrap/>
            <w:vAlign w:val="bottom"/>
          </w:tcPr>
          <w:p>
            <w:pPr>
              <w:rPr>
                <w:rFonts w:hint="default" w:ascii="Arial" w:hAnsi="Arial" w:cs="Arial"/>
                <w:i w:val="0"/>
                <w:iCs w:val="0"/>
                <w:color w:val="000000"/>
                <w:sz w:val="16"/>
                <w:szCs w:val="16"/>
                <w:u w:val="none"/>
              </w:rPr>
            </w:pPr>
          </w:p>
        </w:tc>
        <w:tc>
          <w:tcPr>
            <w:tcW w:w="496" w:type="dxa"/>
            <w:tcBorders>
              <w:top w:val="nil"/>
              <w:left w:val="nil"/>
              <w:bottom w:val="nil"/>
              <w:right w:val="nil"/>
            </w:tcBorders>
            <w:shd w:val="clear"/>
            <w:noWrap/>
            <w:vAlign w:val="bottom"/>
          </w:tcPr>
          <w:p>
            <w:pPr>
              <w:rPr>
                <w:rFonts w:hint="default" w:ascii="Arial" w:hAnsi="Arial" w:cs="Arial"/>
                <w:i w:val="0"/>
                <w:iCs w:val="0"/>
                <w:color w:val="000000"/>
                <w:sz w:val="16"/>
                <w:szCs w:val="16"/>
                <w:u w:val="none"/>
              </w:rPr>
            </w:pPr>
          </w:p>
        </w:tc>
        <w:tc>
          <w:tcPr>
            <w:tcW w:w="1268" w:type="dxa"/>
            <w:tcBorders>
              <w:top w:val="nil"/>
              <w:left w:val="nil"/>
              <w:bottom w:val="nil"/>
              <w:right w:val="nil"/>
            </w:tcBorders>
            <w:shd w:val="clear"/>
            <w:noWrap/>
            <w:vAlign w:val="bottom"/>
          </w:tcPr>
          <w:p>
            <w:pPr>
              <w:rPr>
                <w:rFonts w:hint="default" w:ascii="Arial" w:hAnsi="Arial" w:cs="Arial"/>
                <w:i w:val="0"/>
                <w:iCs w:val="0"/>
                <w:color w:val="000000"/>
                <w:sz w:val="16"/>
                <w:szCs w:val="16"/>
                <w:u w:val="none"/>
              </w:rPr>
            </w:pPr>
          </w:p>
        </w:tc>
        <w:tc>
          <w:tcPr>
            <w:tcW w:w="2834" w:type="dxa"/>
            <w:gridSpan w:val="3"/>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914"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收     入</w:t>
            </w:r>
          </w:p>
        </w:tc>
        <w:tc>
          <w:tcPr>
            <w:tcW w:w="5831"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2" w:hRule="atLeast"/>
          <w:jc w:val="center"/>
        </w:trPr>
        <w:tc>
          <w:tcPr>
            <w:tcW w:w="1211"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项目</w:t>
            </w:r>
          </w:p>
        </w:tc>
        <w:tc>
          <w:tcPr>
            <w:tcW w:w="29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行次</w:t>
            </w:r>
          </w:p>
        </w:tc>
        <w:tc>
          <w:tcPr>
            <w:tcW w:w="141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金额</w:t>
            </w:r>
          </w:p>
        </w:tc>
        <w:tc>
          <w:tcPr>
            <w:tcW w:w="123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项目</w:t>
            </w:r>
          </w:p>
        </w:tc>
        <w:tc>
          <w:tcPr>
            <w:tcW w:w="49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行次</w:t>
            </w:r>
          </w:p>
        </w:tc>
        <w:tc>
          <w:tcPr>
            <w:tcW w:w="1268"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合计</w:t>
            </w:r>
          </w:p>
        </w:tc>
        <w:tc>
          <w:tcPr>
            <w:tcW w:w="128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一般公共预算财政拨款</w:t>
            </w:r>
          </w:p>
        </w:tc>
        <w:tc>
          <w:tcPr>
            <w:tcW w:w="104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政府性基金预算财政拨款</w:t>
            </w:r>
          </w:p>
        </w:tc>
        <w:tc>
          <w:tcPr>
            <w:tcW w:w="5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1211"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c>
          <w:tcPr>
            <w:tcW w:w="29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c>
          <w:tcPr>
            <w:tcW w:w="141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c>
          <w:tcPr>
            <w:tcW w:w="123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c>
          <w:tcPr>
            <w:tcW w:w="49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c>
          <w:tcPr>
            <w:tcW w:w="1268"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3"/>
                <w:szCs w:val="13"/>
                <w:u w:val="none"/>
              </w:rPr>
            </w:pPr>
          </w:p>
        </w:tc>
        <w:tc>
          <w:tcPr>
            <w:tcW w:w="128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c>
          <w:tcPr>
            <w:tcW w:w="104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c>
          <w:tcPr>
            <w:tcW w:w="5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栏次</w:t>
            </w:r>
          </w:p>
        </w:tc>
        <w:tc>
          <w:tcPr>
            <w:tcW w:w="292"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3"/>
                <w:szCs w:val="13"/>
                <w:u w:val="none"/>
              </w:rPr>
            </w:pPr>
          </w:p>
        </w:tc>
        <w:tc>
          <w:tcPr>
            <w:tcW w:w="14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1</w:t>
            </w: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栏次</w:t>
            </w:r>
          </w:p>
        </w:tc>
        <w:tc>
          <w:tcPr>
            <w:tcW w:w="496"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3"/>
                <w:szCs w:val="13"/>
                <w:u w:val="none"/>
              </w:rPr>
            </w:pPr>
          </w:p>
        </w:tc>
        <w:tc>
          <w:tcPr>
            <w:tcW w:w="12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2</w:t>
            </w:r>
          </w:p>
        </w:tc>
        <w:tc>
          <w:tcPr>
            <w:tcW w:w="12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3</w:t>
            </w:r>
          </w:p>
        </w:tc>
        <w:tc>
          <w:tcPr>
            <w:tcW w:w="10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4</w:t>
            </w: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一、一般公共预算财政拨款</w:t>
            </w: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1</w:t>
            </w:r>
          </w:p>
        </w:tc>
        <w:tc>
          <w:tcPr>
            <w:tcW w:w="14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118,898,409.62</w:t>
            </w: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一、一般公共服务支出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33</w:t>
            </w:r>
          </w:p>
        </w:tc>
        <w:tc>
          <w:tcPr>
            <w:tcW w:w="12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35,054.00</w:t>
            </w:r>
          </w:p>
        </w:tc>
        <w:tc>
          <w:tcPr>
            <w:tcW w:w="128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35,054.00</w:t>
            </w:r>
          </w:p>
        </w:tc>
        <w:tc>
          <w:tcPr>
            <w:tcW w:w="10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spacing w:val="0"/>
                <w:w w:val="100"/>
                <w:kern w:val="0"/>
                <w:position w:val="0"/>
                <w:sz w:val="10"/>
                <w:szCs w:val="10"/>
                <w:u w:val="none"/>
                <w:bdr w:val="none" w:color="auto" w:sz="0" w:space="0"/>
                <w:shd w:val="clear" w:color="auto" w:fill="auto"/>
                <w:lang w:val="en-US" w:eastAsia="zh-CN" w:bidi="ar"/>
              </w:rPr>
              <w:t>二、政府性基金预算财政拨款</w:t>
            </w: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2</w:t>
            </w:r>
          </w:p>
        </w:tc>
        <w:tc>
          <w:tcPr>
            <w:tcW w:w="14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3,719,661.16</w:t>
            </w: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二、外交支出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34</w:t>
            </w:r>
          </w:p>
        </w:tc>
        <w:tc>
          <w:tcPr>
            <w:tcW w:w="126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8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三、国有资本经营财政拨款</w:t>
            </w: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3</w:t>
            </w:r>
          </w:p>
        </w:tc>
        <w:tc>
          <w:tcPr>
            <w:tcW w:w="141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三、国防支出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35</w:t>
            </w:r>
          </w:p>
        </w:tc>
        <w:tc>
          <w:tcPr>
            <w:tcW w:w="126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8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4</w:t>
            </w:r>
          </w:p>
        </w:tc>
        <w:tc>
          <w:tcPr>
            <w:tcW w:w="141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四、公共安全支出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36</w:t>
            </w:r>
          </w:p>
        </w:tc>
        <w:tc>
          <w:tcPr>
            <w:tcW w:w="126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8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5</w:t>
            </w:r>
          </w:p>
        </w:tc>
        <w:tc>
          <w:tcPr>
            <w:tcW w:w="141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五、教育支出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37</w:t>
            </w:r>
          </w:p>
        </w:tc>
        <w:tc>
          <w:tcPr>
            <w:tcW w:w="126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8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6</w:t>
            </w:r>
          </w:p>
        </w:tc>
        <w:tc>
          <w:tcPr>
            <w:tcW w:w="141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六、科学技术支出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38</w:t>
            </w:r>
          </w:p>
        </w:tc>
        <w:tc>
          <w:tcPr>
            <w:tcW w:w="126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8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7</w:t>
            </w:r>
          </w:p>
        </w:tc>
        <w:tc>
          <w:tcPr>
            <w:tcW w:w="141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spacing w:val="0"/>
                <w:w w:val="100"/>
                <w:kern w:val="0"/>
                <w:position w:val="0"/>
                <w:sz w:val="10"/>
                <w:szCs w:val="10"/>
                <w:u w:val="none"/>
                <w:bdr w:val="none" w:color="auto" w:sz="0" w:space="0"/>
                <w:shd w:val="clear" w:color="auto" w:fill="auto"/>
                <w:lang w:val="en-US" w:eastAsia="zh-CN" w:bidi="ar"/>
              </w:rPr>
              <w:t>七、文化旅游体育与传媒支出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39</w:t>
            </w:r>
          </w:p>
        </w:tc>
        <w:tc>
          <w:tcPr>
            <w:tcW w:w="126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8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8</w:t>
            </w:r>
          </w:p>
        </w:tc>
        <w:tc>
          <w:tcPr>
            <w:tcW w:w="141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八、社会保障和就业支出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40</w:t>
            </w:r>
          </w:p>
        </w:tc>
        <w:tc>
          <w:tcPr>
            <w:tcW w:w="12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444,879.12</w:t>
            </w:r>
          </w:p>
        </w:tc>
        <w:tc>
          <w:tcPr>
            <w:tcW w:w="128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444,879.12</w:t>
            </w:r>
          </w:p>
        </w:tc>
        <w:tc>
          <w:tcPr>
            <w:tcW w:w="10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9</w:t>
            </w:r>
          </w:p>
        </w:tc>
        <w:tc>
          <w:tcPr>
            <w:tcW w:w="141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九、卫生健康支出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41</w:t>
            </w:r>
          </w:p>
        </w:tc>
        <w:tc>
          <w:tcPr>
            <w:tcW w:w="12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118,319,476.50</w:t>
            </w:r>
          </w:p>
        </w:tc>
        <w:tc>
          <w:tcPr>
            <w:tcW w:w="128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118,319,476.50</w:t>
            </w:r>
          </w:p>
        </w:tc>
        <w:tc>
          <w:tcPr>
            <w:tcW w:w="10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10</w:t>
            </w:r>
          </w:p>
        </w:tc>
        <w:tc>
          <w:tcPr>
            <w:tcW w:w="141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十、节能环保支出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42</w:t>
            </w:r>
          </w:p>
        </w:tc>
        <w:tc>
          <w:tcPr>
            <w:tcW w:w="126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8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11</w:t>
            </w:r>
          </w:p>
        </w:tc>
        <w:tc>
          <w:tcPr>
            <w:tcW w:w="141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十一、城乡社区支出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43</w:t>
            </w:r>
          </w:p>
        </w:tc>
        <w:tc>
          <w:tcPr>
            <w:tcW w:w="126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8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12</w:t>
            </w:r>
          </w:p>
        </w:tc>
        <w:tc>
          <w:tcPr>
            <w:tcW w:w="141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十二、农林水支出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44</w:t>
            </w:r>
          </w:p>
        </w:tc>
        <w:tc>
          <w:tcPr>
            <w:tcW w:w="12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99,000.00</w:t>
            </w:r>
          </w:p>
        </w:tc>
        <w:tc>
          <w:tcPr>
            <w:tcW w:w="128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99,000.00</w:t>
            </w:r>
          </w:p>
        </w:tc>
        <w:tc>
          <w:tcPr>
            <w:tcW w:w="10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13</w:t>
            </w:r>
          </w:p>
        </w:tc>
        <w:tc>
          <w:tcPr>
            <w:tcW w:w="141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十三、交通运输支出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45</w:t>
            </w:r>
          </w:p>
        </w:tc>
        <w:tc>
          <w:tcPr>
            <w:tcW w:w="126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8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14</w:t>
            </w:r>
          </w:p>
        </w:tc>
        <w:tc>
          <w:tcPr>
            <w:tcW w:w="141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十四、资源勘探工业信息等支出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46</w:t>
            </w:r>
          </w:p>
        </w:tc>
        <w:tc>
          <w:tcPr>
            <w:tcW w:w="126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8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15</w:t>
            </w:r>
          </w:p>
        </w:tc>
        <w:tc>
          <w:tcPr>
            <w:tcW w:w="141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十五、商业服务业等支出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47</w:t>
            </w:r>
          </w:p>
        </w:tc>
        <w:tc>
          <w:tcPr>
            <w:tcW w:w="126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8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16</w:t>
            </w:r>
          </w:p>
        </w:tc>
        <w:tc>
          <w:tcPr>
            <w:tcW w:w="141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十六、金融支出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48</w:t>
            </w:r>
          </w:p>
        </w:tc>
        <w:tc>
          <w:tcPr>
            <w:tcW w:w="126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8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17</w:t>
            </w:r>
          </w:p>
        </w:tc>
        <w:tc>
          <w:tcPr>
            <w:tcW w:w="141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十七、援助其他地区支出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49</w:t>
            </w:r>
          </w:p>
        </w:tc>
        <w:tc>
          <w:tcPr>
            <w:tcW w:w="126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8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18</w:t>
            </w:r>
          </w:p>
        </w:tc>
        <w:tc>
          <w:tcPr>
            <w:tcW w:w="141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十八、自然资源海洋气象等支出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50</w:t>
            </w:r>
          </w:p>
        </w:tc>
        <w:tc>
          <w:tcPr>
            <w:tcW w:w="126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8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19</w:t>
            </w:r>
          </w:p>
        </w:tc>
        <w:tc>
          <w:tcPr>
            <w:tcW w:w="141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十九、住房保障支出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51</w:t>
            </w:r>
          </w:p>
        </w:tc>
        <w:tc>
          <w:tcPr>
            <w:tcW w:w="126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8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20</w:t>
            </w:r>
          </w:p>
        </w:tc>
        <w:tc>
          <w:tcPr>
            <w:tcW w:w="141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二十、粮油物资储备支出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52</w:t>
            </w:r>
          </w:p>
        </w:tc>
        <w:tc>
          <w:tcPr>
            <w:tcW w:w="126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8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21</w:t>
            </w:r>
          </w:p>
        </w:tc>
        <w:tc>
          <w:tcPr>
            <w:tcW w:w="141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二十一、国有资本经营预算支出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53</w:t>
            </w:r>
          </w:p>
        </w:tc>
        <w:tc>
          <w:tcPr>
            <w:tcW w:w="126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8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22</w:t>
            </w:r>
          </w:p>
        </w:tc>
        <w:tc>
          <w:tcPr>
            <w:tcW w:w="141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二十二、灾害防治及应急管理支出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54</w:t>
            </w:r>
          </w:p>
        </w:tc>
        <w:tc>
          <w:tcPr>
            <w:tcW w:w="126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8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23</w:t>
            </w:r>
          </w:p>
        </w:tc>
        <w:tc>
          <w:tcPr>
            <w:tcW w:w="141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二十三、其他支出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55</w:t>
            </w:r>
          </w:p>
        </w:tc>
        <w:tc>
          <w:tcPr>
            <w:tcW w:w="12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3,719,661.16</w:t>
            </w:r>
          </w:p>
        </w:tc>
        <w:tc>
          <w:tcPr>
            <w:tcW w:w="128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3,719,661.16</w:t>
            </w:r>
          </w:p>
        </w:tc>
        <w:tc>
          <w:tcPr>
            <w:tcW w:w="51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13"/>
                <w:szCs w:val="13"/>
                <w:u w:val="none"/>
              </w:rPr>
            </w:pP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24</w:t>
            </w:r>
          </w:p>
        </w:tc>
        <w:tc>
          <w:tcPr>
            <w:tcW w:w="141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二十四、债务还本支出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56</w:t>
            </w:r>
          </w:p>
        </w:tc>
        <w:tc>
          <w:tcPr>
            <w:tcW w:w="126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8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25</w:t>
            </w:r>
          </w:p>
        </w:tc>
        <w:tc>
          <w:tcPr>
            <w:tcW w:w="141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二十五、债务付息支出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57</w:t>
            </w:r>
          </w:p>
        </w:tc>
        <w:tc>
          <w:tcPr>
            <w:tcW w:w="126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8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26</w:t>
            </w:r>
          </w:p>
        </w:tc>
        <w:tc>
          <w:tcPr>
            <w:tcW w:w="141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二十六、抗疫特别国债安排的支出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58</w:t>
            </w:r>
          </w:p>
        </w:tc>
        <w:tc>
          <w:tcPr>
            <w:tcW w:w="126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8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spacing w:val="0"/>
                <w:w w:val="100"/>
                <w:kern w:val="0"/>
                <w:position w:val="0"/>
                <w:sz w:val="13"/>
                <w:szCs w:val="13"/>
                <w:u w:val="none"/>
                <w:bdr w:val="none" w:color="auto" w:sz="0" w:space="0"/>
                <w:shd w:val="clear" w:color="auto" w:fill="auto"/>
                <w:lang w:val="en-US" w:eastAsia="zh-CN" w:bidi="ar"/>
              </w:rPr>
              <w:t>本年收入合计</w:t>
            </w: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27</w:t>
            </w:r>
          </w:p>
        </w:tc>
        <w:tc>
          <w:tcPr>
            <w:tcW w:w="14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122,618,070.78</w:t>
            </w: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spacing w:val="0"/>
                <w:w w:val="100"/>
                <w:kern w:val="0"/>
                <w:position w:val="0"/>
                <w:sz w:val="13"/>
                <w:szCs w:val="13"/>
                <w:u w:val="none"/>
                <w:bdr w:val="none" w:color="auto" w:sz="0" w:space="0"/>
                <w:shd w:val="clear" w:color="auto" w:fill="auto"/>
                <w:lang w:val="en-US" w:eastAsia="zh-CN" w:bidi="ar"/>
              </w:rPr>
              <w:t>本年支出合计</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59</w:t>
            </w:r>
          </w:p>
        </w:tc>
        <w:tc>
          <w:tcPr>
            <w:tcW w:w="12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122,618,070.78</w:t>
            </w:r>
          </w:p>
        </w:tc>
        <w:tc>
          <w:tcPr>
            <w:tcW w:w="128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118,898,409.62</w:t>
            </w:r>
          </w:p>
        </w:tc>
        <w:tc>
          <w:tcPr>
            <w:tcW w:w="10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3,719,661.16</w:t>
            </w:r>
          </w:p>
        </w:tc>
        <w:tc>
          <w:tcPr>
            <w:tcW w:w="51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年初财政拨款结转和结余</w:t>
            </w: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28</w:t>
            </w:r>
          </w:p>
        </w:tc>
        <w:tc>
          <w:tcPr>
            <w:tcW w:w="141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年末财政拨款结转和结余</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60</w:t>
            </w:r>
          </w:p>
        </w:tc>
        <w:tc>
          <w:tcPr>
            <w:tcW w:w="126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8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 xml:space="preserve">  一般公共预算财政拨款</w:t>
            </w: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29</w:t>
            </w:r>
          </w:p>
        </w:tc>
        <w:tc>
          <w:tcPr>
            <w:tcW w:w="141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61</w:t>
            </w:r>
          </w:p>
        </w:tc>
        <w:tc>
          <w:tcPr>
            <w:tcW w:w="126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8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 xml:space="preserve">  政府性基金预算财政拨款</w:t>
            </w: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30</w:t>
            </w:r>
          </w:p>
        </w:tc>
        <w:tc>
          <w:tcPr>
            <w:tcW w:w="141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62</w:t>
            </w:r>
          </w:p>
        </w:tc>
        <w:tc>
          <w:tcPr>
            <w:tcW w:w="126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8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spacing w:val="0"/>
                <w:w w:val="100"/>
                <w:kern w:val="0"/>
                <w:position w:val="0"/>
                <w:sz w:val="10"/>
                <w:szCs w:val="10"/>
                <w:u w:val="none"/>
                <w:bdr w:val="none" w:color="auto" w:sz="0" w:space="0"/>
                <w:shd w:val="clear" w:color="auto" w:fill="auto"/>
                <w:lang w:val="en-US" w:eastAsia="zh-CN" w:bidi="ar"/>
              </w:rPr>
              <w:t xml:space="preserve">  国有资本经营预算财政拨款</w:t>
            </w: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31</w:t>
            </w:r>
          </w:p>
        </w:tc>
        <w:tc>
          <w:tcPr>
            <w:tcW w:w="141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63</w:t>
            </w:r>
          </w:p>
        </w:tc>
        <w:tc>
          <w:tcPr>
            <w:tcW w:w="126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28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spacing w:val="0"/>
                <w:w w:val="100"/>
                <w:kern w:val="0"/>
                <w:position w:val="0"/>
                <w:sz w:val="13"/>
                <w:szCs w:val="13"/>
                <w:u w:val="none"/>
                <w:bdr w:val="none" w:color="auto" w:sz="0" w:space="0"/>
                <w:shd w:val="clear" w:color="auto" w:fill="auto"/>
                <w:lang w:val="en-US" w:eastAsia="zh-CN" w:bidi="ar"/>
              </w:rPr>
              <w:t>总计</w:t>
            </w: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32</w:t>
            </w:r>
          </w:p>
        </w:tc>
        <w:tc>
          <w:tcPr>
            <w:tcW w:w="14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122,618,070.78</w:t>
            </w: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spacing w:val="0"/>
                <w:w w:val="100"/>
                <w:kern w:val="0"/>
                <w:position w:val="0"/>
                <w:sz w:val="13"/>
                <w:szCs w:val="13"/>
                <w:u w:val="none"/>
                <w:bdr w:val="none" w:color="auto" w:sz="0" w:space="0"/>
                <w:shd w:val="clear" w:color="auto" w:fill="auto"/>
                <w:lang w:val="en-US" w:eastAsia="zh-CN" w:bidi="ar"/>
              </w:rPr>
              <w:t>总计</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64</w:t>
            </w:r>
          </w:p>
        </w:tc>
        <w:tc>
          <w:tcPr>
            <w:tcW w:w="12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122,618,070.78</w:t>
            </w:r>
          </w:p>
        </w:tc>
        <w:tc>
          <w:tcPr>
            <w:tcW w:w="128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118,898,409.62</w:t>
            </w:r>
          </w:p>
        </w:tc>
        <w:tc>
          <w:tcPr>
            <w:tcW w:w="10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none" w:color="auto" w:sz="0" w:space="0"/>
                <w:shd w:val="clear" w:color="auto" w:fill="auto"/>
                <w:lang w:val="en-US" w:eastAsia="zh-CN" w:bidi="ar"/>
              </w:rPr>
              <w:t>3,719,661.16</w:t>
            </w:r>
          </w:p>
        </w:tc>
        <w:tc>
          <w:tcPr>
            <w:tcW w:w="51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235" w:type="dxa"/>
            <w:gridSpan w:val="8"/>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注：1.本表依据《财政拨款收入支出决算总表》（财决01-1表）进行批复。</w:t>
            </w:r>
          </w:p>
        </w:tc>
        <w:tc>
          <w:tcPr>
            <w:tcW w:w="510" w:type="dxa"/>
            <w:tcBorders>
              <w:top w:val="nil"/>
              <w:left w:val="nil"/>
              <w:bottom w:val="nil"/>
              <w:right w:val="nil"/>
            </w:tcBorders>
            <w:shd w:val="clear"/>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235" w:type="dxa"/>
            <w:gridSpan w:val="8"/>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bdr w:val="none" w:color="auto" w:sz="0" w:space="0"/>
                <w:shd w:val="clear" w:color="auto" w:fill="auto"/>
                <w:lang w:val="en-US" w:eastAsia="zh-CN" w:bidi="ar"/>
              </w:rPr>
              <w:t xml:space="preserve">    2.本表以“万元”为金额单位（保留两位小数）。</w:t>
            </w:r>
          </w:p>
        </w:tc>
        <w:tc>
          <w:tcPr>
            <w:tcW w:w="510" w:type="dxa"/>
            <w:tcBorders>
              <w:top w:val="nil"/>
              <w:left w:val="nil"/>
              <w:bottom w:val="nil"/>
              <w:right w:val="nil"/>
            </w:tcBorders>
            <w:shd w:val="clear"/>
            <w:noWrap/>
            <w:vAlign w:val="center"/>
          </w:tcPr>
          <w:p>
            <w:pPr>
              <w:jc w:val="left"/>
              <w:rPr>
                <w:rFonts w:hint="eastAsia" w:ascii="宋体" w:hAnsi="宋体" w:eastAsia="宋体" w:cs="宋体"/>
                <w:i w:val="0"/>
                <w:iCs w:val="0"/>
                <w:color w:val="000000"/>
                <w:sz w:val="16"/>
                <w:szCs w:val="16"/>
                <w:u w:val="none"/>
              </w:rPr>
            </w:pPr>
          </w:p>
        </w:tc>
      </w:tr>
    </w:tbl>
    <w:p>
      <w:pPr>
        <w:pStyle w:val="15"/>
        <w:keepNext w:val="0"/>
        <w:keepLines w:val="0"/>
        <w:pageBreakBefore w:val="0"/>
        <w:widowControl w:val="0"/>
        <w:numPr>
          <w:numId w:val="0"/>
        </w:numPr>
        <w:shd w:val="clear" w:color="auto" w:fill="auto"/>
        <w:tabs>
          <w:tab w:val="left" w:pos="822"/>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一般公共预算财政拨款支出决算表</w:t>
      </w:r>
    </w:p>
    <w:tbl>
      <w:tblPr>
        <w:tblW w:w="1088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319"/>
        <w:gridCol w:w="320"/>
        <w:gridCol w:w="320"/>
        <w:gridCol w:w="1777"/>
        <w:gridCol w:w="241"/>
        <w:gridCol w:w="240"/>
        <w:gridCol w:w="294"/>
        <w:gridCol w:w="1119"/>
        <w:gridCol w:w="941"/>
        <w:gridCol w:w="1093"/>
        <w:gridCol w:w="1042"/>
        <w:gridCol w:w="877"/>
        <w:gridCol w:w="1106"/>
        <w:gridCol w:w="240"/>
        <w:gridCol w:w="320"/>
        <w:gridCol w:w="320"/>
        <w:gridCol w:w="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jc w:val="center"/>
        </w:trPr>
        <w:tc>
          <w:tcPr>
            <w:tcW w:w="10889" w:type="dxa"/>
            <w:gridSpan w:val="17"/>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bdr w:val="none" w:color="auto" w:sz="0" w:space="0"/>
                <w:shd w:val="clear" w:color="auto" w:fill="auto"/>
                <w:lang w:val="en-US" w:eastAsia="zh-CN" w:bidi="ar"/>
              </w:rPr>
              <w:t>一般公共预算财政拨款收入支出决算批复表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2" w:hRule="atLeast"/>
          <w:jc w:val="center"/>
        </w:trPr>
        <w:tc>
          <w:tcPr>
            <w:tcW w:w="319" w:type="dxa"/>
            <w:tcBorders>
              <w:top w:val="nil"/>
              <w:left w:val="nil"/>
              <w:bottom w:val="nil"/>
              <w:right w:val="nil"/>
            </w:tcBorders>
            <w:shd w:val="clear"/>
            <w:noWrap/>
            <w:vAlign w:val="bottom"/>
          </w:tcPr>
          <w:p>
            <w:pPr>
              <w:rPr>
                <w:rFonts w:hint="eastAsia" w:ascii="Arial" w:hAnsi="Arial" w:cs="Arial"/>
                <w:i w:val="0"/>
                <w:iCs w:val="0"/>
                <w:color w:val="000000"/>
                <w:sz w:val="12"/>
                <w:szCs w:val="12"/>
                <w:u w:val="none"/>
              </w:rPr>
            </w:pPr>
          </w:p>
        </w:tc>
        <w:tc>
          <w:tcPr>
            <w:tcW w:w="320" w:type="dxa"/>
            <w:tcBorders>
              <w:top w:val="nil"/>
              <w:left w:val="nil"/>
              <w:bottom w:val="nil"/>
              <w:right w:val="nil"/>
            </w:tcBorders>
            <w:shd w:val="clear"/>
            <w:noWrap/>
            <w:vAlign w:val="bottom"/>
          </w:tcPr>
          <w:p>
            <w:pPr>
              <w:rPr>
                <w:rFonts w:hint="default" w:ascii="Arial" w:hAnsi="Arial" w:cs="Arial"/>
                <w:i w:val="0"/>
                <w:iCs w:val="0"/>
                <w:color w:val="000000"/>
                <w:sz w:val="12"/>
                <w:szCs w:val="12"/>
                <w:u w:val="none"/>
              </w:rPr>
            </w:pPr>
          </w:p>
        </w:tc>
        <w:tc>
          <w:tcPr>
            <w:tcW w:w="320" w:type="dxa"/>
            <w:tcBorders>
              <w:top w:val="nil"/>
              <w:left w:val="nil"/>
              <w:bottom w:val="nil"/>
              <w:right w:val="nil"/>
            </w:tcBorders>
            <w:shd w:val="clear"/>
            <w:noWrap/>
            <w:vAlign w:val="bottom"/>
          </w:tcPr>
          <w:p>
            <w:pPr>
              <w:rPr>
                <w:rFonts w:hint="default" w:ascii="Arial" w:hAnsi="Arial" w:cs="Arial"/>
                <w:i w:val="0"/>
                <w:iCs w:val="0"/>
                <w:color w:val="000000"/>
                <w:sz w:val="12"/>
                <w:szCs w:val="12"/>
                <w:u w:val="none"/>
              </w:rPr>
            </w:pPr>
          </w:p>
        </w:tc>
        <w:tc>
          <w:tcPr>
            <w:tcW w:w="1777" w:type="dxa"/>
            <w:tcBorders>
              <w:top w:val="nil"/>
              <w:left w:val="nil"/>
              <w:bottom w:val="nil"/>
              <w:right w:val="nil"/>
            </w:tcBorders>
            <w:shd w:val="clear"/>
            <w:noWrap/>
            <w:vAlign w:val="bottom"/>
          </w:tcPr>
          <w:p>
            <w:pPr>
              <w:rPr>
                <w:rFonts w:hint="default" w:ascii="Arial" w:hAnsi="Arial" w:cs="Arial"/>
                <w:i w:val="0"/>
                <w:iCs w:val="0"/>
                <w:color w:val="000000"/>
                <w:sz w:val="12"/>
                <w:szCs w:val="12"/>
                <w:u w:val="none"/>
              </w:rPr>
            </w:pPr>
          </w:p>
        </w:tc>
        <w:tc>
          <w:tcPr>
            <w:tcW w:w="241" w:type="dxa"/>
            <w:tcBorders>
              <w:top w:val="nil"/>
              <w:left w:val="nil"/>
              <w:bottom w:val="nil"/>
              <w:right w:val="nil"/>
            </w:tcBorders>
            <w:shd w:val="clear"/>
            <w:noWrap/>
            <w:vAlign w:val="bottom"/>
          </w:tcPr>
          <w:p>
            <w:pPr>
              <w:rPr>
                <w:rFonts w:hint="default" w:ascii="Arial" w:hAnsi="Arial" w:cs="Arial"/>
                <w:i w:val="0"/>
                <w:iCs w:val="0"/>
                <w:color w:val="000000"/>
                <w:sz w:val="12"/>
                <w:szCs w:val="12"/>
                <w:u w:val="none"/>
              </w:rPr>
            </w:pPr>
          </w:p>
        </w:tc>
        <w:tc>
          <w:tcPr>
            <w:tcW w:w="240" w:type="dxa"/>
            <w:tcBorders>
              <w:top w:val="nil"/>
              <w:left w:val="nil"/>
              <w:bottom w:val="nil"/>
              <w:right w:val="nil"/>
            </w:tcBorders>
            <w:shd w:val="clear"/>
            <w:noWrap/>
            <w:vAlign w:val="bottom"/>
          </w:tcPr>
          <w:p>
            <w:pPr>
              <w:rPr>
                <w:rFonts w:hint="default" w:ascii="Arial" w:hAnsi="Arial" w:cs="Arial"/>
                <w:i w:val="0"/>
                <w:iCs w:val="0"/>
                <w:color w:val="000000"/>
                <w:sz w:val="12"/>
                <w:szCs w:val="12"/>
                <w:u w:val="none"/>
              </w:rPr>
            </w:pPr>
          </w:p>
        </w:tc>
        <w:tc>
          <w:tcPr>
            <w:tcW w:w="294" w:type="dxa"/>
            <w:tcBorders>
              <w:top w:val="nil"/>
              <w:left w:val="nil"/>
              <w:bottom w:val="nil"/>
              <w:right w:val="nil"/>
            </w:tcBorders>
            <w:shd w:val="clear"/>
            <w:noWrap/>
            <w:vAlign w:val="bottom"/>
          </w:tcPr>
          <w:p>
            <w:pPr>
              <w:rPr>
                <w:rFonts w:hint="default" w:ascii="Arial" w:hAnsi="Arial" w:cs="Arial"/>
                <w:i w:val="0"/>
                <w:iCs w:val="0"/>
                <w:color w:val="000000"/>
                <w:sz w:val="12"/>
                <w:szCs w:val="12"/>
                <w:u w:val="none"/>
              </w:rPr>
            </w:pPr>
          </w:p>
        </w:tc>
        <w:tc>
          <w:tcPr>
            <w:tcW w:w="1119" w:type="dxa"/>
            <w:tcBorders>
              <w:top w:val="nil"/>
              <w:left w:val="nil"/>
              <w:bottom w:val="nil"/>
              <w:right w:val="nil"/>
            </w:tcBorders>
            <w:shd w:val="clear"/>
            <w:noWrap/>
            <w:vAlign w:val="bottom"/>
          </w:tcPr>
          <w:p>
            <w:pPr>
              <w:rPr>
                <w:rFonts w:hint="default" w:ascii="Arial" w:hAnsi="Arial" w:cs="Arial"/>
                <w:i w:val="0"/>
                <w:iCs w:val="0"/>
                <w:color w:val="000000"/>
                <w:sz w:val="12"/>
                <w:szCs w:val="12"/>
                <w:u w:val="none"/>
              </w:rPr>
            </w:pPr>
          </w:p>
        </w:tc>
        <w:tc>
          <w:tcPr>
            <w:tcW w:w="941" w:type="dxa"/>
            <w:tcBorders>
              <w:top w:val="nil"/>
              <w:left w:val="nil"/>
              <w:bottom w:val="nil"/>
              <w:right w:val="nil"/>
            </w:tcBorders>
            <w:shd w:val="clear"/>
            <w:noWrap/>
            <w:vAlign w:val="bottom"/>
          </w:tcPr>
          <w:p>
            <w:pPr>
              <w:rPr>
                <w:rFonts w:hint="default" w:ascii="Arial" w:hAnsi="Arial" w:cs="Arial"/>
                <w:i w:val="0"/>
                <w:iCs w:val="0"/>
                <w:color w:val="000000"/>
                <w:sz w:val="12"/>
                <w:szCs w:val="12"/>
                <w:u w:val="none"/>
              </w:rPr>
            </w:pPr>
          </w:p>
        </w:tc>
        <w:tc>
          <w:tcPr>
            <w:tcW w:w="1093" w:type="dxa"/>
            <w:tcBorders>
              <w:top w:val="nil"/>
              <w:left w:val="nil"/>
              <w:bottom w:val="nil"/>
              <w:right w:val="nil"/>
            </w:tcBorders>
            <w:shd w:val="clear"/>
            <w:noWrap/>
            <w:vAlign w:val="bottom"/>
          </w:tcPr>
          <w:p>
            <w:pPr>
              <w:rPr>
                <w:rFonts w:hint="default" w:ascii="Arial" w:hAnsi="Arial" w:cs="Arial"/>
                <w:i w:val="0"/>
                <w:iCs w:val="0"/>
                <w:color w:val="000000"/>
                <w:sz w:val="12"/>
                <w:szCs w:val="12"/>
                <w:u w:val="none"/>
              </w:rPr>
            </w:pPr>
          </w:p>
        </w:tc>
        <w:tc>
          <w:tcPr>
            <w:tcW w:w="1042" w:type="dxa"/>
            <w:tcBorders>
              <w:top w:val="nil"/>
              <w:left w:val="nil"/>
              <w:bottom w:val="nil"/>
              <w:right w:val="nil"/>
            </w:tcBorders>
            <w:shd w:val="clear"/>
            <w:noWrap/>
            <w:vAlign w:val="bottom"/>
          </w:tcPr>
          <w:p>
            <w:pPr>
              <w:rPr>
                <w:rFonts w:hint="default" w:ascii="Arial" w:hAnsi="Arial" w:cs="Arial"/>
                <w:i w:val="0"/>
                <w:iCs w:val="0"/>
                <w:color w:val="000000"/>
                <w:sz w:val="12"/>
                <w:szCs w:val="12"/>
                <w:u w:val="none"/>
              </w:rPr>
            </w:pPr>
          </w:p>
        </w:tc>
        <w:tc>
          <w:tcPr>
            <w:tcW w:w="877" w:type="dxa"/>
            <w:tcBorders>
              <w:top w:val="nil"/>
              <w:left w:val="nil"/>
              <w:bottom w:val="nil"/>
              <w:right w:val="nil"/>
            </w:tcBorders>
            <w:shd w:val="clear"/>
            <w:noWrap/>
            <w:vAlign w:val="bottom"/>
          </w:tcPr>
          <w:p>
            <w:pPr>
              <w:rPr>
                <w:rFonts w:hint="default" w:ascii="Arial" w:hAnsi="Arial" w:cs="Arial"/>
                <w:i w:val="0"/>
                <w:iCs w:val="0"/>
                <w:color w:val="000000"/>
                <w:sz w:val="12"/>
                <w:szCs w:val="12"/>
                <w:u w:val="none"/>
              </w:rPr>
            </w:pPr>
          </w:p>
        </w:tc>
        <w:tc>
          <w:tcPr>
            <w:tcW w:w="1106" w:type="dxa"/>
            <w:tcBorders>
              <w:top w:val="nil"/>
              <w:left w:val="nil"/>
              <w:bottom w:val="nil"/>
              <w:right w:val="nil"/>
            </w:tcBorders>
            <w:shd w:val="clear"/>
            <w:noWrap/>
            <w:vAlign w:val="bottom"/>
          </w:tcPr>
          <w:p>
            <w:pPr>
              <w:rPr>
                <w:rFonts w:hint="default" w:ascii="Arial" w:hAnsi="Arial" w:cs="Arial"/>
                <w:i w:val="0"/>
                <w:iCs w:val="0"/>
                <w:color w:val="000000"/>
                <w:sz w:val="12"/>
                <w:szCs w:val="12"/>
                <w:u w:val="none"/>
              </w:rPr>
            </w:pPr>
          </w:p>
        </w:tc>
        <w:tc>
          <w:tcPr>
            <w:tcW w:w="240" w:type="dxa"/>
            <w:tcBorders>
              <w:top w:val="nil"/>
              <w:left w:val="nil"/>
              <w:bottom w:val="nil"/>
              <w:right w:val="nil"/>
            </w:tcBorders>
            <w:shd w:val="clear"/>
            <w:noWrap/>
            <w:vAlign w:val="bottom"/>
          </w:tcPr>
          <w:p>
            <w:pPr>
              <w:rPr>
                <w:rFonts w:hint="default" w:ascii="Arial" w:hAnsi="Arial" w:cs="Arial"/>
                <w:i w:val="0"/>
                <w:iCs w:val="0"/>
                <w:color w:val="000000"/>
                <w:sz w:val="12"/>
                <w:szCs w:val="12"/>
                <w:u w:val="none"/>
              </w:rPr>
            </w:pPr>
          </w:p>
        </w:tc>
        <w:tc>
          <w:tcPr>
            <w:tcW w:w="320" w:type="dxa"/>
            <w:tcBorders>
              <w:top w:val="nil"/>
              <w:left w:val="nil"/>
              <w:bottom w:val="nil"/>
              <w:right w:val="nil"/>
            </w:tcBorders>
            <w:shd w:val="clear"/>
            <w:noWrap/>
            <w:vAlign w:val="bottom"/>
          </w:tcPr>
          <w:p>
            <w:pPr>
              <w:rPr>
                <w:rFonts w:hint="default" w:ascii="Arial" w:hAnsi="Arial" w:cs="Arial"/>
                <w:i w:val="0"/>
                <w:iCs w:val="0"/>
                <w:color w:val="000000"/>
                <w:sz w:val="12"/>
                <w:szCs w:val="12"/>
                <w:u w:val="none"/>
              </w:rPr>
            </w:pPr>
          </w:p>
        </w:tc>
        <w:tc>
          <w:tcPr>
            <w:tcW w:w="320" w:type="dxa"/>
            <w:tcBorders>
              <w:top w:val="nil"/>
              <w:left w:val="nil"/>
              <w:bottom w:val="nil"/>
              <w:right w:val="nil"/>
            </w:tcBorders>
            <w:shd w:val="clear"/>
            <w:noWrap/>
            <w:vAlign w:val="bottom"/>
          </w:tcPr>
          <w:p>
            <w:pPr>
              <w:rPr>
                <w:rFonts w:hint="default" w:ascii="Arial" w:hAnsi="Arial" w:cs="Arial"/>
                <w:i w:val="0"/>
                <w:iCs w:val="0"/>
                <w:color w:val="000000"/>
                <w:sz w:val="12"/>
                <w:szCs w:val="12"/>
                <w:u w:val="none"/>
              </w:rPr>
            </w:pPr>
          </w:p>
        </w:tc>
        <w:tc>
          <w:tcPr>
            <w:tcW w:w="320" w:type="dxa"/>
            <w:tcBorders>
              <w:top w:val="nil"/>
              <w:left w:val="nil"/>
              <w:bottom w:val="nil"/>
              <w:right w:val="nil"/>
            </w:tcBorders>
            <w:shd w:val="clear"/>
            <w:noWrap/>
            <w:vAlign w:val="bottom"/>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319" w:type="dxa"/>
            <w:tcBorders>
              <w:top w:val="nil"/>
              <w:left w:val="nil"/>
              <w:bottom w:val="nil"/>
              <w:right w:val="nil"/>
            </w:tcBorders>
            <w:shd w:val="clear"/>
            <w:noWrap/>
            <w:vAlign w:val="bottom"/>
          </w:tcPr>
          <w:p>
            <w:pPr>
              <w:rPr>
                <w:rFonts w:hint="eastAsia" w:ascii="宋体" w:hAnsi="宋体" w:eastAsia="宋体" w:cs="宋体"/>
                <w:i w:val="0"/>
                <w:iCs w:val="0"/>
                <w:color w:val="000000"/>
                <w:sz w:val="12"/>
                <w:szCs w:val="12"/>
                <w:u w:val="none"/>
              </w:rPr>
            </w:pPr>
          </w:p>
        </w:tc>
        <w:tc>
          <w:tcPr>
            <w:tcW w:w="320" w:type="dxa"/>
            <w:tcBorders>
              <w:top w:val="nil"/>
              <w:left w:val="nil"/>
              <w:bottom w:val="nil"/>
              <w:right w:val="nil"/>
            </w:tcBorders>
            <w:shd w:val="clear"/>
            <w:noWrap/>
            <w:vAlign w:val="bottom"/>
          </w:tcPr>
          <w:p>
            <w:pPr>
              <w:rPr>
                <w:rFonts w:hint="default" w:ascii="Arial" w:hAnsi="Arial" w:cs="Arial"/>
                <w:i w:val="0"/>
                <w:iCs w:val="0"/>
                <w:color w:val="000000"/>
                <w:sz w:val="12"/>
                <w:szCs w:val="12"/>
                <w:u w:val="none"/>
              </w:rPr>
            </w:pPr>
          </w:p>
        </w:tc>
        <w:tc>
          <w:tcPr>
            <w:tcW w:w="320" w:type="dxa"/>
            <w:tcBorders>
              <w:top w:val="nil"/>
              <w:left w:val="nil"/>
              <w:bottom w:val="nil"/>
              <w:right w:val="nil"/>
            </w:tcBorders>
            <w:shd w:val="clear"/>
            <w:noWrap/>
            <w:vAlign w:val="bottom"/>
          </w:tcPr>
          <w:p>
            <w:pPr>
              <w:rPr>
                <w:rFonts w:hint="default" w:ascii="Arial" w:hAnsi="Arial" w:cs="Arial"/>
                <w:i w:val="0"/>
                <w:iCs w:val="0"/>
                <w:color w:val="000000"/>
                <w:sz w:val="12"/>
                <w:szCs w:val="12"/>
                <w:u w:val="none"/>
              </w:rPr>
            </w:pPr>
          </w:p>
        </w:tc>
        <w:tc>
          <w:tcPr>
            <w:tcW w:w="1777" w:type="dxa"/>
            <w:tcBorders>
              <w:top w:val="nil"/>
              <w:left w:val="nil"/>
              <w:bottom w:val="nil"/>
              <w:right w:val="nil"/>
            </w:tcBorders>
            <w:shd w:val="clear"/>
            <w:noWrap/>
            <w:vAlign w:val="bottom"/>
          </w:tcPr>
          <w:p>
            <w:pPr>
              <w:rPr>
                <w:rFonts w:hint="default" w:ascii="Arial" w:hAnsi="Arial" w:cs="Arial"/>
                <w:i w:val="0"/>
                <w:iCs w:val="0"/>
                <w:color w:val="000000"/>
                <w:sz w:val="12"/>
                <w:szCs w:val="12"/>
                <w:u w:val="none"/>
              </w:rPr>
            </w:pPr>
          </w:p>
        </w:tc>
        <w:tc>
          <w:tcPr>
            <w:tcW w:w="241" w:type="dxa"/>
            <w:tcBorders>
              <w:top w:val="nil"/>
              <w:left w:val="nil"/>
              <w:bottom w:val="nil"/>
              <w:right w:val="nil"/>
            </w:tcBorders>
            <w:shd w:val="clear"/>
            <w:noWrap/>
            <w:vAlign w:val="bottom"/>
          </w:tcPr>
          <w:p>
            <w:pPr>
              <w:rPr>
                <w:rFonts w:hint="default" w:ascii="Arial" w:hAnsi="Arial" w:cs="Arial"/>
                <w:i w:val="0"/>
                <w:iCs w:val="0"/>
                <w:color w:val="000000"/>
                <w:sz w:val="12"/>
                <w:szCs w:val="12"/>
                <w:u w:val="none"/>
              </w:rPr>
            </w:pPr>
          </w:p>
        </w:tc>
        <w:tc>
          <w:tcPr>
            <w:tcW w:w="240" w:type="dxa"/>
            <w:tcBorders>
              <w:top w:val="nil"/>
              <w:left w:val="nil"/>
              <w:bottom w:val="nil"/>
              <w:right w:val="nil"/>
            </w:tcBorders>
            <w:shd w:val="clear"/>
            <w:noWrap/>
            <w:vAlign w:val="bottom"/>
          </w:tcPr>
          <w:p>
            <w:pPr>
              <w:rPr>
                <w:rFonts w:hint="default" w:ascii="Arial" w:hAnsi="Arial" w:cs="Arial"/>
                <w:i w:val="0"/>
                <w:iCs w:val="0"/>
                <w:color w:val="000000"/>
                <w:sz w:val="12"/>
                <w:szCs w:val="12"/>
                <w:u w:val="none"/>
              </w:rPr>
            </w:pPr>
          </w:p>
        </w:tc>
        <w:tc>
          <w:tcPr>
            <w:tcW w:w="294" w:type="dxa"/>
            <w:tcBorders>
              <w:top w:val="nil"/>
              <w:left w:val="nil"/>
              <w:bottom w:val="nil"/>
              <w:right w:val="nil"/>
            </w:tcBorders>
            <w:shd w:val="clear"/>
            <w:noWrap/>
            <w:vAlign w:val="bottom"/>
          </w:tcPr>
          <w:p>
            <w:pPr>
              <w:rPr>
                <w:rFonts w:hint="default" w:ascii="Arial" w:hAnsi="Arial" w:cs="Arial"/>
                <w:i w:val="0"/>
                <w:iCs w:val="0"/>
                <w:color w:val="000000"/>
                <w:sz w:val="12"/>
                <w:szCs w:val="12"/>
                <w:u w:val="none"/>
              </w:rPr>
            </w:pPr>
          </w:p>
        </w:tc>
        <w:tc>
          <w:tcPr>
            <w:tcW w:w="1119" w:type="dxa"/>
            <w:tcBorders>
              <w:top w:val="nil"/>
              <w:left w:val="nil"/>
              <w:bottom w:val="nil"/>
              <w:right w:val="nil"/>
            </w:tcBorders>
            <w:shd w:val="clear"/>
            <w:noWrap/>
            <w:vAlign w:val="bottom"/>
          </w:tcPr>
          <w:p>
            <w:pPr>
              <w:rPr>
                <w:rFonts w:hint="default" w:ascii="Arial" w:hAnsi="Arial" w:cs="Arial"/>
                <w:i w:val="0"/>
                <w:iCs w:val="0"/>
                <w:color w:val="000000"/>
                <w:sz w:val="12"/>
                <w:szCs w:val="12"/>
                <w:u w:val="none"/>
              </w:rPr>
            </w:pPr>
          </w:p>
        </w:tc>
        <w:tc>
          <w:tcPr>
            <w:tcW w:w="6259" w:type="dxa"/>
            <w:gridSpan w:val="9"/>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959"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科目编码</w:t>
            </w:r>
          </w:p>
        </w:tc>
        <w:tc>
          <w:tcPr>
            <w:tcW w:w="1777"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科目名称</w:t>
            </w:r>
          </w:p>
        </w:tc>
        <w:tc>
          <w:tcPr>
            <w:tcW w:w="775"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年初结转和结余</w:t>
            </w:r>
          </w:p>
        </w:tc>
        <w:tc>
          <w:tcPr>
            <w:tcW w:w="3153"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本年收入</w:t>
            </w:r>
          </w:p>
        </w:tc>
        <w:tc>
          <w:tcPr>
            <w:tcW w:w="3025"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本年支出</w:t>
            </w:r>
          </w:p>
        </w:tc>
        <w:tc>
          <w:tcPr>
            <w:tcW w:w="1200" w:type="dxa"/>
            <w:gridSpan w:val="4"/>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959"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77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24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合计</w:t>
            </w:r>
          </w:p>
        </w:tc>
        <w:tc>
          <w:tcPr>
            <w:tcW w:w="24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基本支出结转</w:t>
            </w:r>
          </w:p>
        </w:tc>
        <w:tc>
          <w:tcPr>
            <w:tcW w:w="29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项目支出结转和结余</w:t>
            </w:r>
          </w:p>
        </w:tc>
        <w:tc>
          <w:tcPr>
            <w:tcW w:w="111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合计</w:t>
            </w:r>
          </w:p>
        </w:tc>
        <w:tc>
          <w:tcPr>
            <w:tcW w:w="94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基本支出</w:t>
            </w:r>
          </w:p>
        </w:tc>
        <w:tc>
          <w:tcPr>
            <w:tcW w:w="109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项目支出</w:t>
            </w:r>
          </w:p>
        </w:tc>
        <w:tc>
          <w:tcPr>
            <w:tcW w:w="104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合计</w:t>
            </w:r>
          </w:p>
        </w:tc>
        <w:tc>
          <w:tcPr>
            <w:tcW w:w="87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基本支出</w:t>
            </w:r>
          </w:p>
        </w:tc>
        <w:tc>
          <w:tcPr>
            <w:tcW w:w="110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项目支出</w:t>
            </w:r>
          </w:p>
        </w:tc>
        <w:tc>
          <w:tcPr>
            <w:tcW w:w="24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合计</w:t>
            </w:r>
          </w:p>
        </w:tc>
        <w:tc>
          <w:tcPr>
            <w:tcW w:w="32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基本支出结转</w:t>
            </w:r>
          </w:p>
        </w:tc>
        <w:tc>
          <w:tcPr>
            <w:tcW w:w="64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项目支出结转和结余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7" w:hRule="atLeast"/>
          <w:jc w:val="center"/>
        </w:trPr>
        <w:tc>
          <w:tcPr>
            <w:tcW w:w="959"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77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24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24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29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11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94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09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04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87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10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24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32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32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项目支出结转</w:t>
            </w:r>
          </w:p>
        </w:tc>
        <w:tc>
          <w:tcPr>
            <w:tcW w:w="32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项目支出结余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959"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77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24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24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29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11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94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09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04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87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10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24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32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32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32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19"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类</w:t>
            </w:r>
          </w:p>
        </w:tc>
        <w:tc>
          <w:tcPr>
            <w:tcW w:w="32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款</w:t>
            </w:r>
          </w:p>
        </w:tc>
        <w:tc>
          <w:tcPr>
            <w:tcW w:w="32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项</w:t>
            </w:r>
          </w:p>
        </w:tc>
        <w:tc>
          <w:tcPr>
            <w:tcW w:w="177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栏次</w:t>
            </w:r>
          </w:p>
        </w:tc>
        <w:tc>
          <w:tcPr>
            <w:tcW w:w="2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1</w:t>
            </w:r>
          </w:p>
        </w:tc>
        <w:tc>
          <w:tcPr>
            <w:tcW w:w="2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2</w:t>
            </w:r>
          </w:p>
        </w:tc>
        <w:tc>
          <w:tcPr>
            <w:tcW w:w="2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w:t>
            </w:r>
          </w:p>
        </w:tc>
        <w:tc>
          <w:tcPr>
            <w:tcW w:w="11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4</w:t>
            </w:r>
          </w:p>
        </w:tc>
        <w:tc>
          <w:tcPr>
            <w:tcW w:w="9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5</w:t>
            </w:r>
          </w:p>
        </w:tc>
        <w:tc>
          <w:tcPr>
            <w:tcW w:w="109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6</w:t>
            </w:r>
          </w:p>
        </w:tc>
        <w:tc>
          <w:tcPr>
            <w:tcW w:w="10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7</w:t>
            </w:r>
          </w:p>
        </w:tc>
        <w:tc>
          <w:tcPr>
            <w:tcW w:w="87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8</w:t>
            </w:r>
          </w:p>
        </w:tc>
        <w:tc>
          <w:tcPr>
            <w:tcW w:w="11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9</w:t>
            </w:r>
          </w:p>
        </w:tc>
        <w:tc>
          <w:tcPr>
            <w:tcW w:w="2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10</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11</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12</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19"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32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32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77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合计</w:t>
            </w:r>
          </w:p>
        </w:tc>
        <w:tc>
          <w:tcPr>
            <w:tcW w:w="2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2"/>
                <w:szCs w:val="12"/>
                <w:u w:val="none"/>
              </w:rPr>
            </w:pP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2"/>
                <w:szCs w:val="12"/>
                <w:u w:val="none"/>
              </w:rPr>
            </w:pPr>
          </w:p>
        </w:tc>
        <w:tc>
          <w:tcPr>
            <w:tcW w:w="29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2"/>
                <w:szCs w:val="12"/>
                <w:u w:val="none"/>
              </w:rPr>
            </w:pPr>
          </w:p>
        </w:tc>
        <w:tc>
          <w:tcPr>
            <w:tcW w:w="11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spacing w:val="0"/>
                <w:w w:val="100"/>
                <w:kern w:val="0"/>
                <w:position w:val="0"/>
                <w:sz w:val="12"/>
                <w:szCs w:val="12"/>
                <w:u w:val="none"/>
                <w:bdr w:val="none" w:color="auto" w:sz="0" w:space="0"/>
                <w:shd w:val="clear" w:color="auto" w:fill="auto"/>
                <w:lang w:val="en-US" w:eastAsia="zh-CN" w:bidi="ar"/>
              </w:rPr>
              <w:t>118,898,409.62</w:t>
            </w:r>
          </w:p>
        </w:tc>
        <w:tc>
          <w:tcPr>
            <w:tcW w:w="9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spacing w:val="0"/>
                <w:w w:val="100"/>
                <w:kern w:val="0"/>
                <w:position w:val="0"/>
                <w:sz w:val="12"/>
                <w:szCs w:val="12"/>
                <w:u w:val="none"/>
                <w:bdr w:val="none" w:color="auto" w:sz="0" w:space="0"/>
                <w:shd w:val="clear" w:color="auto" w:fill="auto"/>
                <w:lang w:val="en-US" w:eastAsia="zh-CN" w:bidi="ar"/>
              </w:rPr>
              <w:t>4,987,324.12</w:t>
            </w:r>
          </w:p>
        </w:tc>
        <w:tc>
          <w:tcPr>
            <w:tcW w:w="109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spacing w:val="0"/>
                <w:w w:val="100"/>
                <w:kern w:val="0"/>
                <w:position w:val="0"/>
                <w:sz w:val="12"/>
                <w:szCs w:val="12"/>
                <w:u w:val="none"/>
                <w:bdr w:val="none" w:color="auto" w:sz="0" w:space="0"/>
                <w:shd w:val="clear" w:color="auto" w:fill="auto"/>
                <w:lang w:val="en-US" w:eastAsia="zh-CN" w:bidi="ar"/>
              </w:rPr>
              <w:t>113,911,085.50</w:t>
            </w:r>
          </w:p>
        </w:tc>
        <w:tc>
          <w:tcPr>
            <w:tcW w:w="10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spacing w:val="0"/>
                <w:w w:val="100"/>
                <w:kern w:val="0"/>
                <w:position w:val="0"/>
                <w:sz w:val="12"/>
                <w:szCs w:val="12"/>
                <w:u w:val="none"/>
                <w:bdr w:val="none" w:color="auto" w:sz="0" w:space="0"/>
                <w:shd w:val="clear" w:color="auto" w:fill="auto"/>
                <w:lang w:val="en-US" w:eastAsia="zh-CN" w:bidi="ar"/>
              </w:rPr>
              <w:t>118,898,409.62</w:t>
            </w:r>
          </w:p>
        </w:tc>
        <w:tc>
          <w:tcPr>
            <w:tcW w:w="8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spacing w:val="0"/>
                <w:w w:val="100"/>
                <w:kern w:val="0"/>
                <w:position w:val="0"/>
                <w:sz w:val="12"/>
                <w:szCs w:val="12"/>
                <w:u w:val="none"/>
                <w:bdr w:val="none" w:color="auto" w:sz="0" w:space="0"/>
                <w:shd w:val="clear" w:color="auto" w:fill="auto"/>
                <w:lang w:val="en-US" w:eastAsia="zh-CN" w:bidi="ar"/>
              </w:rPr>
              <w:t>4,987,324.12</w:t>
            </w:r>
          </w:p>
        </w:tc>
        <w:tc>
          <w:tcPr>
            <w:tcW w:w="110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spacing w:val="0"/>
                <w:w w:val="100"/>
                <w:kern w:val="0"/>
                <w:position w:val="0"/>
                <w:sz w:val="12"/>
                <w:szCs w:val="12"/>
                <w:u w:val="none"/>
                <w:bdr w:val="none" w:color="auto" w:sz="0" w:space="0"/>
                <w:shd w:val="clear" w:color="auto" w:fill="auto"/>
                <w:lang w:val="en-US" w:eastAsia="zh-CN" w:bidi="ar"/>
              </w:rPr>
              <w:t>113,911,085.50</w:t>
            </w: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95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201</w:t>
            </w:r>
          </w:p>
        </w:tc>
        <w:tc>
          <w:tcPr>
            <w:tcW w:w="17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一般公共服务支出</w:t>
            </w:r>
          </w:p>
        </w:tc>
        <w:tc>
          <w:tcPr>
            <w:tcW w:w="2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9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1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35,054.00</w:t>
            </w:r>
          </w:p>
        </w:tc>
        <w:tc>
          <w:tcPr>
            <w:tcW w:w="9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35,054.00</w:t>
            </w:r>
          </w:p>
        </w:tc>
        <w:tc>
          <w:tcPr>
            <w:tcW w:w="109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0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35,054.00</w:t>
            </w:r>
          </w:p>
        </w:tc>
        <w:tc>
          <w:tcPr>
            <w:tcW w:w="8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35,054.00</w:t>
            </w:r>
          </w:p>
        </w:tc>
        <w:tc>
          <w:tcPr>
            <w:tcW w:w="110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95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20129</w:t>
            </w:r>
          </w:p>
        </w:tc>
        <w:tc>
          <w:tcPr>
            <w:tcW w:w="17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群众团体事务</w:t>
            </w:r>
          </w:p>
        </w:tc>
        <w:tc>
          <w:tcPr>
            <w:tcW w:w="2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9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1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35,054.00</w:t>
            </w:r>
          </w:p>
        </w:tc>
        <w:tc>
          <w:tcPr>
            <w:tcW w:w="9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35,054.00</w:t>
            </w:r>
          </w:p>
        </w:tc>
        <w:tc>
          <w:tcPr>
            <w:tcW w:w="109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0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35,054.00</w:t>
            </w:r>
          </w:p>
        </w:tc>
        <w:tc>
          <w:tcPr>
            <w:tcW w:w="8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35,054.00</w:t>
            </w:r>
          </w:p>
        </w:tc>
        <w:tc>
          <w:tcPr>
            <w:tcW w:w="110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95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2012906</w:t>
            </w:r>
          </w:p>
        </w:tc>
        <w:tc>
          <w:tcPr>
            <w:tcW w:w="17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工会事务</w:t>
            </w:r>
          </w:p>
        </w:tc>
        <w:tc>
          <w:tcPr>
            <w:tcW w:w="2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9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1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35,054.00</w:t>
            </w:r>
          </w:p>
        </w:tc>
        <w:tc>
          <w:tcPr>
            <w:tcW w:w="9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35,054.00</w:t>
            </w:r>
          </w:p>
        </w:tc>
        <w:tc>
          <w:tcPr>
            <w:tcW w:w="109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0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35,054.00</w:t>
            </w:r>
          </w:p>
        </w:tc>
        <w:tc>
          <w:tcPr>
            <w:tcW w:w="8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35,054.00</w:t>
            </w:r>
          </w:p>
        </w:tc>
        <w:tc>
          <w:tcPr>
            <w:tcW w:w="110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95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208</w:t>
            </w:r>
          </w:p>
        </w:tc>
        <w:tc>
          <w:tcPr>
            <w:tcW w:w="17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社会保障和就业支出</w:t>
            </w:r>
          </w:p>
        </w:tc>
        <w:tc>
          <w:tcPr>
            <w:tcW w:w="2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9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1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444,879.12</w:t>
            </w:r>
          </w:p>
        </w:tc>
        <w:tc>
          <w:tcPr>
            <w:tcW w:w="9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444,879.12</w:t>
            </w:r>
          </w:p>
        </w:tc>
        <w:tc>
          <w:tcPr>
            <w:tcW w:w="109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0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444,879.12</w:t>
            </w:r>
          </w:p>
        </w:tc>
        <w:tc>
          <w:tcPr>
            <w:tcW w:w="8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444,879.12</w:t>
            </w:r>
          </w:p>
        </w:tc>
        <w:tc>
          <w:tcPr>
            <w:tcW w:w="110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95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20805</w:t>
            </w:r>
          </w:p>
        </w:tc>
        <w:tc>
          <w:tcPr>
            <w:tcW w:w="17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行政事业单位养老支出</w:t>
            </w:r>
          </w:p>
        </w:tc>
        <w:tc>
          <w:tcPr>
            <w:tcW w:w="2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9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1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444,879.12</w:t>
            </w:r>
          </w:p>
        </w:tc>
        <w:tc>
          <w:tcPr>
            <w:tcW w:w="9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444,879.12</w:t>
            </w:r>
          </w:p>
        </w:tc>
        <w:tc>
          <w:tcPr>
            <w:tcW w:w="109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0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444,879.12</w:t>
            </w:r>
          </w:p>
        </w:tc>
        <w:tc>
          <w:tcPr>
            <w:tcW w:w="8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444,879.12</w:t>
            </w:r>
          </w:p>
        </w:tc>
        <w:tc>
          <w:tcPr>
            <w:tcW w:w="110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95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2080505</w:t>
            </w:r>
          </w:p>
        </w:tc>
        <w:tc>
          <w:tcPr>
            <w:tcW w:w="17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机关事业单位基本养老保险缴费支出</w:t>
            </w:r>
          </w:p>
        </w:tc>
        <w:tc>
          <w:tcPr>
            <w:tcW w:w="2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9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1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444,879.12</w:t>
            </w:r>
          </w:p>
        </w:tc>
        <w:tc>
          <w:tcPr>
            <w:tcW w:w="9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444,879.12</w:t>
            </w:r>
          </w:p>
        </w:tc>
        <w:tc>
          <w:tcPr>
            <w:tcW w:w="109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0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444,879.12</w:t>
            </w:r>
          </w:p>
        </w:tc>
        <w:tc>
          <w:tcPr>
            <w:tcW w:w="8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444,879.12</w:t>
            </w:r>
          </w:p>
        </w:tc>
        <w:tc>
          <w:tcPr>
            <w:tcW w:w="110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95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210</w:t>
            </w:r>
          </w:p>
        </w:tc>
        <w:tc>
          <w:tcPr>
            <w:tcW w:w="17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卫生健康支出</w:t>
            </w:r>
          </w:p>
        </w:tc>
        <w:tc>
          <w:tcPr>
            <w:tcW w:w="2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9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1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118,319,476.50</w:t>
            </w:r>
          </w:p>
        </w:tc>
        <w:tc>
          <w:tcPr>
            <w:tcW w:w="9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4,408,391.00</w:t>
            </w:r>
          </w:p>
        </w:tc>
        <w:tc>
          <w:tcPr>
            <w:tcW w:w="109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113,911,085.50</w:t>
            </w:r>
          </w:p>
        </w:tc>
        <w:tc>
          <w:tcPr>
            <w:tcW w:w="10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118,319,476.50</w:t>
            </w:r>
          </w:p>
        </w:tc>
        <w:tc>
          <w:tcPr>
            <w:tcW w:w="8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4,408,391.00</w:t>
            </w:r>
          </w:p>
        </w:tc>
        <w:tc>
          <w:tcPr>
            <w:tcW w:w="110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113,911,085.50</w:t>
            </w: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95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21012</w:t>
            </w:r>
          </w:p>
        </w:tc>
        <w:tc>
          <w:tcPr>
            <w:tcW w:w="17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财政对基本医疗保险基金的补助</w:t>
            </w:r>
          </w:p>
        </w:tc>
        <w:tc>
          <w:tcPr>
            <w:tcW w:w="2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9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1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8,681,289.40</w:t>
            </w:r>
          </w:p>
        </w:tc>
        <w:tc>
          <w:tcPr>
            <w:tcW w:w="9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174,869.40</w:t>
            </w:r>
          </w:p>
        </w:tc>
        <w:tc>
          <w:tcPr>
            <w:tcW w:w="109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8,506,420.00</w:t>
            </w:r>
          </w:p>
        </w:tc>
        <w:tc>
          <w:tcPr>
            <w:tcW w:w="10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8,681,289.40</w:t>
            </w:r>
          </w:p>
        </w:tc>
        <w:tc>
          <w:tcPr>
            <w:tcW w:w="8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174,869.40</w:t>
            </w:r>
          </w:p>
        </w:tc>
        <w:tc>
          <w:tcPr>
            <w:tcW w:w="110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8,506,420.00</w:t>
            </w: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95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2101201</w:t>
            </w:r>
          </w:p>
        </w:tc>
        <w:tc>
          <w:tcPr>
            <w:tcW w:w="17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财政对职工基本医疗保险基金的补助</w:t>
            </w:r>
          </w:p>
        </w:tc>
        <w:tc>
          <w:tcPr>
            <w:tcW w:w="2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9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1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174,869.40</w:t>
            </w:r>
          </w:p>
        </w:tc>
        <w:tc>
          <w:tcPr>
            <w:tcW w:w="9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174,869.40</w:t>
            </w:r>
          </w:p>
        </w:tc>
        <w:tc>
          <w:tcPr>
            <w:tcW w:w="109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0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174,869.40</w:t>
            </w:r>
          </w:p>
        </w:tc>
        <w:tc>
          <w:tcPr>
            <w:tcW w:w="8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174,869.40</w:t>
            </w:r>
          </w:p>
        </w:tc>
        <w:tc>
          <w:tcPr>
            <w:tcW w:w="110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95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2101202</w:t>
            </w:r>
          </w:p>
        </w:tc>
        <w:tc>
          <w:tcPr>
            <w:tcW w:w="17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财政对城乡居民基本医疗保险基金的补助</w:t>
            </w:r>
          </w:p>
        </w:tc>
        <w:tc>
          <w:tcPr>
            <w:tcW w:w="2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9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1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3,446,420.00</w:t>
            </w:r>
          </w:p>
        </w:tc>
        <w:tc>
          <w:tcPr>
            <w:tcW w:w="9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09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3,446,420.00</w:t>
            </w:r>
          </w:p>
        </w:tc>
        <w:tc>
          <w:tcPr>
            <w:tcW w:w="10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3,446,420.00</w:t>
            </w:r>
          </w:p>
        </w:tc>
        <w:tc>
          <w:tcPr>
            <w:tcW w:w="8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10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3,446,420.00</w:t>
            </w: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95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2101299</w:t>
            </w:r>
          </w:p>
        </w:tc>
        <w:tc>
          <w:tcPr>
            <w:tcW w:w="17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财政对其他基本医疗保险基金的补助</w:t>
            </w:r>
          </w:p>
        </w:tc>
        <w:tc>
          <w:tcPr>
            <w:tcW w:w="2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9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1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5,060,000.00</w:t>
            </w:r>
          </w:p>
        </w:tc>
        <w:tc>
          <w:tcPr>
            <w:tcW w:w="9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09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5,060,000.00</w:t>
            </w:r>
          </w:p>
        </w:tc>
        <w:tc>
          <w:tcPr>
            <w:tcW w:w="10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5,060,000.00</w:t>
            </w:r>
          </w:p>
        </w:tc>
        <w:tc>
          <w:tcPr>
            <w:tcW w:w="8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10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5,060,000.00</w:t>
            </w: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95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21013</w:t>
            </w:r>
          </w:p>
        </w:tc>
        <w:tc>
          <w:tcPr>
            <w:tcW w:w="17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医疗救助</w:t>
            </w:r>
          </w:p>
        </w:tc>
        <w:tc>
          <w:tcPr>
            <w:tcW w:w="2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9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1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104,959,389.50</w:t>
            </w:r>
          </w:p>
        </w:tc>
        <w:tc>
          <w:tcPr>
            <w:tcW w:w="9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09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104,959,389.50</w:t>
            </w:r>
          </w:p>
        </w:tc>
        <w:tc>
          <w:tcPr>
            <w:tcW w:w="10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104,959,389.50</w:t>
            </w:r>
          </w:p>
        </w:tc>
        <w:tc>
          <w:tcPr>
            <w:tcW w:w="8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10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104,959,389.50</w:t>
            </w: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95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2101301</w:t>
            </w:r>
          </w:p>
        </w:tc>
        <w:tc>
          <w:tcPr>
            <w:tcW w:w="17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城乡医疗救助</w:t>
            </w:r>
          </w:p>
        </w:tc>
        <w:tc>
          <w:tcPr>
            <w:tcW w:w="2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9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1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104,959,389.50</w:t>
            </w:r>
          </w:p>
        </w:tc>
        <w:tc>
          <w:tcPr>
            <w:tcW w:w="9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09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104,959,389.50</w:t>
            </w:r>
          </w:p>
        </w:tc>
        <w:tc>
          <w:tcPr>
            <w:tcW w:w="10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104,959,389.50</w:t>
            </w:r>
          </w:p>
        </w:tc>
        <w:tc>
          <w:tcPr>
            <w:tcW w:w="8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10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104,959,389.50</w:t>
            </w: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95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21015</w:t>
            </w:r>
          </w:p>
        </w:tc>
        <w:tc>
          <w:tcPr>
            <w:tcW w:w="17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医疗保障管理事务</w:t>
            </w:r>
          </w:p>
        </w:tc>
        <w:tc>
          <w:tcPr>
            <w:tcW w:w="2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9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1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4,678,797.60</w:t>
            </w:r>
          </w:p>
        </w:tc>
        <w:tc>
          <w:tcPr>
            <w:tcW w:w="9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4,233,521.60</w:t>
            </w:r>
          </w:p>
        </w:tc>
        <w:tc>
          <w:tcPr>
            <w:tcW w:w="109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445,276.00</w:t>
            </w:r>
          </w:p>
        </w:tc>
        <w:tc>
          <w:tcPr>
            <w:tcW w:w="10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4,678,797.60</w:t>
            </w:r>
          </w:p>
        </w:tc>
        <w:tc>
          <w:tcPr>
            <w:tcW w:w="8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4,233,521.60</w:t>
            </w:r>
          </w:p>
        </w:tc>
        <w:tc>
          <w:tcPr>
            <w:tcW w:w="110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445,276.00</w:t>
            </w: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95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2101501</w:t>
            </w:r>
          </w:p>
        </w:tc>
        <w:tc>
          <w:tcPr>
            <w:tcW w:w="17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行政运行</w:t>
            </w:r>
          </w:p>
        </w:tc>
        <w:tc>
          <w:tcPr>
            <w:tcW w:w="2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9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1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4,448,797.60</w:t>
            </w:r>
          </w:p>
        </w:tc>
        <w:tc>
          <w:tcPr>
            <w:tcW w:w="9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4,003,521.60</w:t>
            </w:r>
          </w:p>
        </w:tc>
        <w:tc>
          <w:tcPr>
            <w:tcW w:w="109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445,276.00</w:t>
            </w:r>
          </w:p>
        </w:tc>
        <w:tc>
          <w:tcPr>
            <w:tcW w:w="10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4,448,797.60</w:t>
            </w:r>
          </w:p>
        </w:tc>
        <w:tc>
          <w:tcPr>
            <w:tcW w:w="8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4,003,521.60</w:t>
            </w:r>
          </w:p>
        </w:tc>
        <w:tc>
          <w:tcPr>
            <w:tcW w:w="110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445,276.00</w:t>
            </w: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95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2101599</w:t>
            </w:r>
          </w:p>
        </w:tc>
        <w:tc>
          <w:tcPr>
            <w:tcW w:w="17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其他医疗保障管理事务支出</w:t>
            </w:r>
          </w:p>
        </w:tc>
        <w:tc>
          <w:tcPr>
            <w:tcW w:w="2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9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1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230,000.00</w:t>
            </w:r>
          </w:p>
        </w:tc>
        <w:tc>
          <w:tcPr>
            <w:tcW w:w="9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230,000.00</w:t>
            </w:r>
          </w:p>
        </w:tc>
        <w:tc>
          <w:tcPr>
            <w:tcW w:w="109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0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230,000.00</w:t>
            </w:r>
          </w:p>
        </w:tc>
        <w:tc>
          <w:tcPr>
            <w:tcW w:w="8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230,000.00</w:t>
            </w:r>
          </w:p>
        </w:tc>
        <w:tc>
          <w:tcPr>
            <w:tcW w:w="110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95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213</w:t>
            </w:r>
          </w:p>
        </w:tc>
        <w:tc>
          <w:tcPr>
            <w:tcW w:w="17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农林水支出</w:t>
            </w:r>
          </w:p>
        </w:tc>
        <w:tc>
          <w:tcPr>
            <w:tcW w:w="2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9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1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99,000.00</w:t>
            </w:r>
          </w:p>
        </w:tc>
        <w:tc>
          <w:tcPr>
            <w:tcW w:w="9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99,000.00</w:t>
            </w:r>
          </w:p>
        </w:tc>
        <w:tc>
          <w:tcPr>
            <w:tcW w:w="109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0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99,000.00</w:t>
            </w:r>
          </w:p>
        </w:tc>
        <w:tc>
          <w:tcPr>
            <w:tcW w:w="8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99,000.00</w:t>
            </w:r>
          </w:p>
        </w:tc>
        <w:tc>
          <w:tcPr>
            <w:tcW w:w="110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95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21305</w:t>
            </w:r>
          </w:p>
        </w:tc>
        <w:tc>
          <w:tcPr>
            <w:tcW w:w="17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扶贫</w:t>
            </w:r>
          </w:p>
        </w:tc>
        <w:tc>
          <w:tcPr>
            <w:tcW w:w="2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9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1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99,000.00</w:t>
            </w:r>
          </w:p>
        </w:tc>
        <w:tc>
          <w:tcPr>
            <w:tcW w:w="9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99,000.00</w:t>
            </w:r>
          </w:p>
        </w:tc>
        <w:tc>
          <w:tcPr>
            <w:tcW w:w="109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0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99,000.00</w:t>
            </w:r>
          </w:p>
        </w:tc>
        <w:tc>
          <w:tcPr>
            <w:tcW w:w="8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99,000.00</w:t>
            </w:r>
          </w:p>
        </w:tc>
        <w:tc>
          <w:tcPr>
            <w:tcW w:w="110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95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2130501</w:t>
            </w:r>
          </w:p>
        </w:tc>
        <w:tc>
          <w:tcPr>
            <w:tcW w:w="17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行政运行</w:t>
            </w:r>
          </w:p>
        </w:tc>
        <w:tc>
          <w:tcPr>
            <w:tcW w:w="24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9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11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99,000.00</w:t>
            </w:r>
          </w:p>
        </w:tc>
        <w:tc>
          <w:tcPr>
            <w:tcW w:w="9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99,000.00</w:t>
            </w:r>
          </w:p>
        </w:tc>
        <w:tc>
          <w:tcPr>
            <w:tcW w:w="109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0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99,000.00</w:t>
            </w:r>
          </w:p>
        </w:tc>
        <w:tc>
          <w:tcPr>
            <w:tcW w:w="8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99,000.00</w:t>
            </w:r>
          </w:p>
        </w:tc>
        <w:tc>
          <w:tcPr>
            <w:tcW w:w="110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0889" w:type="dxa"/>
            <w:gridSpan w:val="17"/>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注：1.本表依据《一般公共预算财政拨款收入支出决算表》（财决07表）进行批复。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0889" w:type="dxa"/>
            <w:gridSpan w:val="17"/>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2.本表批复到项级科目。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0889" w:type="dxa"/>
            <w:gridSpan w:val="17"/>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3.本表以“万元”为金额单位（保留两位小数）。</w:t>
            </w:r>
          </w:p>
        </w:tc>
      </w:tr>
    </w:tbl>
    <w:p>
      <w:pPr>
        <w:pStyle w:val="15"/>
        <w:keepNext w:val="0"/>
        <w:keepLines w:val="0"/>
        <w:pageBreakBefore w:val="0"/>
        <w:widowControl w:val="0"/>
        <w:numPr>
          <w:numId w:val="0"/>
        </w:numPr>
        <w:shd w:val="clear" w:color="auto" w:fill="auto"/>
        <w:tabs>
          <w:tab w:val="left" w:pos="822"/>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tbl>
      <w:tblPr>
        <w:tblW w:w="84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54"/>
        <w:gridCol w:w="1646"/>
        <w:gridCol w:w="788"/>
        <w:gridCol w:w="454"/>
        <w:gridCol w:w="1170"/>
        <w:gridCol w:w="788"/>
        <w:gridCol w:w="454"/>
        <w:gridCol w:w="2028"/>
        <w:gridCol w:w="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8445" w:type="dxa"/>
            <w:gridSpan w:val="9"/>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bdr w:val="none" w:color="auto" w:sz="0" w:space="0"/>
                <w:shd w:val="clear" w:color="auto" w:fill="auto"/>
                <w:lang w:val="en-US" w:eastAsia="zh-CN" w:bidi="ar"/>
              </w:rPr>
              <w:t>一般公共预算财政拨款基本支出决算明细批复表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12"/>
                <w:szCs w:val="12"/>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12"/>
                <w:szCs w:val="12"/>
                <w:u w:val="none"/>
              </w:rPr>
            </w:pPr>
          </w:p>
        </w:tc>
        <w:tc>
          <w:tcPr>
            <w:tcW w:w="0" w:type="auto"/>
            <w:gridSpan w:val="4"/>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财决批复06表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rPr>
                <w:rFonts w:hint="eastAsia" w:ascii="宋体" w:hAnsi="宋体" w:eastAsia="宋体" w:cs="宋体"/>
                <w:i w:val="0"/>
                <w:iCs w:val="0"/>
                <w:color w:val="000000"/>
                <w:sz w:val="12"/>
                <w:szCs w:val="12"/>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12"/>
                <w:szCs w:val="12"/>
                <w:u w:val="none"/>
              </w:rPr>
            </w:pPr>
          </w:p>
        </w:tc>
        <w:tc>
          <w:tcPr>
            <w:tcW w:w="0" w:type="auto"/>
            <w:gridSpan w:val="4"/>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435"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科目编码</w:t>
            </w:r>
          </w:p>
        </w:tc>
        <w:tc>
          <w:tcPr>
            <w:tcW w:w="14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科目名称</w:t>
            </w:r>
          </w:p>
        </w:tc>
        <w:tc>
          <w:tcPr>
            <w:tcW w:w="9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决算数</w:t>
            </w:r>
          </w:p>
        </w:tc>
        <w:tc>
          <w:tcPr>
            <w:tcW w:w="7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科目编码</w:t>
            </w:r>
          </w:p>
        </w:tc>
        <w:tc>
          <w:tcPr>
            <w:tcW w:w="94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科目名称</w:t>
            </w:r>
          </w:p>
        </w:tc>
        <w:tc>
          <w:tcPr>
            <w:tcW w:w="9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决算数</w:t>
            </w:r>
          </w:p>
        </w:tc>
        <w:tc>
          <w:tcPr>
            <w:tcW w:w="7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科目编码</w:t>
            </w:r>
          </w:p>
        </w:tc>
        <w:tc>
          <w:tcPr>
            <w:tcW w:w="139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科目名称</w:t>
            </w:r>
          </w:p>
        </w:tc>
        <w:tc>
          <w:tcPr>
            <w:tcW w:w="8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435"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4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9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7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94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9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7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39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8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工资福利支出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3,694,324.02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商品和服务支出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1,115,250.10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债务利息及费用支出</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30101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基本工资</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2,805,549.50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30201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办公费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176,420.58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30701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国内债务付息</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30102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津贴补贴</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152,250.00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30202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印刷费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35,000.00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30702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国外债务付息</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30103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奖金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116,776.00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30203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咨询费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资本性支出</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30106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伙食补助费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30204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手续费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31001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房屋建筑物购建</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30107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绩效工资</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30205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1,600.00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31002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办公设备购置</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30108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444,879.12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30206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电费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28,377.52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31003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专用设备购置</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30109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职业年金缴费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30207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邮电费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1,018.00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31005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基础设施建设</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30110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174,869.40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30208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取暖费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28,800.00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31006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大型修缮</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30111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30209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物业管理费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31007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30112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30211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差旅费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183,980.00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31008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物资储备</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30113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住房公积金</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30212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31009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土地补偿</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30114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医疗费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30213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维修（护）费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31010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安置补助</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30199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30214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租赁费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31011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对个人和家庭的补助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177,750.00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30215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会议费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31012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拆迁补偿</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离休费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30216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培训费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31013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公务用车购置</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退休费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1,750.00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30217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公务接待费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31019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退职（役）费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30218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专用材料费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31021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30304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抚恤金</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30224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被装购置费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31022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无形资产购置</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30305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生活补助</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30225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专用燃料费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31099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30306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救济费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30226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劳务费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63,000.00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其他支出</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医疗费补助</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30227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委托业务费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415,000.00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39906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赠与</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30308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助学金</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30228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工会经费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35,054.00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39907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30309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奖励金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176,000.00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30229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福利费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39908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30231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39999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其他支出</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30311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代缴社会保险费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30239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其他交通费用</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147,000.00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30240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30299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人员经费合计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3,872,074.02</w:t>
            </w:r>
          </w:p>
        </w:tc>
        <w:tc>
          <w:tcPr>
            <w:tcW w:w="0" w:type="auto"/>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公用经费合计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1,115,250.10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注：1.本表依据《一般公共预算财政拨款基本支出决算明细表》（财决08-1表）进行批复。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2.本表以“万元”为金额单位（保留两位小数）。</w:t>
            </w:r>
          </w:p>
        </w:tc>
      </w:tr>
    </w:tbl>
    <w:p>
      <w:pPr>
        <w:pStyle w:val="15"/>
        <w:keepNext w:val="0"/>
        <w:keepLines w:val="0"/>
        <w:pageBreakBefore w:val="0"/>
        <w:widowControl w:val="0"/>
        <w:numPr>
          <w:numId w:val="0"/>
        </w:numPr>
        <w:shd w:val="clear" w:color="auto" w:fill="auto"/>
        <w:tabs>
          <w:tab w:val="left" w:pos="822"/>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仿宋_GB2312" w:hAnsi="仿宋_GB2312" w:eastAsia="仿宋_GB2312" w:cs="仿宋_GB2312"/>
          <w:color w:val="000000"/>
          <w:spacing w:val="0"/>
          <w:w w:val="100"/>
          <w:position w:val="0"/>
          <w:sz w:val="32"/>
          <w:szCs w:val="32"/>
          <w:lang w:eastAsia="zh-CN"/>
        </w:rPr>
      </w:pPr>
    </w:p>
    <w:p>
      <w:pPr>
        <w:pStyle w:val="15"/>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5"/>
        <w:keepNext w:val="0"/>
        <w:keepLines w:val="0"/>
        <w:pageBreakBefore w:val="0"/>
        <w:widowControl w:val="0"/>
        <w:numPr>
          <w:numId w:val="0"/>
        </w:numPr>
        <w:shd w:val="clear" w:color="auto" w:fill="auto"/>
        <w:tabs>
          <w:tab w:val="left" w:pos="822"/>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无</w:t>
      </w:r>
    </w:p>
    <w:p>
      <w:pPr>
        <w:pStyle w:val="15"/>
        <w:keepNext w:val="0"/>
        <w:keepLines w:val="0"/>
        <w:pageBreakBefore w:val="0"/>
        <w:widowControl w:val="0"/>
        <w:numPr>
          <w:numId w:val="0"/>
        </w:numPr>
        <w:shd w:val="clear" w:color="auto" w:fill="auto"/>
        <w:tabs>
          <w:tab w:val="left" w:pos="822"/>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政府性基金预算财政拨款收入支出决算表</w:t>
      </w:r>
    </w:p>
    <w:tbl>
      <w:tblPr>
        <w:tblW w:w="108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336"/>
        <w:gridCol w:w="336"/>
        <w:gridCol w:w="336"/>
        <w:gridCol w:w="1540"/>
        <w:gridCol w:w="585"/>
        <w:gridCol w:w="470"/>
        <w:gridCol w:w="369"/>
        <w:gridCol w:w="928"/>
        <w:gridCol w:w="457"/>
        <w:gridCol w:w="1004"/>
        <w:gridCol w:w="979"/>
        <w:gridCol w:w="471"/>
        <w:gridCol w:w="1055"/>
        <w:gridCol w:w="457"/>
        <w:gridCol w:w="280"/>
        <w:gridCol w:w="837"/>
        <w:gridCol w:w="3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10830" w:type="dxa"/>
            <w:gridSpan w:val="17"/>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政府性基金预算财政拨款收入支出决算批复表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336" w:type="dxa"/>
            <w:tcBorders>
              <w:top w:val="nil"/>
              <w:left w:val="nil"/>
              <w:bottom w:val="nil"/>
              <w:right w:val="nil"/>
            </w:tcBorders>
            <w:shd w:val="clear"/>
            <w:noWrap/>
            <w:vAlign w:val="bottom"/>
          </w:tcPr>
          <w:p>
            <w:pPr>
              <w:rPr>
                <w:rFonts w:hint="eastAsia" w:ascii="Arial" w:hAnsi="Arial" w:cs="Arial"/>
                <w:i w:val="0"/>
                <w:iCs w:val="0"/>
                <w:color w:val="000000"/>
                <w:sz w:val="12"/>
                <w:szCs w:val="12"/>
                <w:u w:val="none"/>
              </w:rPr>
            </w:pPr>
          </w:p>
        </w:tc>
        <w:tc>
          <w:tcPr>
            <w:tcW w:w="336" w:type="dxa"/>
            <w:tcBorders>
              <w:top w:val="nil"/>
              <w:left w:val="nil"/>
              <w:bottom w:val="nil"/>
              <w:right w:val="nil"/>
            </w:tcBorders>
            <w:shd w:val="clear"/>
            <w:noWrap/>
            <w:vAlign w:val="bottom"/>
          </w:tcPr>
          <w:p>
            <w:pPr>
              <w:rPr>
                <w:rFonts w:hint="default" w:ascii="Arial" w:hAnsi="Arial" w:cs="Arial"/>
                <w:i w:val="0"/>
                <w:iCs w:val="0"/>
                <w:color w:val="000000"/>
                <w:sz w:val="12"/>
                <w:szCs w:val="12"/>
                <w:u w:val="none"/>
              </w:rPr>
            </w:pPr>
          </w:p>
        </w:tc>
        <w:tc>
          <w:tcPr>
            <w:tcW w:w="336" w:type="dxa"/>
            <w:tcBorders>
              <w:top w:val="nil"/>
              <w:left w:val="nil"/>
              <w:bottom w:val="nil"/>
              <w:right w:val="nil"/>
            </w:tcBorders>
            <w:shd w:val="clear"/>
            <w:noWrap/>
            <w:vAlign w:val="bottom"/>
          </w:tcPr>
          <w:p>
            <w:pPr>
              <w:rPr>
                <w:rFonts w:hint="default" w:ascii="Arial" w:hAnsi="Arial" w:cs="Arial"/>
                <w:i w:val="0"/>
                <w:iCs w:val="0"/>
                <w:color w:val="000000"/>
                <w:sz w:val="12"/>
                <w:szCs w:val="12"/>
                <w:u w:val="none"/>
              </w:rPr>
            </w:pPr>
          </w:p>
        </w:tc>
        <w:tc>
          <w:tcPr>
            <w:tcW w:w="1540" w:type="dxa"/>
            <w:tcBorders>
              <w:top w:val="nil"/>
              <w:left w:val="nil"/>
              <w:bottom w:val="nil"/>
              <w:right w:val="nil"/>
            </w:tcBorders>
            <w:shd w:val="clear"/>
            <w:noWrap/>
            <w:vAlign w:val="bottom"/>
          </w:tcPr>
          <w:p>
            <w:pPr>
              <w:rPr>
                <w:rFonts w:hint="default" w:ascii="Arial" w:hAnsi="Arial" w:cs="Arial"/>
                <w:i w:val="0"/>
                <w:iCs w:val="0"/>
                <w:color w:val="000000"/>
                <w:sz w:val="12"/>
                <w:szCs w:val="12"/>
                <w:u w:val="none"/>
              </w:rPr>
            </w:pPr>
          </w:p>
        </w:tc>
        <w:tc>
          <w:tcPr>
            <w:tcW w:w="585" w:type="dxa"/>
            <w:tcBorders>
              <w:top w:val="nil"/>
              <w:left w:val="nil"/>
              <w:bottom w:val="nil"/>
              <w:right w:val="nil"/>
            </w:tcBorders>
            <w:shd w:val="clear"/>
            <w:noWrap/>
            <w:vAlign w:val="bottom"/>
          </w:tcPr>
          <w:p>
            <w:pPr>
              <w:rPr>
                <w:rFonts w:hint="default" w:ascii="Arial" w:hAnsi="Arial" w:cs="Arial"/>
                <w:i w:val="0"/>
                <w:iCs w:val="0"/>
                <w:color w:val="000000"/>
                <w:sz w:val="12"/>
                <w:szCs w:val="12"/>
                <w:u w:val="none"/>
              </w:rPr>
            </w:pPr>
          </w:p>
        </w:tc>
        <w:tc>
          <w:tcPr>
            <w:tcW w:w="470" w:type="dxa"/>
            <w:tcBorders>
              <w:top w:val="nil"/>
              <w:left w:val="nil"/>
              <w:bottom w:val="nil"/>
              <w:right w:val="nil"/>
            </w:tcBorders>
            <w:shd w:val="clear"/>
            <w:noWrap/>
            <w:vAlign w:val="bottom"/>
          </w:tcPr>
          <w:p>
            <w:pPr>
              <w:rPr>
                <w:rFonts w:hint="default" w:ascii="Arial" w:hAnsi="Arial" w:cs="Arial"/>
                <w:i w:val="0"/>
                <w:iCs w:val="0"/>
                <w:color w:val="000000"/>
                <w:sz w:val="12"/>
                <w:szCs w:val="12"/>
                <w:u w:val="none"/>
              </w:rPr>
            </w:pPr>
          </w:p>
        </w:tc>
        <w:tc>
          <w:tcPr>
            <w:tcW w:w="369" w:type="dxa"/>
            <w:tcBorders>
              <w:top w:val="nil"/>
              <w:left w:val="nil"/>
              <w:bottom w:val="nil"/>
              <w:right w:val="nil"/>
            </w:tcBorders>
            <w:shd w:val="clear"/>
            <w:noWrap/>
            <w:vAlign w:val="bottom"/>
          </w:tcPr>
          <w:p>
            <w:pPr>
              <w:rPr>
                <w:rFonts w:hint="default" w:ascii="Arial" w:hAnsi="Arial" w:cs="Arial"/>
                <w:i w:val="0"/>
                <w:iCs w:val="0"/>
                <w:color w:val="000000"/>
                <w:sz w:val="12"/>
                <w:szCs w:val="12"/>
                <w:u w:val="none"/>
              </w:rPr>
            </w:pPr>
          </w:p>
        </w:tc>
        <w:tc>
          <w:tcPr>
            <w:tcW w:w="928" w:type="dxa"/>
            <w:tcBorders>
              <w:top w:val="nil"/>
              <w:left w:val="nil"/>
              <w:bottom w:val="nil"/>
              <w:right w:val="nil"/>
            </w:tcBorders>
            <w:shd w:val="clear"/>
            <w:noWrap/>
            <w:vAlign w:val="bottom"/>
          </w:tcPr>
          <w:p>
            <w:pPr>
              <w:rPr>
                <w:rFonts w:hint="default" w:ascii="Arial" w:hAnsi="Arial" w:cs="Arial"/>
                <w:i w:val="0"/>
                <w:iCs w:val="0"/>
                <w:color w:val="000000"/>
                <w:sz w:val="12"/>
                <w:szCs w:val="12"/>
                <w:u w:val="none"/>
              </w:rPr>
            </w:pPr>
          </w:p>
        </w:tc>
        <w:tc>
          <w:tcPr>
            <w:tcW w:w="457" w:type="dxa"/>
            <w:tcBorders>
              <w:top w:val="nil"/>
              <w:left w:val="nil"/>
              <w:bottom w:val="nil"/>
              <w:right w:val="nil"/>
            </w:tcBorders>
            <w:shd w:val="clear"/>
            <w:noWrap/>
            <w:vAlign w:val="bottom"/>
          </w:tcPr>
          <w:p>
            <w:pPr>
              <w:rPr>
                <w:rFonts w:hint="default" w:ascii="Arial" w:hAnsi="Arial" w:cs="Arial"/>
                <w:i w:val="0"/>
                <w:iCs w:val="0"/>
                <w:color w:val="000000"/>
                <w:sz w:val="12"/>
                <w:szCs w:val="12"/>
                <w:u w:val="none"/>
              </w:rPr>
            </w:pPr>
          </w:p>
        </w:tc>
        <w:tc>
          <w:tcPr>
            <w:tcW w:w="1004" w:type="dxa"/>
            <w:tcBorders>
              <w:top w:val="nil"/>
              <w:left w:val="nil"/>
              <w:bottom w:val="nil"/>
              <w:right w:val="nil"/>
            </w:tcBorders>
            <w:shd w:val="clear"/>
            <w:noWrap/>
            <w:vAlign w:val="bottom"/>
          </w:tcPr>
          <w:p>
            <w:pPr>
              <w:rPr>
                <w:rFonts w:hint="default" w:ascii="Arial" w:hAnsi="Arial" w:cs="Arial"/>
                <w:i w:val="0"/>
                <w:iCs w:val="0"/>
                <w:color w:val="000000"/>
                <w:sz w:val="12"/>
                <w:szCs w:val="12"/>
                <w:u w:val="none"/>
              </w:rPr>
            </w:pPr>
          </w:p>
        </w:tc>
        <w:tc>
          <w:tcPr>
            <w:tcW w:w="4469" w:type="dxa"/>
            <w:gridSpan w:val="7"/>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财决批复07表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336" w:type="dxa"/>
            <w:tcBorders>
              <w:top w:val="nil"/>
              <w:left w:val="nil"/>
              <w:bottom w:val="nil"/>
              <w:right w:val="nil"/>
            </w:tcBorders>
            <w:shd w:val="clear"/>
            <w:noWrap/>
            <w:vAlign w:val="bottom"/>
          </w:tcPr>
          <w:p>
            <w:pPr>
              <w:rPr>
                <w:rFonts w:hint="eastAsia" w:ascii="宋体" w:hAnsi="宋体" w:eastAsia="宋体" w:cs="宋体"/>
                <w:i w:val="0"/>
                <w:iCs w:val="0"/>
                <w:color w:val="000000"/>
                <w:sz w:val="12"/>
                <w:szCs w:val="12"/>
                <w:u w:val="none"/>
              </w:rPr>
            </w:pPr>
          </w:p>
        </w:tc>
        <w:tc>
          <w:tcPr>
            <w:tcW w:w="336" w:type="dxa"/>
            <w:tcBorders>
              <w:top w:val="nil"/>
              <w:left w:val="nil"/>
              <w:bottom w:val="nil"/>
              <w:right w:val="nil"/>
            </w:tcBorders>
            <w:shd w:val="clear"/>
            <w:noWrap/>
            <w:vAlign w:val="bottom"/>
          </w:tcPr>
          <w:p>
            <w:pPr>
              <w:rPr>
                <w:rFonts w:hint="default" w:ascii="Arial" w:hAnsi="Arial" w:cs="Arial"/>
                <w:i w:val="0"/>
                <w:iCs w:val="0"/>
                <w:color w:val="000000"/>
                <w:sz w:val="12"/>
                <w:szCs w:val="12"/>
                <w:u w:val="none"/>
              </w:rPr>
            </w:pPr>
          </w:p>
        </w:tc>
        <w:tc>
          <w:tcPr>
            <w:tcW w:w="336" w:type="dxa"/>
            <w:tcBorders>
              <w:top w:val="nil"/>
              <w:left w:val="nil"/>
              <w:bottom w:val="nil"/>
              <w:right w:val="nil"/>
            </w:tcBorders>
            <w:shd w:val="clear"/>
            <w:noWrap/>
            <w:vAlign w:val="bottom"/>
          </w:tcPr>
          <w:p>
            <w:pPr>
              <w:rPr>
                <w:rFonts w:hint="default" w:ascii="Arial" w:hAnsi="Arial" w:cs="Arial"/>
                <w:i w:val="0"/>
                <w:iCs w:val="0"/>
                <w:color w:val="000000"/>
                <w:sz w:val="12"/>
                <w:szCs w:val="12"/>
                <w:u w:val="none"/>
              </w:rPr>
            </w:pPr>
          </w:p>
        </w:tc>
        <w:tc>
          <w:tcPr>
            <w:tcW w:w="1540" w:type="dxa"/>
            <w:tcBorders>
              <w:top w:val="nil"/>
              <w:left w:val="nil"/>
              <w:bottom w:val="nil"/>
              <w:right w:val="nil"/>
            </w:tcBorders>
            <w:shd w:val="clear"/>
            <w:noWrap/>
            <w:vAlign w:val="bottom"/>
          </w:tcPr>
          <w:p>
            <w:pPr>
              <w:rPr>
                <w:rFonts w:hint="default" w:ascii="Arial" w:hAnsi="Arial" w:cs="Arial"/>
                <w:i w:val="0"/>
                <w:iCs w:val="0"/>
                <w:color w:val="000000"/>
                <w:sz w:val="12"/>
                <w:szCs w:val="12"/>
                <w:u w:val="none"/>
              </w:rPr>
            </w:pPr>
          </w:p>
        </w:tc>
        <w:tc>
          <w:tcPr>
            <w:tcW w:w="585" w:type="dxa"/>
            <w:tcBorders>
              <w:top w:val="nil"/>
              <w:left w:val="nil"/>
              <w:bottom w:val="nil"/>
              <w:right w:val="nil"/>
            </w:tcBorders>
            <w:shd w:val="clear"/>
            <w:noWrap/>
            <w:vAlign w:val="bottom"/>
          </w:tcPr>
          <w:p>
            <w:pPr>
              <w:rPr>
                <w:rFonts w:hint="default" w:ascii="Arial" w:hAnsi="Arial" w:cs="Arial"/>
                <w:i w:val="0"/>
                <w:iCs w:val="0"/>
                <w:color w:val="000000"/>
                <w:sz w:val="12"/>
                <w:szCs w:val="12"/>
                <w:u w:val="none"/>
              </w:rPr>
            </w:pPr>
          </w:p>
        </w:tc>
        <w:tc>
          <w:tcPr>
            <w:tcW w:w="470" w:type="dxa"/>
            <w:tcBorders>
              <w:top w:val="nil"/>
              <w:left w:val="nil"/>
              <w:bottom w:val="nil"/>
              <w:right w:val="nil"/>
            </w:tcBorders>
            <w:shd w:val="clear"/>
            <w:noWrap/>
            <w:vAlign w:val="bottom"/>
          </w:tcPr>
          <w:p>
            <w:pPr>
              <w:rPr>
                <w:rFonts w:hint="default" w:ascii="Arial" w:hAnsi="Arial" w:cs="Arial"/>
                <w:i w:val="0"/>
                <w:iCs w:val="0"/>
                <w:color w:val="000000"/>
                <w:sz w:val="12"/>
                <w:szCs w:val="12"/>
                <w:u w:val="none"/>
              </w:rPr>
            </w:pPr>
          </w:p>
        </w:tc>
        <w:tc>
          <w:tcPr>
            <w:tcW w:w="369" w:type="dxa"/>
            <w:tcBorders>
              <w:top w:val="nil"/>
              <w:left w:val="nil"/>
              <w:bottom w:val="nil"/>
              <w:right w:val="nil"/>
            </w:tcBorders>
            <w:shd w:val="clear"/>
            <w:noWrap/>
            <w:vAlign w:val="bottom"/>
          </w:tcPr>
          <w:p>
            <w:pPr>
              <w:rPr>
                <w:rFonts w:hint="default" w:ascii="Arial" w:hAnsi="Arial" w:cs="Arial"/>
                <w:i w:val="0"/>
                <w:iCs w:val="0"/>
                <w:color w:val="000000"/>
                <w:sz w:val="12"/>
                <w:szCs w:val="12"/>
                <w:u w:val="none"/>
              </w:rPr>
            </w:pPr>
          </w:p>
        </w:tc>
        <w:tc>
          <w:tcPr>
            <w:tcW w:w="928" w:type="dxa"/>
            <w:tcBorders>
              <w:top w:val="nil"/>
              <w:left w:val="nil"/>
              <w:bottom w:val="nil"/>
              <w:right w:val="nil"/>
            </w:tcBorders>
            <w:shd w:val="clear"/>
            <w:noWrap/>
            <w:vAlign w:val="bottom"/>
          </w:tcPr>
          <w:p>
            <w:pPr>
              <w:rPr>
                <w:rFonts w:hint="default" w:ascii="Arial" w:hAnsi="Arial" w:cs="Arial"/>
                <w:i w:val="0"/>
                <w:iCs w:val="0"/>
                <w:color w:val="000000"/>
                <w:sz w:val="12"/>
                <w:szCs w:val="12"/>
                <w:u w:val="none"/>
              </w:rPr>
            </w:pPr>
          </w:p>
        </w:tc>
        <w:tc>
          <w:tcPr>
            <w:tcW w:w="457" w:type="dxa"/>
            <w:tcBorders>
              <w:top w:val="nil"/>
              <w:left w:val="nil"/>
              <w:bottom w:val="nil"/>
              <w:right w:val="nil"/>
            </w:tcBorders>
            <w:shd w:val="clear"/>
            <w:noWrap/>
            <w:vAlign w:val="bottom"/>
          </w:tcPr>
          <w:p>
            <w:pPr>
              <w:rPr>
                <w:rFonts w:hint="default" w:ascii="Arial" w:hAnsi="Arial" w:cs="Arial"/>
                <w:i w:val="0"/>
                <w:iCs w:val="0"/>
                <w:color w:val="000000"/>
                <w:sz w:val="12"/>
                <w:szCs w:val="12"/>
                <w:u w:val="none"/>
              </w:rPr>
            </w:pPr>
          </w:p>
        </w:tc>
        <w:tc>
          <w:tcPr>
            <w:tcW w:w="1004" w:type="dxa"/>
            <w:tcBorders>
              <w:top w:val="nil"/>
              <w:left w:val="nil"/>
              <w:bottom w:val="nil"/>
              <w:right w:val="nil"/>
            </w:tcBorders>
            <w:shd w:val="clear"/>
            <w:noWrap/>
            <w:vAlign w:val="bottom"/>
          </w:tcPr>
          <w:p>
            <w:pPr>
              <w:rPr>
                <w:rFonts w:hint="default" w:ascii="Arial" w:hAnsi="Arial" w:cs="Arial"/>
                <w:i w:val="0"/>
                <w:iCs w:val="0"/>
                <w:color w:val="000000"/>
                <w:sz w:val="12"/>
                <w:szCs w:val="12"/>
                <w:u w:val="none"/>
              </w:rPr>
            </w:pPr>
          </w:p>
        </w:tc>
        <w:tc>
          <w:tcPr>
            <w:tcW w:w="4469" w:type="dxa"/>
            <w:gridSpan w:val="7"/>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008"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科目编码</w:t>
            </w:r>
          </w:p>
        </w:tc>
        <w:tc>
          <w:tcPr>
            <w:tcW w:w="154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科目名称</w:t>
            </w:r>
          </w:p>
        </w:tc>
        <w:tc>
          <w:tcPr>
            <w:tcW w:w="1424"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年初结转和结余</w:t>
            </w:r>
          </w:p>
        </w:tc>
        <w:tc>
          <w:tcPr>
            <w:tcW w:w="2389"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本年收入</w:t>
            </w:r>
          </w:p>
        </w:tc>
        <w:tc>
          <w:tcPr>
            <w:tcW w:w="2505"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本年支出</w:t>
            </w:r>
          </w:p>
        </w:tc>
        <w:tc>
          <w:tcPr>
            <w:tcW w:w="1964" w:type="dxa"/>
            <w:gridSpan w:val="4"/>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008"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5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58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合计</w:t>
            </w:r>
          </w:p>
        </w:tc>
        <w:tc>
          <w:tcPr>
            <w:tcW w:w="4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基本支出结转</w:t>
            </w:r>
          </w:p>
        </w:tc>
        <w:tc>
          <w:tcPr>
            <w:tcW w:w="36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项目支出结转和结余</w:t>
            </w:r>
          </w:p>
        </w:tc>
        <w:tc>
          <w:tcPr>
            <w:tcW w:w="92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合计</w:t>
            </w:r>
          </w:p>
        </w:tc>
        <w:tc>
          <w:tcPr>
            <w:tcW w:w="45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基本支出</w:t>
            </w:r>
          </w:p>
        </w:tc>
        <w:tc>
          <w:tcPr>
            <w:tcW w:w="100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项目支出</w:t>
            </w:r>
          </w:p>
        </w:tc>
        <w:tc>
          <w:tcPr>
            <w:tcW w:w="97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合计</w:t>
            </w:r>
          </w:p>
        </w:tc>
        <w:tc>
          <w:tcPr>
            <w:tcW w:w="47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基本支出</w:t>
            </w:r>
          </w:p>
        </w:tc>
        <w:tc>
          <w:tcPr>
            <w:tcW w:w="105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项目支出</w:t>
            </w:r>
          </w:p>
        </w:tc>
        <w:tc>
          <w:tcPr>
            <w:tcW w:w="45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合计</w:t>
            </w:r>
          </w:p>
        </w:tc>
        <w:tc>
          <w:tcPr>
            <w:tcW w:w="2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基本支出结转</w:t>
            </w:r>
          </w:p>
        </w:tc>
        <w:tc>
          <w:tcPr>
            <w:tcW w:w="1227"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项目支出结转和结余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008"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5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58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4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36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9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45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00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97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47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05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45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2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83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项目支出结转</w:t>
            </w:r>
          </w:p>
        </w:tc>
        <w:tc>
          <w:tcPr>
            <w:tcW w:w="39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项目支出结余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1008"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5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58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4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36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9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45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00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97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47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05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45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2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83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39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36"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类</w:t>
            </w:r>
          </w:p>
        </w:tc>
        <w:tc>
          <w:tcPr>
            <w:tcW w:w="33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款</w:t>
            </w:r>
          </w:p>
        </w:tc>
        <w:tc>
          <w:tcPr>
            <w:tcW w:w="33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项</w:t>
            </w:r>
          </w:p>
        </w:tc>
        <w:tc>
          <w:tcPr>
            <w:tcW w:w="15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栏次</w:t>
            </w:r>
          </w:p>
        </w:tc>
        <w:tc>
          <w:tcPr>
            <w:tcW w:w="5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1</w:t>
            </w:r>
          </w:p>
        </w:tc>
        <w:tc>
          <w:tcPr>
            <w:tcW w:w="4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2</w:t>
            </w:r>
          </w:p>
        </w:tc>
        <w:tc>
          <w:tcPr>
            <w:tcW w:w="36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w:t>
            </w:r>
          </w:p>
        </w:tc>
        <w:tc>
          <w:tcPr>
            <w:tcW w:w="9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4</w:t>
            </w:r>
          </w:p>
        </w:tc>
        <w:tc>
          <w:tcPr>
            <w:tcW w:w="45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5</w:t>
            </w:r>
          </w:p>
        </w:tc>
        <w:tc>
          <w:tcPr>
            <w:tcW w:w="10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6</w:t>
            </w:r>
          </w:p>
        </w:tc>
        <w:tc>
          <w:tcPr>
            <w:tcW w:w="9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7</w:t>
            </w:r>
          </w:p>
        </w:tc>
        <w:tc>
          <w:tcPr>
            <w:tcW w:w="4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8</w:t>
            </w:r>
          </w:p>
        </w:tc>
        <w:tc>
          <w:tcPr>
            <w:tcW w:w="10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9</w:t>
            </w:r>
          </w:p>
        </w:tc>
        <w:tc>
          <w:tcPr>
            <w:tcW w:w="45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10</w:t>
            </w:r>
          </w:p>
        </w:tc>
        <w:tc>
          <w:tcPr>
            <w:tcW w:w="2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11</w:t>
            </w:r>
          </w:p>
        </w:tc>
        <w:tc>
          <w:tcPr>
            <w:tcW w:w="8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12</w:t>
            </w:r>
          </w:p>
        </w:tc>
        <w:tc>
          <w:tcPr>
            <w:tcW w:w="3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36"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3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3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5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合计</w:t>
            </w:r>
          </w:p>
        </w:tc>
        <w:tc>
          <w:tcPr>
            <w:tcW w:w="58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2"/>
                <w:szCs w:val="12"/>
                <w:u w:val="none"/>
              </w:rPr>
            </w:pPr>
          </w:p>
        </w:tc>
        <w:tc>
          <w:tcPr>
            <w:tcW w:w="47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2"/>
                <w:szCs w:val="12"/>
                <w:u w:val="none"/>
              </w:rPr>
            </w:pPr>
          </w:p>
        </w:tc>
        <w:tc>
          <w:tcPr>
            <w:tcW w:w="36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2"/>
                <w:szCs w:val="12"/>
                <w:u w:val="none"/>
              </w:rPr>
            </w:pPr>
          </w:p>
        </w:tc>
        <w:tc>
          <w:tcPr>
            <w:tcW w:w="92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spacing w:val="0"/>
                <w:w w:val="100"/>
                <w:kern w:val="0"/>
                <w:position w:val="0"/>
                <w:sz w:val="12"/>
                <w:szCs w:val="12"/>
                <w:u w:val="none"/>
                <w:bdr w:val="none" w:color="auto" w:sz="0" w:space="0"/>
                <w:shd w:val="clear" w:color="auto" w:fill="auto"/>
                <w:lang w:val="en-US" w:eastAsia="zh-CN" w:bidi="ar"/>
              </w:rPr>
              <w:t>3,719,661.16</w:t>
            </w:r>
          </w:p>
        </w:tc>
        <w:tc>
          <w:tcPr>
            <w:tcW w:w="4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2"/>
                <w:szCs w:val="12"/>
                <w:u w:val="none"/>
              </w:rPr>
            </w:pPr>
          </w:p>
        </w:tc>
        <w:tc>
          <w:tcPr>
            <w:tcW w:w="10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spacing w:val="0"/>
                <w:w w:val="100"/>
                <w:kern w:val="0"/>
                <w:position w:val="0"/>
                <w:sz w:val="12"/>
                <w:szCs w:val="12"/>
                <w:u w:val="none"/>
                <w:bdr w:val="none" w:color="auto" w:sz="0" w:space="0"/>
                <w:shd w:val="clear" w:color="auto" w:fill="auto"/>
                <w:lang w:val="en-US" w:eastAsia="zh-CN" w:bidi="ar"/>
              </w:rPr>
              <w:t>3,719,661.16</w:t>
            </w:r>
          </w:p>
        </w:tc>
        <w:tc>
          <w:tcPr>
            <w:tcW w:w="97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spacing w:val="0"/>
                <w:w w:val="100"/>
                <w:kern w:val="0"/>
                <w:position w:val="0"/>
                <w:sz w:val="12"/>
                <w:szCs w:val="12"/>
                <w:u w:val="none"/>
                <w:bdr w:val="none" w:color="auto" w:sz="0" w:space="0"/>
                <w:shd w:val="clear" w:color="auto" w:fill="auto"/>
                <w:lang w:val="en-US" w:eastAsia="zh-CN" w:bidi="ar"/>
              </w:rPr>
              <w:t>3,719,661.16</w:t>
            </w:r>
          </w:p>
        </w:tc>
        <w:tc>
          <w:tcPr>
            <w:tcW w:w="47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2"/>
                <w:szCs w:val="12"/>
                <w:u w:val="none"/>
              </w:rPr>
            </w:pPr>
          </w:p>
        </w:tc>
        <w:tc>
          <w:tcPr>
            <w:tcW w:w="10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spacing w:val="0"/>
                <w:w w:val="100"/>
                <w:kern w:val="0"/>
                <w:position w:val="0"/>
                <w:sz w:val="12"/>
                <w:szCs w:val="12"/>
                <w:u w:val="none"/>
                <w:bdr w:val="none" w:color="auto" w:sz="0" w:space="0"/>
                <w:shd w:val="clear" w:color="auto" w:fill="auto"/>
                <w:lang w:val="en-US" w:eastAsia="zh-CN" w:bidi="ar"/>
              </w:rPr>
              <w:t>3,719,661.16</w:t>
            </w:r>
          </w:p>
        </w:tc>
        <w:tc>
          <w:tcPr>
            <w:tcW w:w="4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2"/>
                <w:szCs w:val="12"/>
                <w:u w:val="none"/>
              </w:rPr>
            </w:pPr>
          </w:p>
        </w:tc>
        <w:tc>
          <w:tcPr>
            <w:tcW w:w="2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2"/>
                <w:szCs w:val="12"/>
                <w:u w:val="none"/>
              </w:rPr>
            </w:pPr>
          </w:p>
        </w:tc>
        <w:tc>
          <w:tcPr>
            <w:tcW w:w="83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2"/>
                <w:szCs w:val="12"/>
                <w:u w:val="none"/>
              </w:rPr>
            </w:pPr>
          </w:p>
        </w:tc>
        <w:tc>
          <w:tcPr>
            <w:tcW w:w="39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00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229</w:t>
            </w:r>
          </w:p>
        </w:tc>
        <w:tc>
          <w:tcPr>
            <w:tcW w:w="15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其他支出</w:t>
            </w:r>
          </w:p>
        </w:tc>
        <w:tc>
          <w:tcPr>
            <w:tcW w:w="58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47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6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92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3,719,661.16</w:t>
            </w:r>
          </w:p>
        </w:tc>
        <w:tc>
          <w:tcPr>
            <w:tcW w:w="4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0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3,719,661.16</w:t>
            </w:r>
          </w:p>
        </w:tc>
        <w:tc>
          <w:tcPr>
            <w:tcW w:w="97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3,719,661.16</w:t>
            </w:r>
          </w:p>
        </w:tc>
        <w:tc>
          <w:tcPr>
            <w:tcW w:w="47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0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3,719,661.16</w:t>
            </w:r>
          </w:p>
        </w:tc>
        <w:tc>
          <w:tcPr>
            <w:tcW w:w="4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83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9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00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22960</w:t>
            </w:r>
          </w:p>
        </w:tc>
        <w:tc>
          <w:tcPr>
            <w:tcW w:w="15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彩票公益金安排的支出</w:t>
            </w:r>
          </w:p>
        </w:tc>
        <w:tc>
          <w:tcPr>
            <w:tcW w:w="58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47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6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92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3,719,661.16</w:t>
            </w:r>
          </w:p>
        </w:tc>
        <w:tc>
          <w:tcPr>
            <w:tcW w:w="4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0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3,719,661.16</w:t>
            </w:r>
          </w:p>
        </w:tc>
        <w:tc>
          <w:tcPr>
            <w:tcW w:w="97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3,719,661.16</w:t>
            </w:r>
          </w:p>
        </w:tc>
        <w:tc>
          <w:tcPr>
            <w:tcW w:w="47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0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3,719,661.16</w:t>
            </w:r>
          </w:p>
        </w:tc>
        <w:tc>
          <w:tcPr>
            <w:tcW w:w="4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83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9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00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2296013</w:t>
            </w:r>
          </w:p>
        </w:tc>
        <w:tc>
          <w:tcPr>
            <w:tcW w:w="15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用于城乡医疗救助的彩票公益金支出</w:t>
            </w:r>
          </w:p>
        </w:tc>
        <w:tc>
          <w:tcPr>
            <w:tcW w:w="58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47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6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92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3,719,661.16</w:t>
            </w:r>
          </w:p>
        </w:tc>
        <w:tc>
          <w:tcPr>
            <w:tcW w:w="4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0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3,719,661.16</w:t>
            </w:r>
          </w:p>
        </w:tc>
        <w:tc>
          <w:tcPr>
            <w:tcW w:w="97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3,719,661.16</w:t>
            </w:r>
          </w:p>
        </w:tc>
        <w:tc>
          <w:tcPr>
            <w:tcW w:w="47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0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3,719,661.16</w:t>
            </w:r>
          </w:p>
        </w:tc>
        <w:tc>
          <w:tcPr>
            <w:tcW w:w="4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83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9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8" w:type="dxa"/>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2"/>
                <w:szCs w:val="12"/>
                <w:u w:val="none"/>
              </w:rPr>
            </w:pPr>
          </w:p>
        </w:tc>
        <w:tc>
          <w:tcPr>
            <w:tcW w:w="1540"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2"/>
                <w:szCs w:val="12"/>
                <w:u w:val="none"/>
              </w:rPr>
            </w:pPr>
          </w:p>
        </w:tc>
        <w:tc>
          <w:tcPr>
            <w:tcW w:w="58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47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6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92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4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0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97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47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05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4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83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9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8" w:type="dxa"/>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2"/>
                <w:szCs w:val="12"/>
                <w:u w:val="none"/>
              </w:rPr>
            </w:pPr>
          </w:p>
        </w:tc>
        <w:tc>
          <w:tcPr>
            <w:tcW w:w="1540"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2"/>
                <w:szCs w:val="12"/>
                <w:u w:val="none"/>
              </w:rPr>
            </w:pPr>
          </w:p>
        </w:tc>
        <w:tc>
          <w:tcPr>
            <w:tcW w:w="58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47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6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92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4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0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97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47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05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4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83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9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8" w:type="dxa"/>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2"/>
                <w:szCs w:val="12"/>
                <w:u w:val="none"/>
              </w:rPr>
            </w:pPr>
          </w:p>
        </w:tc>
        <w:tc>
          <w:tcPr>
            <w:tcW w:w="1540"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2"/>
                <w:szCs w:val="12"/>
                <w:u w:val="none"/>
              </w:rPr>
            </w:pPr>
          </w:p>
        </w:tc>
        <w:tc>
          <w:tcPr>
            <w:tcW w:w="58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47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6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92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4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0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97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47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05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4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83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9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8" w:type="dxa"/>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2"/>
                <w:szCs w:val="12"/>
                <w:u w:val="none"/>
              </w:rPr>
            </w:pPr>
          </w:p>
        </w:tc>
        <w:tc>
          <w:tcPr>
            <w:tcW w:w="1540"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2"/>
                <w:szCs w:val="12"/>
                <w:u w:val="none"/>
              </w:rPr>
            </w:pPr>
          </w:p>
        </w:tc>
        <w:tc>
          <w:tcPr>
            <w:tcW w:w="58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47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6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92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4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0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97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47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05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4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83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9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8" w:type="dxa"/>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2"/>
                <w:szCs w:val="12"/>
                <w:u w:val="none"/>
              </w:rPr>
            </w:pPr>
          </w:p>
        </w:tc>
        <w:tc>
          <w:tcPr>
            <w:tcW w:w="1540"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2"/>
                <w:szCs w:val="12"/>
                <w:u w:val="none"/>
              </w:rPr>
            </w:pPr>
          </w:p>
        </w:tc>
        <w:tc>
          <w:tcPr>
            <w:tcW w:w="58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47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6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92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4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0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97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47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105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4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2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83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39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830" w:type="dxa"/>
            <w:gridSpan w:val="17"/>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注：1.本表依据《政府性基金预算财政拨款收入支出决算表》（财决09表）进行批复。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830" w:type="dxa"/>
            <w:gridSpan w:val="17"/>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2.本表批复到项级科目。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830" w:type="dxa"/>
            <w:gridSpan w:val="17"/>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bdr w:val="none" w:color="auto" w:sz="0" w:space="0"/>
                <w:shd w:val="clear" w:color="auto" w:fill="auto"/>
                <w:lang w:val="en-US" w:eastAsia="zh-CN" w:bidi="ar"/>
              </w:rPr>
              <w:t xml:space="preserve">    3.本表以“万元”为金额单位（保留两位小数）。</w:t>
            </w:r>
          </w:p>
        </w:tc>
      </w:tr>
    </w:tbl>
    <w:p>
      <w:pPr>
        <w:pStyle w:val="15"/>
        <w:keepNext w:val="0"/>
        <w:keepLines w:val="0"/>
        <w:pageBreakBefore w:val="0"/>
        <w:widowControl w:val="0"/>
        <w:numPr>
          <w:numId w:val="0"/>
        </w:numPr>
        <w:shd w:val="clear" w:color="auto" w:fill="auto"/>
        <w:tabs>
          <w:tab w:val="left" w:pos="822"/>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仿宋_GB2312" w:hAnsi="仿宋_GB2312" w:eastAsia="仿宋_GB2312" w:cs="仿宋_GB2312"/>
          <w:b/>
          <w:bCs/>
          <w:color w:val="000000"/>
          <w:spacing w:val="0"/>
          <w:w w:val="100"/>
          <w:position w:val="0"/>
          <w:sz w:val="32"/>
          <w:szCs w:val="32"/>
        </w:rPr>
      </w:pPr>
    </w:p>
    <w:p>
      <w:pPr>
        <w:pStyle w:val="15"/>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国有资本经营预算财政拨款支出决算表</w:t>
      </w:r>
    </w:p>
    <w:tbl>
      <w:tblPr>
        <w:tblW w:w="109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616"/>
        <w:gridCol w:w="436"/>
        <w:gridCol w:w="436"/>
        <w:gridCol w:w="728"/>
        <w:gridCol w:w="597"/>
        <w:gridCol w:w="597"/>
        <w:gridCol w:w="597"/>
        <w:gridCol w:w="597"/>
        <w:gridCol w:w="597"/>
        <w:gridCol w:w="597"/>
        <w:gridCol w:w="597"/>
        <w:gridCol w:w="1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jc w:val="center"/>
        </w:trPr>
        <w:tc>
          <w:tcPr>
            <w:tcW w:w="10905" w:type="dxa"/>
            <w:gridSpan w:val="12"/>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bdr w:val="none" w:color="auto" w:sz="0" w:space="0"/>
                <w:shd w:val="clear" w:color="auto" w:fill="auto"/>
                <w:lang w:val="en-US" w:eastAsia="zh-CN" w:bidi="ar"/>
              </w:rPr>
              <w:t>国有资本经营预算财政拨款收入支出决算批复表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财决批复08表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部门：临夏州东乡族自治县医疗保障局</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990"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科目编码</w:t>
            </w:r>
          </w:p>
        </w:tc>
        <w:tc>
          <w:tcPr>
            <w:tcW w:w="211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科目名称</w:t>
            </w:r>
          </w:p>
        </w:tc>
        <w:tc>
          <w:tcPr>
            <w:tcW w:w="2925"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年初结转和结余</w:t>
            </w:r>
          </w:p>
        </w:tc>
        <w:tc>
          <w:tcPr>
            <w:tcW w:w="97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本年收入</w:t>
            </w:r>
          </w:p>
        </w:tc>
        <w:tc>
          <w:tcPr>
            <w:tcW w:w="97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本年支出</w:t>
            </w:r>
          </w:p>
        </w:tc>
        <w:tc>
          <w:tcPr>
            <w:tcW w:w="2925"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97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结转</w:t>
            </w:r>
          </w:p>
        </w:tc>
        <w:tc>
          <w:tcPr>
            <w:tcW w:w="97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结余</w:t>
            </w:r>
          </w:p>
        </w:tc>
        <w:tc>
          <w:tcPr>
            <w:tcW w:w="97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97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结转</w:t>
            </w:r>
          </w:p>
        </w:tc>
        <w:tc>
          <w:tcPr>
            <w:tcW w:w="97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3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类</w:t>
            </w:r>
          </w:p>
        </w:tc>
        <w:tc>
          <w:tcPr>
            <w:tcW w:w="3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款</w:t>
            </w:r>
          </w:p>
        </w:tc>
        <w:tc>
          <w:tcPr>
            <w:tcW w:w="3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w:t>
            </w:r>
          </w:p>
        </w:tc>
        <w:tc>
          <w:tcPr>
            <w:tcW w:w="21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3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gridSpan w:val="12"/>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注：1.本表依据《国有资本经营预算财政拨款收入支出决算表》（财决11表）进行批复。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gridSpan w:val="12"/>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2.本表批复到项级科目。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12"/>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3.本表以“万元”为金额单位（保留两位小数）。</w:t>
            </w:r>
          </w:p>
        </w:tc>
      </w:tr>
    </w:tbl>
    <w:p>
      <w:pPr>
        <w:pStyle w:val="15"/>
        <w:keepNext w:val="0"/>
        <w:keepLines w:val="0"/>
        <w:pageBreakBefore w:val="0"/>
        <w:widowControl w:val="0"/>
        <w:numPr>
          <w:numId w:val="0"/>
        </w:numPr>
        <w:shd w:val="clear" w:color="auto" w:fill="auto"/>
        <w:tabs>
          <w:tab w:val="left" w:pos="822"/>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2021年度收入总计122618070.78元，支出总计122618070.78元，与2020年决算数相比，收入增加62001997.42元，增长102.3%，支出增加62001997.42元，增长102.3%。主要原因是</w:t>
      </w:r>
      <w:r>
        <w:rPr>
          <w:rFonts w:hint="eastAsia" w:ascii="仿宋_GB2312" w:hAnsi="仿宋_GB2312" w:eastAsia="仿宋_GB2312" w:cs="仿宋_GB2312"/>
          <w:color w:val="000000"/>
          <w:spacing w:val="0"/>
          <w:w w:val="100"/>
          <w:position w:val="0"/>
          <w:sz w:val="32"/>
          <w:szCs w:val="32"/>
          <w:lang w:eastAsia="zh-CN"/>
        </w:rPr>
        <w:t>城乡医疗救助资金从国库拨入财政社保专户</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122618070.78</w:t>
      </w:r>
      <w:r>
        <w:rPr>
          <w:rFonts w:hint="eastAsia" w:ascii="仿宋_GB2312" w:hAnsi="仿宋_GB2312" w:eastAsia="仿宋_GB2312" w:cs="仿宋_GB2312"/>
          <w:color w:val="000000"/>
          <w:spacing w:val="0"/>
          <w:w w:val="100"/>
          <w:position w:val="0"/>
          <w:sz w:val="32"/>
          <w:szCs w:val="32"/>
        </w:rPr>
        <w:t>元，其中：财政拨款收入118898409.62元，占</w:t>
      </w:r>
      <w:r>
        <w:rPr>
          <w:rFonts w:hint="eastAsia" w:ascii="仿宋_GB2312" w:hAnsi="仿宋_GB2312" w:eastAsia="仿宋_GB2312" w:cs="仿宋_GB2312"/>
          <w:color w:val="000000"/>
          <w:spacing w:val="0"/>
          <w:w w:val="100"/>
          <w:position w:val="0"/>
          <w:sz w:val="32"/>
          <w:szCs w:val="32"/>
          <w:lang w:val="en-US" w:eastAsia="zh-CN"/>
        </w:rPr>
        <w:t>97</w:t>
      </w:r>
      <w:r>
        <w:rPr>
          <w:rFonts w:hint="eastAsia" w:ascii="仿宋_GB2312" w:hAnsi="仿宋_GB2312" w:eastAsia="仿宋_GB2312" w:cs="仿宋_GB2312"/>
          <w:color w:val="000000"/>
          <w:spacing w:val="0"/>
          <w:w w:val="100"/>
          <w:position w:val="0"/>
          <w:sz w:val="32"/>
          <w:szCs w:val="32"/>
        </w:rPr>
        <w:t>%;政府性基金预算财政拨款收入3719661.16</w:t>
      </w:r>
      <w:r>
        <w:rPr>
          <w:rFonts w:hint="eastAsia" w:ascii="仿宋_GB2312" w:hAnsi="仿宋_GB2312" w:eastAsia="仿宋_GB2312" w:cs="仿宋_GB2312"/>
          <w:color w:val="000000"/>
          <w:spacing w:val="0"/>
          <w:w w:val="100"/>
          <w:position w:val="0"/>
          <w:sz w:val="32"/>
          <w:szCs w:val="32"/>
          <w:lang w:eastAsia="zh-CN"/>
        </w:rPr>
        <w:t>元，</w:t>
      </w:r>
      <w:r>
        <w:rPr>
          <w:rFonts w:hint="eastAsia" w:ascii="仿宋_GB2312" w:hAnsi="仿宋_GB2312" w:eastAsia="仿宋_GB2312" w:cs="仿宋_GB2312"/>
          <w:color w:val="000000"/>
          <w:spacing w:val="0"/>
          <w:w w:val="100"/>
          <w:position w:val="0"/>
          <w:sz w:val="32"/>
          <w:szCs w:val="32"/>
        </w:rPr>
        <w:t>占</w:t>
      </w:r>
      <w:r>
        <w:rPr>
          <w:rFonts w:hint="eastAsia" w:ascii="仿宋_GB2312" w:hAnsi="仿宋_GB2312" w:eastAsia="仿宋_GB2312" w:cs="仿宋_GB2312"/>
          <w:color w:val="000000"/>
          <w:spacing w:val="0"/>
          <w:w w:val="100"/>
          <w:position w:val="0"/>
          <w:sz w:val="32"/>
          <w:szCs w:val="32"/>
          <w:lang w:val="en-US" w:eastAsia="zh-CN"/>
        </w:rPr>
        <w:t>3</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122618070.78</w:t>
      </w:r>
      <w:r>
        <w:rPr>
          <w:rFonts w:hint="eastAsia" w:ascii="仿宋_GB2312" w:hAnsi="仿宋_GB2312" w:eastAsia="仿宋_GB2312" w:cs="仿宋_GB2312"/>
          <w:color w:val="000000"/>
          <w:spacing w:val="0"/>
          <w:w w:val="100"/>
          <w:position w:val="0"/>
          <w:sz w:val="32"/>
          <w:szCs w:val="32"/>
        </w:rPr>
        <w:t>元，其中：一般公共服务支出35054</w:t>
      </w:r>
      <w:r>
        <w:rPr>
          <w:rFonts w:hint="eastAsia" w:ascii="仿宋_GB2312" w:hAnsi="仿宋_GB2312" w:eastAsia="仿宋_GB2312" w:cs="仿宋_GB2312"/>
          <w:color w:val="000000"/>
          <w:spacing w:val="0"/>
          <w:w w:val="100"/>
          <w:position w:val="0"/>
          <w:sz w:val="32"/>
          <w:szCs w:val="32"/>
          <w:lang w:eastAsia="zh-CN"/>
        </w:rPr>
        <w:t>元，</w:t>
      </w:r>
      <w:r>
        <w:rPr>
          <w:rFonts w:hint="eastAsia" w:ascii="仿宋_GB2312" w:hAnsi="仿宋_GB2312" w:eastAsia="仿宋_GB2312" w:cs="仿宋_GB2312"/>
          <w:color w:val="000000"/>
          <w:spacing w:val="0"/>
          <w:w w:val="100"/>
          <w:position w:val="0"/>
          <w:sz w:val="32"/>
          <w:szCs w:val="32"/>
        </w:rPr>
        <w:t>占</w:t>
      </w:r>
      <w:r>
        <w:rPr>
          <w:rFonts w:hint="eastAsia" w:ascii="仿宋_GB2312" w:hAnsi="仿宋_GB2312" w:eastAsia="仿宋_GB2312" w:cs="仿宋_GB2312"/>
          <w:color w:val="000000"/>
          <w:spacing w:val="0"/>
          <w:w w:val="100"/>
          <w:position w:val="0"/>
          <w:sz w:val="32"/>
          <w:szCs w:val="32"/>
          <w:lang w:val="en-US" w:eastAsia="zh-CN"/>
        </w:rPr>
        <w:t>0.028</w:t>
      </w:r>
      <w:r>
        <w:rPr>
          <w:rFonts w:hint="eastAsia" w:ascii="仿宋_GB2312" w:hAnsi="仿宋_GB2312" w:eastAsia="仿宋_GB2312" w:cs="仿宋_GB2312"/>
          <w:color w:val="000000"/>
          <w:spacing w:val="0"/>
          <w:w w:val="100"/>
          <w:position w:val="0"/>
          <w:sz w:val="32"/>
          <w:szCs w:val="32"/>
        </w:rPr>
        <w:t>%；社会保障和就业支出444879.12</w:t>
      </w:r>
      <w:r>
        <w:rPr>
          <w:rFonts w:hint="eastAsia" w:ascii="仿宋_GB2312" w:hAnsi="仿宋_GB2312" w:eastAsia="仿宋_GB2312" w:cs="仿宋_GB2312"/>
          <w:color w:val="000000"/>
          <w:spacing w:val="0"/>
          <w:w w:val="100"/>
          <w:position w:val="0"/>
          <w:sz w:val="32"/>
          <w:szCs w:val="32"/>
          <w:lang w:eastAsia="zh-CN"/>
        </w:rPr>
        <w:t>元，占</w:t>
      </w:r>
      <w:r>
        <w:rPr>
          <w:rFonts w:hint="eastAsia" w:ascii="仿宋_GB2312" w:hAnsi="仿宋_GB2312" w:eastAsia="仿宋_GB2312" w:cs="仿宋_GB2312"/>
          <w:color w:val="000000"/>
          <w:spacing w:val="0"/>
          <w:w w:val="100"/>
          <w:position w:val="0"/>
          <w:sz w:val="32"/>
          <w:szCs w:val="32"/>
          <w:lang w:val="en-US" w:eastAsia="zh-CN"/>
        </w:rPr>
        <w:t>0.36</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；卫生健康支出118319476.5元，</w:t>
      </w:r>
      <w:r>
        <w:rPr>
          <w:rFonts w:hint="eastAsia" w:ascii="仿宋_GB2312" w:hAnsi="仿宋_GB2312" w:eastAsia="仿宋_GB2312" w:cs="仿宋_GB2312"/>
          <w:color w:val="000000"/>
          <w:spacing w:val="0"/>
          <w:w w:val="100"/>
          <w:position w:val="0"/>
          <w:sz w:val="32"/>
          <w:szCs w:val="32"/>
        </w:rPr>
        <w:t>占</w:t>
      </w:r>
      <w:r>
        <w:rPr>
          <w:rFonts w:hint="eastAsia" w:ascii="仿宋_GB2312" w:hAnsi="仿宋_GB2312" w:eastAsia="仿宋_GB2312" w:cs="仿宋_GB2312"/>
          <w:color w:val="000000"/>
          <w:spacing w:val="0"/>
          <w:w w:val="100"/>
          <w:position w:val="0"/>
          <w:sz w:val="32"/>
          <w:szCs w:val="32"/>
          <w:lang w:val="en-US" w:eastAsia="zh-CN"/>
        </w:rPr>
        <w:t>96.5</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，农林水支出99000元，占</w:t>
      </w:r>
      <w:r>
        <w:rPr>
          <w:rFonts w:hint="eastAsia" w:ascii="仿宋_GB2312" w:hAnsi="仿宋_GB2312" w:eastAsia="仿宋_GB2312" w:cs="仿宋_GB2312"/>
          <w:color w:val="000000"/>
          <w:spacing w:val="0"/>
          <w:w w:val="100"/>
          <w:position w:val="0"/>
          <w:sz w:val="32"/>
          <w:szCs w:val="32"/>
          <w:lang w:val="en-US" w:eastAsia="zh-CN"/>
        </w:rPr>
        <w:t>0.08</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；其他支出</w:t>
      </w:r>
      <w:r>
        <w:rPr>
          <w:rFonts w:hint="eastAsia" w:ascii="仿宋_GB2312" w:hAnsi="仿宋_GB2312" w:eastAsia="仿宋_GB2312" w:cs="仿宋_GB2312"/>
          <w:color w:val="000000"/>
          <w:spacing w:val="0"/>
          <w:w w:val="100"/>
          <w:position w:val="0"/>
          <w:sz w:val="32"/>
          <w:szCs w:val="32"/>
        </w:rPr>
        <w:t>3719661.16</w:t>
      </w:r>
      <w:r>
        <w:rPr>
          <w:rFonts w:hint="eastAsia" w:ascii="仿宋_GB2312" w:hAnsi="仿宋_GB2312" w:eastAsia="仿宋_GB2312" w:cs="仿宋_GB2312"/>
          <w:color w:val="000000"/>
          <w:spacing w:val="0"/>
          <w:w w:val="100"/>
          <w:position w:val="0"/>
          <w:sz w:val="32"/>
          <w:szCs w:val="32"/>
          <w:lang w:eastAsia="zh-CN"/>
        </w:rPr>
        <w:t>元，占</w:t>
      </w:r>
      <w:r>
        <w:rPr>
          <w:rFonts w:hint="eastAsia" w:ascii="仿宋_GB2312" w:hAnsi="仿宋_GB2312" w:eastAsia="仿宋_GB2312" w:cs="仿宋_GB2312"/>
          <w:color w:val="000000"/>
          <w:spacing w:val="0"/>
          <w:w w:val="100"/>
          <w:position w:val="0"/>
          <w:sz w:val="32"/>
          <w:szCs w:val="32"/>
          <w:lang w:val="en-US" w:eastAsia="zh-CN"/>
        </w:rPr>
        <w:t>3</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numPr>
          <w:ilvl w:val="0"/>
          <w:numId w:val="2"/>
        </w:numPr>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leftChars="0" w:right="0" w:firstLine="643" w:firstLineChars="200"/>
        <w:jc w:val="both"/>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rPr>
        <w:t>122618070.78</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62001997.42</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102.3</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主要原因是</w:t>
      </w:r>
      <w:r>
        <w:rPr>
          <w:rFonts w:hint="eastAsia" w:ascii="仿宋_GB2312" w:hAnsi="仿宋_GB2312" w:eastAsia="仿宋_GB2312" w:cs="仿宋_GB2312"/>
          <w:color w:val="000000"/>
          <w:spacing w:val="0"/>
          <w:w w:val="100"/>
          <w:position w:val="0"/>
          <w:sz w:val="32"/>
          <w:szCs w:val="32"/>
          <w:lang w:eastAsia="zh-CN"/>
        </w:rPr>
        <w:t>城乡医疗救助资金从国库拨入财政社保专户</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en-US" w:bidi="en-US"/>
        </w:rPr>
        <w:t>62159386.78</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50.7</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主要原因是</w:t>
      </w:r>
      <w:r>
        <w:rPr>
          <w:rFonts w:hint="eastAsia" w:ascii="仿宋_GB2312" w:hAnsi="仿宋_GB2312" w:eastAsia="仿宋_GB2312" w:cs="仿宋_GB2312"/>
          <w:color w:val="000000"/>
          <w:spacing w:val="0"/>
          <w:w w:val="100"/>
          <w:position w:val="0"/>
          <w:sz w:val="32"/>
          <w:szCs w:val="32"/>
          <w:lang w:eastAsia="zh-CN"/>
        </w:rPr>
        <w:t>城乡医疗救助资金从国库拨入财政社保专户</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年度财政拨款支出122618070.78元，较上年决算数增加</w:t>
      </w:r>
      <w:r>
        <w:rPr>
          <w:rFonts w:hint="eastAsia" w:ascii="仿宋_GB2312" w:hAnsi="仿宋_GB2312" w:eastAsia="仿宋_GB2312" w:cs="仿宋_GB2312"/>
          <w:color w:val="000000"/>
          <w:spacing w:val="0"/>
          <w:w w:val="100"/>
          <w:position w:val="0"/>
          <w:sz w:val="32"/>
          <w:szCs w:val="32"/>
          <w:lang w:val="en-US" w:eastAsia="zh-CN"/>
        </w:rPr>
        <w:t>62001997.42</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102.3</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主要原因是</w:t>
      </w:r>
      <w:r>
        <w:rPr>
          <w:rFonts w:hint="eastAsia" w:ascii="仿宋_GB2312" w:hAnsi="仿宋_GB2312" w:eastAsia="仿宋_GB2312" w:cs="仿宋_GB2312"/>
          <w:color w:val="000000"/>
          <w:spacing w:val="0"/>
          <w:w w:val="100"/>
          <w:position w:val="0"/>
          <w:sz w:val="32"/>
          <w:szCs w:val="32"/>
          <w:lang w:eastAsia="zh-CN"/>
        </w:rPr>
        <w:t>城乡医疗救助资金从国库拨入财政社保专户</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numPr>
          <w:numId w:val="0"/>
        </w:numPr>
        <w:shd w:val="clear" w:color="auto" w:fill="auto"/>
        <w:kinsoku/>
        <w:wordWrap/>
        <w:overflowPunct/>
        <w:topLinePunct w:val="0"/>
        <w:autoSpaceDE/>
        <w:autoSpaceDN/>
        <w:bidi w:val="0"/>
        <w:adjustRightInd/>
        <w:snapToGrid/>
        <w:spacing w:before="0" w:after="0" w:line="360" w:lineRule="auto"/>
        <w:ind w:right="0" w:rightChars="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p>
    <w:p>
      <w:pPr>
        <w:pStyle w:val="1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11889.840962万元，占本年支出的 97%，较上年决算数增加6057.00651万元，增长104%。主要原因是</w:t>
      </w:r>
      <w:r>
        <w:rPr>
          <w:rFonts w:hint="eastAsia" w:ascii="仿宋_GB2312" w:hAnsi="仿宋_GB2312" w:eastAsia="仿宋_GB2312" w:cs="仿宋_GB2312"/>
          <w:color w:val="000000"/>
          <w:spacing w:val="0"/>
          <w:w w:val="100"/>
          <w:position w:val="0"/>
          <w:sz w:val="32"/>
          <w:szCs w:val="32"/>
          <w:lang w:eastAsia="zh-CN"/>
        </w:rPr>
        <w:t>城乡医疗救助资金从国库拨入财政社保专户</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5"/>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en-US" w:bidi="en-US"/>
        </w:rPr>
        <w:t>35054</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0.029</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tabs>
          <w:tab w:val="left" w:leader="dot" w:pos="21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社会保障和就业支出</w:t>
      </w:r>
      <w:r>
        <w:rPr>
          <w:rFonts w:hint="eastAsia" w:ascii="仿宋_GB2312" w:hAnsi="仿宋_GB2312" w:eastAsia="仿宋_GB2312" w:cs="仿宋_GB2312"/>
          <w:color w:val="000000"/>
          <w:spacing w:val="0"/>
          <w:w w:val="100"/>
          <w:position w:val="0"/>
          <w:sz w:val="32"/>
          <w:szCs w:val="32"/>
          <w:lang w:val="en-US" w:eastAsia="zh-CN"/>
        </w:rPr>
        <w:t>444,879.12</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0.037</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卫生健康支出118319476.5元，占</w:t>
      </w:r>
      <w:r>
        <w:rPr>
          <w:rFonts w:hint="eastAsia" w:ascii="仿宋_GB2312" w:hAnsi="仿宋_GB2312" w:eastAsia="仿宋_GB2312" w:cs="仿宋_GB2312"/>
          <w:color w:val="000000"/>
          <w:spacing w:val="0"/>
          <w:w w:val="100"/>
          <w:position w:val="0"/>
          <w:sz w:val="32"/>
          <w:szCs w:val="32"/>
          <w:lang w:val="en-US" w:eastAsia="zh-CN"/>
        </w:rPr>
        <w:t>99.5</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农林水支出</w:t>
      </w:r>
      <w:r>
        <w:rPr>
          <w:rFonts w:hint="eastAsia" w:ascii="仿宋_GB2312" w:hAnsi="仿宋_GB2312" w:eastAsia="仿宋_GB2312" w:cs="仿宋_GB2312"/>
          <w:color w:val="000000"/>
          <w:spacing w:val="0"/>
          <w:w w:val="100"/>
          <w:position w:val="0"/>
          <w:sz w:val="32"/>
          <w:szCs w:val="32"/>
          <w:lang w:val="en-US" w:eastAsia="zh-CN"/>
        </w:rPr>
        <w:t>99,000.00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0.083</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5"/>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en-US" w:bidi="en-US"/>
        </w:rPr>
        <w:t>4987324.12</w:t>
      </w:r>
      <w:r>
        <w:rPr>
          <w:rFonts w:hint="eastAsia" w:ascii="仿宋_GB2312" w:hAnsi="仿宋_GB2312" w:eastAsia="仿宋_GB2312" w:cs="仿宋_GB2312"/>
          <w:color w:val="000000"/>
          <w:spacing w:val="0"/>
          <w:w w:val="100"/>
          <w:position w:val="0"/>
          <w:sz w:val="32"/>
          <w:szCs w:val="32"/>
        </w:rPr>
        <w:t>元。其中：人员经费3872074.02元，较上年</w:t>
      </w:r>
      <w:r>
        <w:rPr>
          <w:rFonts w:hint="eastAsia" w:ascii="仿宋_GB2312" w:hAnsi="仿宋_GB2312" w:eastAsia="仿宋_GB2312" w:cs="仿宋_GB2312"/>
          <w:color w:val="000000"/>
          <w:spacing w:val="0"/>
          <w:w w:val="100"/>
          <w:position w:val="0"/>
          <w:sz w:val="32"/>
          <w:szCs w:val="32"/>
          <w:lang w:val="en-US" w:eastAsia="zh-CN"/>
        </w:rPr>
        <w:t>减少</w:t>
      </w:r>
      <w:r>
        <w:rPr>
          <w:rFonts w:hint="eastAsia" w:ascii="仿宋_GB2312" w:hAnsi="仿宋_GB2312" w:eastAsia="仿宋_GB2312" w:cs="仿宋_GB2312"/>
          <w:color w:val="000000"/>
          <w:spacing w:val="0"/>
          <w:w w:val="100"/>
          <w:position w:val="0"/>
          <w:sz w:val="32"/>
          <w:szCs w:val="32"/>
        </w:rPr>
        <w:t>425308.12元，主要原因是</w:t>
      </w:r>
      <w:r>
        <w:rPr>
          <w:rFonts w:hint="eastAsia" w:ascii="仿宋_GB2312" w:hAnsi="仿宋_GB2312" w:eastAsia="仿宋_GB2312" w:cs="仿宋_GB2312"/>
          <w:color w:val="000000"/>
          <w:spacing w:val="0"/>
          <w:w w:val="100"/>
          <w:position w:val="0"/>
          <w:sz w:val="32"/>
          <w:szCs w:val="32"/>
          <w:lang w:val="en-US" w:eastAsia="zh-CN"/>
        </w:rPr>
        <w:t>人员调动</w:t>
      </w:r>
      <w:r>
        <w:rPr>
          <w:rFonts w:hint="eastAsia" w:ascii="仿宋_GB2312" w:hAnsi="仿宋_GB2312" w:eastAsia="仿宋_GB2312" w:cs="仿宋_GB2312"/>
          <w:color w:val="000000"/>
          <w:spacing w:val="0"/>
          <w:w w:val="100"/>
          <w:position w:val="0"/>
          <w:sz w:val="32"/>
          <w:szCs w:val="32"/>
        </w:rPr>
        <w:t>。人员经费用途主要包括工资福利支出3,694,324.02</w:t>
      </w:r>
      <w:r>
        <w:rPr>
          <w:rFonts w:hint="eastAsia" w:ascii="仿宋_GB2312" w:hAnsi="仿宋_GB2312" w:eastAsia="仿宋_GB2312" w:cs="仿宋_GB2312"/>
          <w:color w:val="000000"/>
          <w:spacing w:val="0"/>
          <w:w w:val="100"/>
          <w:position w:val="0"/>
          <w:sz w:val="32"/>
          <w:szCs w:val="32"/>
          <w:lang w:val="en-US" w:eastAsia="zh-CN"/>
        </w:rPr>
        <w:t>元，对个人和家庭的补助177,750.00元</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公用经费1115250.1元，较上年增加490766.1元，主要原因是</w:t>
      </w:r>
      <w:r>
        <w:rPr>
          <w:rFonts w:hint="eastAsia" w:ascii="仿宋_GB2312" w:hAnsi="仿宋_GB2312" w:eastAsia="仿宋_GB2312" w:cs="仿宋_GB2312"/>
          <w:color w:val="000000"/>
          <w:spacing w:val="0"/>
          <w:w w:val="100"/>
          <w:position w:val="0"/>
          <w:sz w:val="32"/>
          <w:szCs w:val="32"/>
          <w:lang w:val="en-US" w:eastAsia="zh-CN"/>
        </w:rPr>
        <w:t>金保网络服务费用</w:t>
      </w:r>
      <w:r>
        <w:rPr>
          <w:rFonts w:hint="eastAsia" w:ascii="仿宋_GB2312" w:hAnsi="仿宋_GB2312" w:eastAsia="仿宋_GB2312" w:cs="仿宋_GB2312"/>
          <w:color w:val="000000"/>
          <w:spacing w:val="0"/>
          <w:w w:val="100"/>
          <w:position w:val="0"/>
          <w:sz w:val="32"/>
          <w:szCs w:val="32"/>
        </w:rPr>
        <w:t>，公用经费用途主要包括商品和服务支出1,115,250.10</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办公费176,420.58</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印刷费35,000.00</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水费1,600.00</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电费28,377.52</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邮电1,018.00</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取暖费28,800.00</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差旅费183,980.00</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劳务费63,000.00</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委托业务费415,000.00</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 xml:space="preserve"> 工会经费35,054.00</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其他交通费用147,000.00</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5"/>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5"/>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5"/>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5"/>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5"/>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p>
    <w:p>
      <w:pPr>
        <w:pStyle w:val="15"/>
        <w:keepNext w:val="0"/>
        <w:keepLines w:val="0"/>
        <w:pageBreakBefore w:val="0"/>
        <w:widowControl w:val="0"/>
        <w:shd w:val="clear" w:color="auto" w:fill="auto"/>
        <w:tabs>
          <w:tab w:val="left" w:leader="dot" w:pos="1507"/>
          <w:tab w:val="left" w:leader="dot" w:pos="3259"/>
          <w:tab w:val="left" w:leader="dot" w:pos="3605"/>
          <w:tab w:val="left" w:leader="dot" w:pos="4973"/>
          <w:tab w:val="left" w:leader="dot" w:pos="7368"/>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5"/>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5"/>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5"/>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5"/>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5"/>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年本部门（本单位）机关运行经费支出1115250.1元，机关运行经费主要用于开支商品和服务支出1,115,250.10</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办公费176,420.58</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印刷费35,000.00</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水费1,600.00</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电费28,377.52</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邮电1,018.00</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取暖费28,800.00</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差旅费183,980.00</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劳务费63,000.00</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委托业务费415,000.00</w:t>
      </w:r>
      <w:r>
        <w:rPr>
          <w:rFonts w:hint="eastAsia" w:ascii="仿宋_GB2312" w:hAnsi="仿宋_GB2312" w:eastAsia="仿宋_GB2312" w:cs="仿宋_GB2312"/>
          <w:color w:val="000000"/>
          <w:spacing w:val="0"/>
          <w:w w:val="100"/>
          <w:position w:val="0"/>
          <w:sz w:val="32"/>
          <w:szCs w:val="32"/>
          <w:lang w:val="en-US" w:eastAsia="zh-CN"/>
        </w:rPr>
        <w:t>元，</w:t>
      </w:r>
      <w:bookmarkStart w:id="8" w:name="_GoBack"/>
      <w:bookmarkEnd w:id="8"/>
      <w:r>
        <w:rPr>
          <w:rFonts w:hint="eastAsia" w:ascii="仿宋_GB2312" w:hAnsi="仿宋_GB2312" w:eastAsia="仿宋_GB2312" w:cs="仿宋_GB2312"/>
          <w:color w:val="000000"/>
          <w:spacing w:val="0"/>
          <w:w w:val="100"/>
          <w:position w:val="0"/>
          <w:sz w:val="32"/>
          <w:szCs w:val="32"/>
        </w:rPr>
        <w:t>工会经费35,054.00</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其他交通费用147,000.00</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年增加490766.1元，增长</w:t>
      </w:r>
      <w:r>
        <w:rPr>
          <w:rFonts w:hint="eastAsia" w:ascii="仿宋_GB2312" w:hAnsi="仿宋_GB2312" w:eastAsia="仿宋_GB2312" w:cs="仿宋_GB2312"/>
          <w:color w:val="000000"/>
          <w:spacing w:val="0"/>
          <w:w w:val="100"/>
          <w:position w:val="0"/>
          <w:sz w:val="32"/>
          <w:szCs w:val="32"/>
          <w:lang w:val="en-US" w:eastAsia="zh-CN"/>
        </w:rPr>
        <w:t>78.6</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支付金宝网服务费用</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5"/>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63918</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63918</w:t>
      </w:r>
      <w:r>
        <w:rPr>
          <w:rFonts w:hint="eastAsia" w:ascii="仿宋_GB2312" w:hAnsi="仿宋_GB2312" w:eastAsia="仿宋_GB2312" w:cs="仿宋_GB2312"/>
          <w:color w:val="000000"/>
          <w:spacing w:val="0"/>
          <w:w w:val="100"/>
          <w:position w:val="0"/>
          <w:sz w:val="32"/>
          <w:szCs w:val="32"/>
        </w:rPr>
        <w:t>元。</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5"/>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w:t>
      </w:r>
      <w:r>
        <w:rPr>
          <w:rFonts w:hint="eastAsia" w:ascii="仿宋_GB2312" w:hAnsi="仿宋_GB2312" w:eastAsia="仿宋_GB2312" w:cs="仿宋_GB2312"/>
          <w:color w:val="000000"/>
          <w:spacing w:val="0"/>
          <w:w w:val="100"/>
          <w:position w:val="0"/>
          <w:sz w:val="32"/>
          <w:szCs w:val="32"/>
          <w:lang w:val="en-US" w:eastAsia="zh-CN"/>
        </w:rPr>
        <w:t>3719661.16</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rPr>
        <w:t>3719661.16</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主要用于医疗救助支出。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5"/>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5"/>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6"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6"/>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年度预算绩效评价工作。具体情况：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1.医疗保障与服务能力提升补助资金项目情况：</w:t>
      </w:r>
      <w:r>
        <w:rPr>
          <w:rFonts w:hint="eastAsia" w:ascii="仿宋_GB2312" w:hAnsi="仿宋_GB2312" w:eastAsia="仿宋_GB2312" w:cs="仿宋_GB2312"/>
          <w:sz w:val="32"/>
          <w:szCs w:val="32"/>
          <w:highlight w:val="none"/>
          <w:lang w:val="en-US" w:eastAsia="zh-CN"/>
        </w:rPr>
        <w:t>2021年我县共计下达中央财政医疗服务与保障能力提升补助资金（医疗保障与能力提升部分）资金23万元，共计支出23万元，主要用于医保政策宣传，基金监管，办公设备耗材购置等工作，全面提升全县医疗服务与保障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highlight w:val="none"/>
          <w:lang w:val="en-US" w:eastAsia="zh-CN"/>
        </w:rPr>
        <w:t>2.城乡居民医保补助资金项目：</w:t>
      </w:r>
      <w:r>
        <w:rPr>
          <w:rFonts w:hint="eastAsia" w:ascii="仿宋_GB2312" w:hAnsi="仿宋_GB2312" w:eastAsia="仿宋_GB2312" w:cs="仿宋_GB2312"/>
          <w:sz w:val="32"/>
          <w:szCs w:val="32"/>
        </w:rPr>
        <w:t>2021年度全县城乡居民参保人数为34.5178万人，参保率为95%（以户籍人口为统计基数），其中建档立卡人口参保率为100%。2021年城乡居民医疗保险基金个人缴费收入 9264.5280 万元；参保人数、参保率、筹资水平均创历年新高。项目总支出25636.264201万元，其中住院费用报销支出7146.449136万元，门诊费用报销支出（包含普通门诊及门诊慢病）1399.104422万元，应计提大病保险报销金额 30048万元。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highlight w:val="none"/>
          <w:lang w:val="en-US" w:eastAsia="zh-CN"/>
        </w:rPr>
        <w:t>3.医疗救助补助资金项目情况：</w:t>
      </w:r>
      <w:r>
        <w:rPr>
          <w:rFonts w:hint="eastAsia" w:ascii="仿宋_GB2312" w:hAnsi="仿宋_GB2312" w:eastAsia="仿宋_GB2312" w:cs="仿宋_GB2312"/>
          <w:sz w:val="32"/>
          <w:szCs w:val="32"/>
        </w:rPr>
        <w:t>2021年中央财政和省财政共计下达医疗救助补助资金5974万元，共计支出5421万元，其中参保资助支出2415万元，住院救助支出2996万元，门诊救助支出9.54万元。</w:t>
      </w:r>
    </w:p>
    <w:p>
      <w:pPr>
        <w:pStyle w:val="15"/>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600" w:lineRule="exact"/>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7"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7"/>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sz w:val="32"/>
          <w:szCs w:val="32"/>
          <w:highlight w:val="none"/>
          <w:lang w:val="en-US" w:eastAsia="zh-CN"/>
        </w:rPr>
        <w:t>我县2021年度医保转移支付资金项目执行情况良好，均达到了年初预算绩效制定的目标，项目总体成效显著，为全州医保基金的健康运行贡献了一份力量，基金抗风险能力和共济能力增强，居民医保可持续性进一步提高，参保居民医疗待遇水平明显提高，居民医疗负担明显减轻，“一站式”结算患者比例不断上升，群众就医方便程度不断提高，整体满意度较高。</w:t>
      </w:r>
    </w:p>
    <w:p>
      <w:pPr>
        <w:pStyle w:val="15"/>
        <w:keepNext w:val="0"/>
        <w:keepLines w:val="0"/>
        <w:pageBreakBefore w:val="0"/>
        <w:widowControl w:val="0"/>
        <w:numPr>
          <w:ilvl w:val="0"/>
          <w:numId w:val="4"/>
        </w:numPr>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sz w:val="32"/>
          <w:szCs w:val="32"/>
        </w:rPr>
        <w:t>东乡县2021年度医保转移支付资金项目执行情况良好，均达到了年初预算绩效制定的目标，有效缓解了医保基金压力，提高了参保居民待遇水平，为全州医保基金的健康运行贡献了一份力量，项目总体成效著，基金抗风险能力和共济能力增强，居民医保可持续性进一步提高，参保居民医疗待遇水平明显提高，2021年政策范围内住院医疗费用三项报销比例达到75%以上，其中建档立卡人口政策范围内三项报销比例达到85%以上，居民医疗负担明显减轻，“一站式”结算患者比例不断上升，群众就医方便程度不断提高，整体满意度较高。</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sz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p>
      <w:pPr>
        <w:keepNext w:val="0"/>
        <w:keepLines w:val="0"/>
        <w:pageBreakBefore w:val="0"/>
        <w:widowControl w:val="0"/>
        <w:tabs>
          <w:tab w:val="left" w:pos="4200"/>
          <w:tab w:val="left" w:pos="4620"/>
        </w:tabs>
        <w:kinsoku/>
        <w:wordWrap/>
        <w:overflowPunct/>
        <w:topLinePunct w:val="0"/>
        <w:autoSpaceDE/>
        <w:autoSpaceDN/>
        <w:bidi w:val="0"/>
        <w:adjustRightInd/>
        <w:snapToGrid/>
        <w:spacing w:line="240" w:lineRule="atLeast"/>
        <w:textAlignment w:val="auto"/>
        <w:outlineLvl w:val="9"/>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36"/>
          <w:szCs w:val="36"/>
          <w:highlight w:val="none"/>
          <w:lang w:val="en-US" w:eastAsia="zh-CN"/>
        </w:rPr>
      </w:pPr>
      <w:r>
        <w:rPr>
          <w:rFonts w:hint="eastAsia" w:ascii="方正小标宋简体" w:hAnsi="方正小标宋简体" w:eastAsia="方正小标宋简体" w:cs="方正小标宋简体"/>
          <w:b w:val="0"/>
          <w:bCs w:val="0"/>
          <w:sz w:val="36"/>
          <w:szCs w:val="36"/>
          <w:highlight w:val="none"/>
          <w:lang w:val="en-US" w:eastAsia="zh-CN"/>
        </w:rPr>
        <w:t>关于上报2021年东乡县医疗保障局转移支付资金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highlight w:val="none"/>
          <w:lang w:val="en-US" w:eastAsia="zh-CN"/>
        </w:rPr>
      </w:pPr>
      <w:r>
        <w:rPr>
          <w:rFonts w:hint="eastAsia" w:ascii="方正小标宋简体" w:hAnsi="方正小标宋简体" w:eastAsia="方正小标宋简体" w:cs="方正小标宋简体"/>
          <w:b w:val="0"/>
          <w:bCs w:val="0"/>
          <w:sz w:val="36"/>
          <w:szCs w:val="36"/>
          <w:highlight w:val="none"/>
          <w:lang w:val="en-US" w:eastAsia="zh-CN"/>
        </w:rPr>
        <w:t>绩效自评报告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根据临夏州医疗保障局《转发上级关于开展2021年医保转移支付资金绩效评价工作的通知》（临州医保发[2022]33号）精神，我局严格按照国家医保局、省医保局关于开展医保资金转移支付的工作要求，组织相关人员依据项目支出绩效自评指标,逐条逐项对照自查自评。现将我县医保转移支付资金绩效自评情况报告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（一）项目总体情况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1.医疗保障与服务能力提升补助资金项目情况：</w:t>
      </w:r>
      <w:r>
        <w:rPr>
          <w:rFonts w:hint="eastAsia" w:ascii="仿宋_GB2312" w:hAnsi="仿宋_GB2312" w:eastAsia="仿宋_GB2312" w:cs="仿宋_GB2312"/>
          <w:sz w:val="32"/>
          <w:szCs w:val="32"/>
          <w:highlight w:val="none"/>
          <w:lang w:val="en-US" w:eastAsia="zh-CN"/>
        </w:rPr>
        <w:t>2021年我县共计下达中央财政医疗服务与保障能力提升补助资金（医疗保障与能力提升部分）资金23万元，共计支出23万元，主要用于医保政策宣传，基金监管，办公设备耗材购置等工作，全面提升全县医疗服务与保障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highlight w:val="none"/>
          <w:lang w:val="en-US" w:eastAsia="zh-CN"/>
        </w:rPr>
        <w:t>2.城乡居民医保补助资金项目：</w:t>
      </w:r>
      <w:r>
        <w:rPr>
          <w:rFonts w:hint="eastAsia" w:ascii="仿宋_GB2312" w:hAnsi="仿宋_GB2312" w:eastAsia="仿宋_GB2312" w:cs="仿宋_GB2312"/>
          <w:sz w:val="32"/>
          <w:szCs w:val="32"/>
        </w:rPr>
        <w:t>2021年度全县城乡居民参保人数为34.5178万人，参保率为95%（以户籍人口为统计基数），其中建档立卡人口参保率为100%。2021年城乡居民医疗保险基金个人缴费收入 9264.5280 万元；参保人数、参保率、筹资水平均创历年新高。项目总支出25636.264201万元，其中住院费用报销支出7146.449136万元，门诊费用报销支出（包含普通门诊及门诊慢病）1399.104422万元，应计提大病保险报销金额 30048万元。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highlight w:val="none"/>
          <w:lang w:val="en-US" w:eastAsia="zh-CN"/>
        </w:rPr>
        <w:t>3.医疗救助补助资金项目情况：</w:t>
      </w:r>
      <w:r>
        <w:rPr>
          <w:rFonts w:hint="eastAsia" w:ascii="仿宋_GB2312" w:hAnsi="仿宋_GB2312" w:eastAsia="仿宋_GB2312" w:cs="仿宋_GB2312"/>
          <w:sz w:val="32"/>
          <w:szCs w:val="32"/>
        </w:rPr>
        <w:t>2021年中央财政和省财政共计下达医疗救助补助资金5974万元，共计支出5421万元，其中参保资助支出2415万元，住院救助支出2996万元，门诊救助支出9.54万元。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（二）项目绩效目标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1.年度总体目标：</w:t>
      </w:r>
      <w:r>
        <w:rPr>
          <w:rFonts w:hint="eastAsia" w:ascii="仿宋_GB2312" w:hAnsi="仿宋_GB2312" w:eastAsia="仿宋_GB2312" w:cs="仿宋_GB2312"/>
          <w:sz w:val="32"/>
          <w:szCs w:val="32"/>
          <w:highlight w:val="none"/>
          <w:lang w:val="en-US" w:eastAsia="zh-CN"/>
        </w:rPr>
        <w:t>项目的实施，是为了通过不断提升医疗保障与服务能力，为全县参加城乡居民基本医疗保险的群众提供及时、便捷的医疗保障服务，为建档立卡人口、城乡低保对象、特困供养人员提供参保资助和医疗救助服务，切实减轻群众参保和就医的经济负担，有效解决群众看病难、看病贵的问题，从根本上杜绝因病致贫、因病返贫现象的发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2.具体绩效目标：</w:t>
      </w:r>
      <w:r>
        <w:rPr>
          <w:rFonts w:hint="eastAsia" w:ascii="仿宋_GB2312" w:hAnsi="仿宋_GB2312" w:eastAsia="仿宋_GB2312" w:cs="仿宋_GB2312"/>
          <w:sz w:val="32"/>
          <w:szCs w:val="32"/>
          <w:highlight w:val="none"/>
          <w:lang w:val="en-US" w:eastAsia="zh-CN"/>
        </w:rPr>
        <w:t>通过对定点医药机构的监管，持续加大欺诈骗保的打击力度，规范医药机构的服务行为，推动基本医疗保险基金有效使用、健康运行；通过印制宣传资料、开展宣传活动、滚动播放宣传视频等方式，加强群众对医保扶贫政策、医保报销政策和基金监管等相关政策的知晓度；通过定点医疗机构工作人员、经办机构服务人员等人才队伍的建设培训工作，切实提高医保人员专业素质和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加强医疗保障信息系统建设，加快推行医保支付方式改革，提高异地就医直接结算率，进一步提升医疗保障服务的满意度；按时按要求落实和执行医药价格政策和医药招标采购政策，提升医疗保障能力，提高参保人员对医保服务的满意度；通过调研、督查、召开会议、办公设备购置等工作，全面提升全县医疗服务与保障能力。</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739" w:firstLineChars="231"/>
        <w:textAlignment w:val="auto"/>
        <w:rPr>
          <w:rFonts w:hint="eastAsia"/>
          <w:lang w:val="en-US" w:eastAsia="zh-CN"/>
        </w:rPr>
      </w:pPr>
      <w:r>
        <w:rPr>
          <w:rFonts w:hint="eastAsia" w:ascii="仿宋_GB2312" w:hAnsi="仿宋_GB2312" w:eastAsia="仿宋_GB2312" w:cs="仿宋_GB2312"/>
          <w:sz w:val="32"/>
          <w:szCs w:val="32"/>
        </w:rPr>
        <w:t>居民医保参保人数保持稳定，确保202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年全县城乡居民医保参保率稳定在95%以上，建档立卡人口参保率达到100%，参保居民受益面进一步扩大，获得补偿更加便捷实惠；保证东乡县居民医疗区级财政补助资金及时、足额到位，政府补助标准不低于550 元/人/年。当年各级财政补助资金到位率达到 100%，个人缴费不低于 280元/人/年。政策范围内住院费用基金最高支付限额要达6万元政策范围内住院费</w:t>
      </w:r>
      <w:r>
        <w:rPr>
          <w:rFonts w:hint="eastAsia" w:ascii="仿宋_GB2312" w:hAnsi="仿宋_GB2312" w:eastAsia="仿宋_GB2312" w:cs="仿宋_GB2312"/>
          <w:sz w:val="32"/>
          <w:szCs w:val="32"/>
          <w:u w:val="none"/>
        </w:rPr>
        <w:t>用基金平均支付比例达到 7</w:t>
      </w:r>
      <w:r>
        <w:rPr>
          <w:rFonts w:hint="eastAsia" w:ascii="仿宋_GB2312" w:hAnsi="仿宋_GB2312" w:eastAsia="仿宋_GB2312" w:cs="仿宋_GB2312"/>
          <w:sz w:val="32"/>
          <w:szCs w:val="32"/>
          <w:u w:val="none"/>
          <w:lang w:val="en-US" w:eastAsia="zh-CN"/>
        </w:rPr>
        <w:t>5</w:t>
      </w:r>
      <w:r>
        <w:rPr>
          <w:rFonts w:hint="eastAsia" w:ascii="仿宋_GB2312" w:hAnsi="仿宋_GB2312" w:eastAsia="仿宋_GB2312" w:cs="仿宋_GB2312"/>
          <w:sz w:val="32"/>
          <w:szCs w:val="32"/>
          <w:u w:val="none"/>
        </w:rPr>
        <w:t>%以上，起付线以上的合规医疗费用大病保险支付比例不低于7</w:t>
      </w:r>
      <w:r>
        <w:rPr>
          <w:rFonts w:hint="eastAsia" w:ascii="仿宋_GB2312" w:hAnsi="仿宋_GB2312" w:eastAsia="仿宋_GB2312" w:cs="仿宋_GB2312"/>
          <w:sz w:val="32"/>
          <w:szCs w:val="32"/>
          <w:u w:val="none"/>
          <w:lang w:val="en-US" w:eastAsia="zh-CN"/>
        </w:rPr>
        <w:t>5</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脱贫</w:t>
      </w:r>
      <w:r>
        <w:rPr>
          <w:rFonts w:hint="eastAsia" w:ascii="仿宋_GB2312" w:hAnsi="仿宋_GB2312" w:eastAsia="仿宋_GB2312" w:cs="仿宋_GB2312"/>
          <w:sz w:val="32"/>
          <w:szCs w:val="32"/>
          <w:u w:val="none"/>
        </w:rPr>
        <w:t>人口、城乡低保对象、特困供养人员等特殊人员按照不低于每人每年不低于160元的标准进行参保资助，并对住院和门诊大病产生的费用，在基本医保、大病保险报销后的合规医疗费用报销不低于</w:t>
      </w:r>
      <w:r>
        <w:rPr>
          <w:rFonts w:hint="eastAsia" w:ascii="仿宋_GB2312" w:hAnsi="仿宋_GB2312" w:eastAsia="仿宋_GB2312" w:cs="仿宋_GB2312"/>
          <w:sz w:val="32"/>
          <w:szCs w:val="32"/>
          <w:u w:val="none"/>
          <w:lang w:val="en-US" w:eastAsia="zh-CN"/>
        </w:rPr>
        <w:t>8</w:t>
      </w:r>
      <w:r>
        <w:rPr>
          <w:rFonts w:hint="eastAsia" w:ascii="仿宋_GB2312" w:hAnsi="仿宋_GB2312" w:eastAsia="仿宋_GB2312" w:cs="仿宋_GB2312"/>
          <w:sz w:val="32"/>
          <w:szCs w:val="32"/>
          <w:u w:val="none"/>
        </w:rPr>
        <w:t>5%；</w:t>
      </w:r>
      <w:r>
        <w:rPr>
          <w:rFonts w:hint="eastAsia" w:ascii="仿宋_GB2312" w:hAnsi="仿宋_GB2312" w:eastAsia="仿宋_GB2312" w:cs="仿宋_GB2312"/>
          <w:sz w:val="32"/>
          <w:szCs w:val="32"/>
        </w:rPr>
        <w:t>医保经办服务能力进一步提升，群众对政策的知晓率和满意度不断提高。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二、绩效评价自评工作开展情况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开展绩效评价自评工作的目的是严格落实《社会保险法》、《预算法》及省州绩效管理工作有关规定，客观评价资金使用绩效，规范财政资金管理，加强财政资金使用监督，提高资金使用社会效益，防止财经违纪问题发生，促进医保事业的发展。自评工作的对象和范围是我县2020年城乡居民基本医疗保险补助资金。自评工作严格按照《医保转移支付资金评价工作手册》、《医保转移支付专项资金绩效评价指标体系说明》的要求，对2020年医保资金的筹资、支出等情况进行了认真统计分析，并按照绩效自评指标计分表,逐条逐项对照自查自评，使自评结果做到了科学、客观、公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三、绩效评价结论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我县下达中央医疗保障与服务能力提升补助资金23万元，严格按照进度安排，完成预算的100%。未出现骗取、截留、挤占、挪用等现象。资金到位后，我单位严格按照财务管理规定专款专用，通过印制发放了10000份《基金监管条例》，5000份基金监管便民宣传页，5000份国家药品集中带量采购宣传页，制作展板、横幅开展宣传活动、制作小视频滚动播放宣传视频等方式，加强群众对医保扶贫政策、医保报销政策和基金监管等相关政策的知晓度，得到了老百姓的一致好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我县2021年度医保转移支付资金项目执行情况良好，均达到了年初预算绩效制定的目标，项目总体成效显著，为全州医保基金的健康运行贡献了一份力量，基金抗风险能力和共济能力增强，居民医保可持续性进一步提高，参保居民医疗待遇水平明显提高，居民医疗负担明显减轻，“一站式”结算患者比例不断上升，群众就医方便程度不断提高，整体满意度较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黑体" w:hAnsi="黑体" w:eastAsia="黑体" w:cs="黑体"/>
          <w:sz w:val="32"/>
          <w:szCs w:val="32"/>
        </w:rPr>
      </w:pPr>
      <w:r>
        <w:rPr>
          <w:rFonts w:hint="eastAsia" w:ascii="黑体" w:hAnsi="黑体" w:eastAsia="黑体" w:cs="黑体"/>
          <w:sz w:val="32"/>
          <w:szCs w:val="32"/>
        </w:rPr>
        <w:t>四、绩效评价指标分析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仿宋_GB2312" w:hAnsi="仿宋_GB2312" w:eastAsia="仿宋_GB2312" w:cs="仿宋_GB2312"/>
          <w:b/>
          <w:bCs/>
          <w:sz w:val="32"/>
          <w:szCs w:val="32"/>
        </w:rPr>
      </w:pPr>
      <w:r>
        <w:rPr>
          <w:rFonts w:hint="eastAsia" w:ascii="楷体" w:hAnsi="楷体" w:eastAsia="楷体" w:cs="楷体"/>
          <w:b/>
          <w:bCs/>
          <w:sz w:val="32"/>
          <w:szCs w:val="32"/>
        </w:rPr>
        <w:t>（一）项目决策</w:t>
      </w:r>
      <w:r>
        <w:rPr>
          <w:rFonts w:hint="eastAsia" w:ascii="仿宋_GB2312" w:hAnsi="仿宋_GB2312" w:eastAsia="仿宋_GB2312" w:cs="仿宋_GB2312"/>
          <w:b/>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我县认真执行《临夏州城乡居民医疗保险州级实施方案》，绩效目标设置科学、绩效目标分解细化，中央及地方财政补助资金于12月底前拨付到位，医疗救助补助资金、医疗保障服务与能力提升补助资金分配省财政厅和省医保局按照预算分配方案合理确定，按时分解下达做到了规范合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（二）过程管理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2021年医保基金已实现州级统筹，由州级医保财政专账进行核算，县医保财政设立了基本支出户，严格执行专款专用；州上建立了风险调剂金制度，由州医保部门每年按照医保基金总收入的3%计提了风险调剂金，进一步增强了医保基金的抗风险能力；医保基金的监管工作采用省上的飞行检查、州上的定期不定期抽查和县医保局的日常监督检查相结合的方式，深入开展了打击欺诈骗保专项行动，并依托全州医保基金智能审核监管系统，对县域内的定点医疗机构做到了全覆盖式的监督检查。设立了医保基金违规举报奖励制度，有效的震慑了医保基金的违规行为；城乡居民医疗保险实行了统一的保障制度，实现了医保覆盖范围、筹资政策、待遇保障、医疗、医保目录、定点管理和基金管理“六统一”，经办服务和信息系统实现了全省统一；与县域内的</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家定点医疗机构分别签订了定点医疗机构服务管理协议，严格实行协议管理制度，建立了对定点医疗机构的年终考核评价机制，实行动态进入和退出制度；医保保险信息系统运行良好，能准确反映各项参保及报销数据；按时完成了医保基金的各种统计报表，做到了数据上报及时、数据准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（三）项目产出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2021年城乡居民参保人数为345178人，户籍人口参保率达到了95%</w:t>
      </w:r>
      <w:r>
        <w:rPr>
          <w:rFonts w:hint="eastAsia" w:ascii="仿宋_GB2312" w:hAnsi="仿宋_GB2312" w:eastAsia="仿宋_GB2312" w:cs="仿宋_GB2312"/>
          <w:sz w:val="32"/>
          <w:szCs w:val="32"/>
          <w:lang w:eastAsia="zh-CN"/>
        </w:rPr>
        <w:t>以上</w:t>
      </w:r>
      <w:r>
        <w:rPr>
          <w:rFonts w:hint="eastAsia" w:ascii="仿宋_GB2312" w:hAnsi="仿宋_GB2312" w:eastAsia="仿宋_GB2312" w:cs="仿宋_GB2312"/>
          <w:sz w:val="32"/>
          <w:szCs w:val="32"/>
        </w:rPr>
        <w:t>；各级财政补助标准达到每人550元，其中中央财政补助440元，省级财政补助100元，县级财政补助10元。参保人数的核定工作由县医保局会同县税务局，严格按照实际缴费人数进行核定，无虚报现象；202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年全年共计住院4</w:t>
      </w:r>
      <w:r>
        <w:rPr>
          <w:rFonts w:hint="eastAsia" w:ascii="仿宋_GB2312" w:hAnsi="仿宋_GB2312" w:eastAsia="仿宋_GB2312" w:cs="仿宋_GB2312"/>
          <w:sz w:val="32"/>
          <w:szCs w:val="32"/>
          <w:lang w:val="en-US" w:eastAsia="zh-CN"/>
        </w:rPr>
        <w:t>1682</w:t>
      </w:r>
      <w:r>
        <w:rPr>
          <w:rFonts w:hint="eastAsia" w:ascii="仿宋_GB2312" w:hAnsi="仿宋_GB2312" w:eastAsia="仿宋_GB2312" w:cs="仿宋_GB2312"/>
          <w:sz w:val="32"/>
          <w:szCs w:val="32"/>
        </w:rPr>
        <w:t>人次，住院总费用</w:t>
      </w:r>
      <w:r>
        <w:rPr>
          <w:rFonts w:hint="eastAsia" w:ascii="仿宋_GB2312" w:hAnsi="仿宋_GB2312" w:eastAsia="仿宋_GB2312" w:cs="仿宋_GB2312"/>
          <w:sz w:val="32"/>
          <w:szCs w:val="32"/>
          <w:lang w:val="en-US" w:eastAsia="zh-CN"/>
        </w:rPr>
        <w:t>26598.41</w:t>
      </w:r>
      <w:r>
        <w:rPr>
          <w:rFonts w:hint="eastAsia" w:ascii="仿宋_GB2312" w:hAnsi="仿宋_GB2312" w:eastAsia="仿宋_GB2312" w:cs="仿宋_GB2312"/>
          <w:sz w:val="32"/>
          <w:szCs w:val="32"/>
        </w:rPr>
        <w:t>万元，其中</w:t>
      </w:r>
      <w:r>
        <w:rPr>
          <w:rFonts w:hint="eastAsia" w:ascii="仿宋_GB2312" w:hAnsi="仿宋_GB2312" w:eastAsia="仿宋_GB2312" w:cs="仿宋_GB2312"/>
          <w:sz w:val="32"/>
          <w:szCs w:val="32"/>
          <w:lang w:eastAsia="zh-CN"/>
        </w:rPr>
        <w:t>合规</w:t>
      </w:r>
      <w:r>
        <w:rPr>
          <w:rFonts w:hint="eastAsia" w:ascii="仿宋_GB2312" w:hAnsi="仿宋_GB2312" w:eastAsia="仿宋_GB2312" w:cs="仿宋_GB2312"/>
          <w:sz w:val="32"/>
          <w:szCs w:val="32"/>
        </w:rPr>
        <w:t>费用</w:t>
      </w:r>
      <w:r>
        <w:rPr>
          <w:rFonts w:hint="eastAsia" w:ascii="仿宋_GB2312" w:hAnsi="仿宋_GB2312" w:eastAsia="仿宋_GB2312" w:cs="仿宋_GB2312"/>
          <w:sz w:val="32"/>
          <w:szCs w:val="32"/>
          <w:lang w:val="en-US" w:eastAsia="zh-CN"/>
        </w:rPr>
        <w:t>22015.01</w:t>
      </w:r>
      <w:r>
        <w:rPr>
          <w:rFonts w:hint="eastAsia" w:ascii="仿宋_GB2312" w:hAnsi="仿宋_GB2312" w:eastAsia="仿宋_GB2312" w:cs="仿宋_GB2312"/>
          <w:sz w:val="32"/>
          <w:szCs w:val="32"/>
        </w:rPr>
        <w:t>万元，基本医保报销17</w:t>
      </w:r>
      <w:r>
        <w:rPr>
          <w:rFonts w:hint="eastAsia" w:ascii="仿宋_GB2312" w:hAnsi="仿宋_GB2312" w:eastAsia="仿宋_GB2312" w:cs="仿宋_GB2312"/>
          <w:sz w:val="32"/>
          <w:szCs w:val="32"/>
          <w:lang w:val="en-US" w:eastAsia="zh-CN"/>
        </w:rPr>
        <w:t>643.95</w:t>
      </w:r>
      <w:r>
        <w:rPr>
          <w:rFonts w:hint="eastAsia" w:ascii="仿宋_GB2312" w:hAnsi="仿宋_GB2312" w:eastAsia="仿宋_GB2312" w:cs="仿宋_GB2312"/>
          <w:sz w:val="32"/>
          <w:szCs w:val="32"/>
        </w:rPr>
        <w:t>万元，住院总费用实际报销率为6</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%；城乡居民医保门诊已实行统筹管理，未设立个人账户； 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年城乡居民医疗救助共计</w:t>
      </w:r>
      <w:r>
        <w:rPr>
          <w:rFonts w:hint="eastAsia" w:ascii="仿宋_GB2312" w:hAnsi="仿宋_GB2312" w:eastAsia="仿宋_GB2312" w:cs="仿宋_GB2312"/>
          <w:sz w:val="32"/>
          <w:szCs w:val="32"/>
          <w:lang w:val="en-US" w:eastAsia="zh-CN"/>
        </w:rPr>
        <w:t>18838</w:t>
      </w:r>
      <w:r>
        <w:rPr>
          <w:rFonts w:hint="eastAsia" w:ascii="仿宋_GB2312" w:hAnsi="仿宋_GB2312" w:eastAsia="仿宋_GB2312" w:cs="仿宋_GB2312"/>
          <w:sz w:val="32"/>
          <w:szCs w:val="32"/>
        </w:rPr>
        <w:t>人次，救助金额</w:t>
      </w:r>
      <w:r>
        <w:rPr>
          <w:rFonts w:hint="eastAsia" w:ascii="仿宋_GB2312" w:hAnsi="仿宋_GB2312" w:eastAsia="仿宋_GB2312" w:cs="仿宋_GB2312"/>
          <w:sz w:val="32"/>
          <w:szCs w:val="32"/>
          <w:lang w:val="en-US" w:eastAsia="zh-CN"/>
        </w:rPr>
        <w:t>2401.96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180202</w:t>
      </w:r>
      <w:r>
        <w:rPr>
          <w:rFonts w:hint="eastAsia" w:ascii="仿宋_GB2312" w:hAnsi="仿宋_GB2312" w:eastAsia="仿宋_GB2312" w:cs="仿宋_GB2312"/>
          <w:sz w:val="32"/>
          <w:szCs w:val="32"/>
        </w:rPr>
        <w:t>名资助对象资助</w:t>
      </w:r>
      <w:r>
        <w:rPr>
          <w:rFonts w:hint="eastAsia" w:ascii="仿宋_GB2312" w:hAnsi="仿宋_GB2312" w:eastAsia="仿宋_GB2312" w:cs="仿宋_GB2312"/>
          <w:sz w:val="32"/>
          <w:szCs w:val="32"/>
          <w:lang w:val="en-US" w:eastAsia="zh-CN"/>
        </w:rPr>
        <w:t>2941</w:t>
      </w:r>
      <w:r>
        <w:rPr>
          <w:rFonts w:hint="eastAsia" w:ascii="仿宋_GB2312" w:hAnsi="仿宋_GB2312" w:eastAsia="仿宋_GB2312" w:cs="仿宋_GB2312"/>
          <w:sz w:val="32"/>
          <w:szCs w:val="32"/>
        </w:rPr>
        <w:t>万元，其中建档立卡人口资助15</w:t>
      </w:r>
      <w:r>
        <w:rPr>
          <w:rFonts w:hint="eastAsia" w:ascii="仿宋_GB2312" w:hAnsi="仿宋_GB2312" w:eastAsia="仿宋_GB2312" w:cs="仿宋_GB2312"/>
          <w:sz w:val="32"/>
          <w:szCs w:val="32"/>
          <w:lang w:val="en-US" w:eastAsia="zh-CN"/>
        </w:rPr>
        <w:t>4757</w:t>
      </w:r>
      <w:r>
        <w:rPr>
          <w:rFonts w:hint="eastAsia" w:ascii="仿宋_GB2312" w:hAnsi="仿宋_GB2312" w:eastAsia="仿宋_GB2312" w:cs="仿宋_GB2312"/>
          <w:sz w:val="32"/>
          <w:szCs w:val="32"/>
        </w:rPr>
        <w:t>人，资助金额</w:t>
      </w:r>
      <w:r>
        <w:rPr>
          <w:rFonts w:hint="eastAsia" w:ascii="仿宋_GB2312" w:hAnsi="仿宋_GB2312" w:eastAsia="仿宋_GB2312" w:cs="仿宋_GB2312"/>
          <w:sz w:val="32"/>
          <w:szCs w:val="32"/>
          <w:lang w:val="en-US" w:eastAsia="zh-CN"/>
        </w:rPr>
        <w:t>2492.41</w:t>
      </w:r>
      <w:r>
        <w:rPr>
          <w:rFonts w:hint="eastAsia" w:ascii="仿宋_GB2312" w:hAnsi="仿宋_GB2312" w:eastAsia="仿宋_GB2312" w:cs="仿宋_GB2312"/>
          <w:sz w:val="32"/>
          <w:szCs w:val="32"/>
        </w:rPr>
        <w:t>万元；参保人员在州内定点医疗机构中就医的，或省内异地就医后及时办理了备案手续的，三项报销已全部实现了“一站式”结报，跨省异地就医患者备案后，基本医保费用可在住院地“一站式”结报。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（四）项目效益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东乡县2021年度医保转移支付资金项目执行情况良好，均达到了年初预算绩效制定的目标，有效缓解了医保基金压力，提高了参保居民待遇水平，为全州医保基金的健康运行贡献了一份力量，项目总体成效著，基金抗风险能力和共济能力增强，居民医保可持续性进一步提高，参保居民医疗待遇水平明显提高，2021年政策范围内住院医疗费用三项报销比例达到75%以上，其中建档立卡人口政策范围内三项报销比例达到85%以上，居民医疗负担明显减轻，“一站式”结算患者比例不断上升，群众就医方便程度不断提高，整体满意度较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四、存在的问题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楷体" w:hAnsi="楷体" w:eastAsia="楷体" w:cs="楷体"/>
          <w:b/>
          <w:bCs/>
          <w:sz w:val="32"/>
          <w:szCs w:val="32"/>
          <w:lang w:val="en-US" w:eastAsia="zh-CN"/>
        </w:rPr>
        <w:t>（一）</w:t>
      </w:r>
      <w:r>
        <w:rPr>
          <w:rFonts w:hint="eastAsia" w:ascii="仿宋_GB2312" w:hAnsi="仿宋_GB2312" w:eastAsia="仿宋_GB2312" w:cs="仿宋_GB2312"/>
          <w:b w:val="0"/>
          <w:bCs w:val="0"/>
          <w:sz w:val="32"/>
          <w:szCs w:val="32"/>
          <w:lang w:val="en-US" w:eastAsia="zh-CN"/>
        </w:rPr>
        <w:t>县级医疗保障部门人员编制紧缺，特别是医学、会计、大数据等专业技术人才匮乏，加之现有人员知识水平偏低，对医保相关政策缺乏深入系统的研究学习，执行政策的坚决性、准确性有待进一步提升。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楷体" w:hAnsi="楷体" w:eastAsia="楷体" w:cs="楷体"/>
          <w:b/>
          <w:bCs/>
          <w:sz w:val="32"/>
          <w:szCs w:val="32"/>
          <w:lang w:val="en-US" w:eastAsia="zh-CN"/>
        </w:rPr>
        <w:t>（二）</w:t>
      </w:r>
      <w:r>
        <w:rPr>
          <w:rFonts w:hint="eastAsia" w:ascii="仿宋_GB2312" w:hAnsi="仿宋_GB2312" w:eastAsia="仿宋_GB2312" w:cs="仿宋_GB2312"/>
          <w:b w:val="0"/>
          <w:bCs w:val="0"/>
          <w:sz w:val="32"/>
          <w:szCs w:val="32"/>
          <w:lang w:val="en-US" w:eastAsia="zh-CN"/>
        </w:rPr>
        <w:t>医保政策的宣传还不深不透。我县群众受教育程度低，文化水平低、知识匮乏，虽然我们按照省州要求大范围开展政策大宣传大宣讲活动，但宣讲政策中往往出现百姓不识字、听不清、弄不懂的现象，如何让群众能够尽可能多的了解和掌握基本医保政策，既是我们面临的难题也是今后工作的重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黑体" w:hAnsi="黑体" w:eastAsia="黑体" w:cs="黑体"/>
          <w:b/>
          <w:bCs/>
          <w:sz w:val="32"/>
          <w:szCs w:val="32"/>
        </w:rPr>
      </w:pPr>
      <w:r>
        <w:rPr>
          <w:rFonts w:hint="eastAsia" w:ascii="黑体" w:hAnsi="黑体" w:eastAsia="黑体" w:cs="黑体"/>
          <w:b/>
          <w:bCs/>
          <w:sz w:val="32"/>
          <w:szCs w:val="32"/>
        </w:rPr>
        <w:t>六、意见建议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仿宋_GB2312" w:hAnsi="仿宋_GB2312" w:eastAsia="仿宋_GB2312" w:cs="仿宋_GB2312"/>
          <w:sz w:val="32"/>
          <w:szCs w:val="32"/>
        </w:rPr>
      </w:pPr>
      <w:r>
        <w:rPr>
          <w:rFonts w:hint="eastAsia" w:ascii="楷体" w:hAnsi="楷体" w:eastAsia="楷体" w:cs="楷体"/>
          <w:b/>
          <w:bCs/>
          <w:sz w:val="32"/>
          <w:szCs w:val="32"/>
        </w:rPr>
        <w:t>（一）进一步规范分级诊疗政策。</w:t>
      </w:r>
      <w:r>
        <w:rPr>
          <w:rFonts w:hint="eastAsia" w:ascii="仿宋_GB2312" w:hAnsi="仿宋_GB2312" w:eastAsia="仿宋_GB2312" w:cs="仿宋_GB2312"/>
          <w:sz w:val="32"/>
          <w:szCs w:val="32"/>
        </w:rPr>
        <w:t>按照“简化手续、缩短时间、提高效率、方便群众”的分级诊疗总要求，进一步简化服务流程，规范医疗行为，减轻群众医疗费用负担，加快形成基层首诊、分级诊疗、双向转诊的就医新格局。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仿宋_GB2312" w:hAnsi="仿宋_GB2312" w:eastAsia="仿宋_GB2312" w:cs="仿宋_GB2312"/>
          <w:sz w:val="32"/>
          <w:szCs w:val="32"/>
        </w:rPr>
      </w:pPr>
      <w:r>
        <w:rPr>
          <w:rFonts w:hint="eastAsia" w:ascii="楷体" w:hAnsi="楷体" w:eastAsia="楷体" w:cs="楷体"/>
          <w:b/>
          <w:bCs/>
          <w:sz w:val="32"/>
          <w:szCs w:val="32"/>
        </w:rPr>
        <w:t>（二）不断提高基层医疗机构服务水平。</w:t>
      </w:r>
      <w:r>
        <w:rPr>
          <w:rFonts w:hint="eastAsia" w:ascii="仿宋_GB2312" w:hAnsi="仿宋_GB2312" w:eastAsia="仿宋_GB2312" w:cs="仿宋_GB2312"/>
          <w:sz w:val="32"/>
          <w:szCs w:val="32"/>
        </w:rPr>
        <w:t>积极和卫建部门对接联系，加大对基层医疗机构的投入力度，提高基层医疗机构服务水平，方便群众就医，减轻医保基金压力。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仿宋_GB2312" w:hAnsi="仿宋_GB2312" w:eastAsia="仿宋_GB2312" w:cs="仿宋_GB2312"/>
          <w:sz w:val="32"/>
          <w:szCs w:val="32"/>
        </w:rPr>
      </w:pPr>
      <w:r>
        <w:rPr>
          <w:rFonts w:hint="eastAsia" w:ascii="楷体" w:hAnsi="楷体" w:eastAsia="楷体" w:cs="楷体"/>
          <w:b/>
          <w:bCs/>
          <w:sz w:val="32"/>
          <w:szCs w:val="32"/>
        </w:rPr>
        <w:t>（三）持续加强医保政策宣传。</w:t>
      </w:r>
      <w:r>
        <w:rPr>
          <w:rFonts w:hint="eastAsia" w:ascii="仿宋_GB2312" w:hAnsi="仿宋_GB2312" w:eastAsia="仿宋_GB2312" w:cs="仿宋_GB2312"/>
          <w:sz w:val="32"/>
          <w:szCs w:val="32"/>
        </w:rPr>
        <w:t>通过对医保政策持续不断的宣传，力争让政策家喻户晓、深入人心，切实提高城乡居民对医保政策的知晓率，提高群众参保的积极性和群众满意度。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附件：1.甘肃省城乡居民医保补助资金绩效评价自评表；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2.甘肃省医疗救助补助资金绩效评价自评表；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华文仿宋" w:hAnsi="华文仿宋" w:eastAsia="华文仿宋" w:cs="华文仿宋"/>
          <w:sz w:val="32"/>
          <w:szCs w:val="32"/>
          <w:highlight w:val="none"/>
          <w:lang w:val="en-US" w:eastAsia="zh-CN"/>
        </w:rPr>
      </w:pPr>
      <w:r>
        <w:rPr>
          <w:rFonts w:hint="eastAsia" w:ascii="仿宋_GB2312" w:hAnsi="仿宋_GB2312" w:eastAsia="仿宋_GB2312" w:cs="仿宋_GB2312"/>
          <w:b w:val="0"/>
          <w:bCs w:val="0"/>
          <w:sz w:val="32"/>
          <w:szCs w:val="32"/>
          <w:lang w:val="en-US" w:eastAsia="zh-CN"/>
        </w:rPr>
        <w:t>3.医疗服务与保障能力提升补助资金绩效评价自评表；</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default" w:ascii="华文仿宋" w:hAnsi="华文仿宋" w:eastAsia="华文仿宋" w:cs="华文仿宋"/>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sz w:val="32"/>
          <w:szCs w:val="32"/>
          <w:highlight w:val="none"/>
          <w:lang w:val="en-US" w:eastAsia="zh-CN"/>
        </w:rPr>
      </w:pPr>
      <w:r>
        <w:rPr>
          <w:rFonts w:hint="eastAsia" w:ascii="仿宋" w:hAnsi="仿宋" w:eastAsia="仿宋" w:cs="仿宋"/>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东乡县医疗保障局</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 w:hAnsi="仿宋" w:eastAsia="仿宋" w:cs="仿宋"/>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2022年2月18日 </w:t>
      </w:r>
      <w:r>
        <w:rPr>
          <w:rFonts w:hint="eastAsia" w:ascii="仿宋" w:hAnsi="仿宋" w:eastAsia="仿宋" w:cs="仿宋"/>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u w:val="none"/>
          <w:lang w:val="en-US" w:eastAsia="zh-CN"/>
        </w:rPr>
      </w:pPr>
    </w:p>
    <w:p>
      <w:pPr>
        <w:spacing w:line="1043" w:lineRule="atLeast"/>
        <w:ind w:firstLine="1446"/>
        <w:rPr>
          <w:rFonts w:hint="eastAsia" w:ascii="黑体" w:hAnsi="黑体" w:eastAsia="黑体"/>
          <w:b/>
          <w:sz w:val="48"/>
          <w:szCs w:val="20"/>
        </w:rPr>
      </w:pPr>
    </w:p>
    <w:p>
      <w:pPr>
        <w:tabs>
          <w:tab w:val="left" w:pos="4200"/>
          <w:tab w:val="left" w:pos="4620"/>
        </w:tabs>
        <w:spacing w:before="156" w:beforeLines="50" w:line="240" w:lineRule="atLeast"/>
        <w:rPr>
          <w:rFonts w:hint="eastAsia" w:ascii="仿宋_GB2312" w:hAnsi="仿宋_GB2312" w:eastAsia="仿宋_GB2312"/>
          <w:sz w:val="32"/>
        </w:rPr>
      </w:pPr>
    </w:p>
    <w:p>
      <w:pPr>
        <w:tabs>
          <w:tab w:val="left" w:pos="4200"/>
          <w:tab w:val="left" w:pos="4620"/>
        </w:tabs>
        <w:spacing w:before="156" w:beforeLines="50" w:line="240" w:lineRule="atLeast"/>
        <w:rPr>
          <w:rFonts w:hint="eastAsia" w:ascii="仿宋_GB2312" w:hAnsi="仿宋_GB2312" w:eastAsia="仿宋_GB2312"/>
          <w:sz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sectPr>
      <w:footerReference r:id="rId5"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auto"/>
    <w:pitch w:val="default"/>
    <w:sig w:usb0="E10002FF" w:usb1="4000FCFF" w:usb2="00000009" w:usb3="00000000" w:csb0="6000019F" w:csb1="DFD70000"/>
  </w:font>
  <w:font w:name="仿宋_GB2312">
    <w:panose1 w:val="02010609030101010101"/>
    <w:charset w:val="86"/>
    <w:family w:val="auto"/>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6192;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FED330"/>
    <w:multiLevelType w:val="singleLevel"/>
    <w:tmpl w:val="E6FED330"/>
    <w:lvl w:ilvl="0" w:tentative="0">
      <w:start w:val="4"/>
      <w:numFmt w:val="chineseCounting"/>
      <w:suff w:val="nothing"/>
      <w:lvlText w:val="%1、"/>
      <w:lvlJc w:val="left"/>
      <w:rPr>
        <w:rFonts w:hint="eastAsia"/>
      </w:rPr>
    </w:lvl>
  </w:abstractNum>
  <w:abstractNum w:abstractNumId="1">
    <w:nsid w:val="FAD3D0DC"/>
    <w:multiLevelType w:val="singleLevel"/>
    <w:tmpl w:val="FAD3D0DC"/>
    <w:lvl w:ilvl="0" w:tentative="0">
      <w:start w:val="3"/>
      <w:numFmt w:val="chineseCounting"/>
      <w:lvlText w:val="（%1）"/>
      <w:lvlJc w:val="left"/>
      <w:rPr>
        <w:rFonts w:hint="eastAsia"/>
      </w:rPr>
    </w:lvl>
  </w:abstractNum>
  <w:abstractNum w:abstractNumId="2">
    <w:nsid w:val="392DA4FF"/>
    <w:multiLevelType w:val="singleLevel"/>
    <w:tmpl w:val="392DA4FF"/>
    <w:lvl w:ilvl="0" w:tentative="0">
      <w:start w:val="3"/>
      <w:numFmt w:val="chineseCounting"/>
      <w:suff w:val="nothing"/>
      <w:lvlText w:val="%1、"/>
      <w:lvlJc w:val="left"/>
      <w:rPr>
        <w:rFonts w:hint="eastAsia"/>
      </w:rPr>
    </w:lvl>
  </w:abstractNum>
  <w:abstractNum w:abstractNumId="3">
    <w:nsid w:val="3FA184EB"/>
    <w:multiLevelType w:val="singleLevel"/>
    <w:tmpl w:val="3FA184EB"/>
    <w:lvl w:ilvl="0" w:tentative="0">
      <w:start w:val="8"/>
      <w:numFmt w:val="chineseCounting"/>
      <w:lvlText w:val="%1、"/>
      <w:lvlJc w:val="left"/>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NjA5OGIyMGIyZmYwMzRmOGQ4NGUyYWRmMWFkNzYxN2QifQ=="/>
  </w:docVars>
  <w:rsids>
    <w:rsidRoot w:val="00000000"/>
    <w:rsid w:val="00133387"/>
    <w:rsid w:val="0511788F"/>
    <w:rsid w:val="06AA1511"/>
    <w:rsid w:val="0A4C6688"/>
    <w:rsid w:val="0E5448E3"/>
    <w:rsid w:val="1739327C"/>
    <w:rsid w:val="19BA4320"/>
    <w:rsid w:val="1B205130"/>
    <w:rsid w:val="1E712589"/>
    <w:rsid w:val="1F523B54"/>
    <w:rsid w:val="25FD0C5D"/>
    <w:rsid w:val="29C05E6C"/>
    <w:rsid w:val="2F990904"/>
    <w:rsid w:val="315833FC"/>
    <w:rsid w:val="39F46F0A"/>
    <w:rsid w:val="3ABD5DEE"/>
    <w:rsid w:val="3BD710AD"/>
    <w:rsid w:val="41670196"/>
    <w:rsid w:val="42736B67"/>
    <w:rsid w:val="43D445BB"/>
    <w:rsid w:val="44C234AE"/>
    <w:rsid w:val="4B60103E"/>
    <w:rsid w:val="4F1428B3"/>
    <w:rsid w:val="537062B7"/>
    <w:rsid w:val="57D535F7"/>
    <w:rsid w:val="58806626"/>
    <w:rsid w:val="60D720E0"/>
    <w:rsid w:val="62922058"/>
    <w:rsid w:val="64071B12"/>
    <w:rsid w:val="71531A1F"/>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6">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line="480" w:lineRule="auto"/>
      <w:ind w:left="420" w:leftChars="200"/>
    </w:p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7">
    <w:name w:val="Strong"/>
    <w:basedOn w:val="6"/>
    <w:qFormat/>
    <w:uiPriority w:val="0"/>
    <w:rPr>
      <w:b/>
      <w:bCs/>
    </w:rPr>
  </w:style>
  <w:style w:type="character" w:styleId="8">
    <w:name w:val="FollowedHyperlink"/>
    <w:basedOn w:val="6"/>
    <w:qFormat/>
    <w:uiPriority w:val="0"/>
    <w:rPr>
      <w:color w:val="333333"/>
      <w:u w:val="none"/>
    </w:rPr>
  </w:style>
  <w:style w:type="character" w:styleId="9">
    <w:name w:val="HTML Definition"/>
    <w:basedOn w:val="6"/>
    <w:qFormat/>
    <w:uiPriority w:val="0"/>
    <w:rPr>
      <w:i/>
      <w:iCs/>
    </w:rPr>
  </w:style>
  <w:style w:type="character" w:styleId="10">
    <w:name w:val="Hyperlink"/>
    <w:basedOn w:val="6"/>
    <w:qFormat/>
    <w:uiPriority w:val="0"/>
    <w:rPr>
      <w:color w:val="333333"/>
      <w:u w:val="none"/>
    </w:rPr>
  </w:style>
  <w:style w:type="character" w:styleId="11">
    <w:name w:val="HTML Code"/>
    <w:basedOn w:val="6"/>
    <w:qFormat/>
    <w:uiPriority w:val="0"/>
    <w:rPr>
      <w:rFonts w:ascii="Consolas" w:hAnsi="Consolas" w:eastAsia="Consolas" w:cs="Consolas"/>
      <w:color w:val="C7254E"/>
      <w:sz w:val="21"/>
      <w:szCs w:val="21"/>
      <w:shd w:val="clear" w:fill="F9F2F4"/>
    </w:rPr>
  </w:style>
  <w:style w:type="character" w:styleId="12">
    <w:name w:val="HTML Keyboard"/>
    <w:basedOn w:val="6"/>
    <w:qFormat/>
    <w:uiPriority w:val="0"/>
    <w:rPr>
      <w:rFonts w:hint="default" w:ascii="Consolas" w:hAnsi="Consolas" w:eastAsia="Consolas" w:cs="Consolas"/>
      <w:color w:val="FFFFFF"/>
      <w:sz w:val="21"/>
      <w:szCs w:val="21"/>
      <w:shd w:val="clear" w:fill="333333"/>
    </w:rPr>
  </w:style>
  <w:style w:type="character" w:styleId="13">
    <w:name w:val="HTML Sample"/>
    <w:basedOn w:val="6"/>
    <w:qFormat/>
    <w:uiPriority w:val="0"/>
    <w:rPr>
      <w:rFonts w:hint="default" w:ascii="Consolas" w:hAnsi="Consolas" w:eastAsia="Consolas" w:cs="Consolas"/>
      <w:sz w:val="21"/>
      <w:szCs w:val="21"/>
    </w:rPr>
  </w:style>
  <w:style w:type="character" w:customStyle="1" w:styleId="14">
    <w:name w:val="Body text|1_"/>
    <w:basedOn w:val="6"/>
    <w:link w:val="15"/>
    <w:qFormat/>
    <w:uiPriority w:val="0"/>
    <w:rPr>
      <w:rFonts w:ascii="宋体" w:hAnsi="宋体" w:eastAsia="宋体" w:cs="宋体"/>
      <w:sz w:val="30"/>
      <w:szCs w:val="30"/>
      <w:u w:val="none"/>
      <w:shd w:val="clear" w:color="auto" w:fill="auto"/>
      <w:lang w:val="zh-TW" w:eastAsia="zh-TW" w:bidi="zh-TW"/>
    </w:rPr>
  </w:style>
  <w:style w:type="paragraph" w:customStyle="1" w:styleId="15">
    <w:name w:val="Body text|1"/>
    <w:basedOn w:val="1"/>
    <w:link w:val="14"/>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6">
    <w:name w:val="Header or footer|2_"/>
    <w:basedOn w:val="6"/>
    <w:link w:val="17"/>
    <w:qFormat/>
    <w:uiPriority w:val="0"/>
    <w:rPr>
      <w:sz w:val="20"/>
      <w:szCs w:val="20"/>
      <w:u w:val="none"/>
      <w:shd w:val="clear" w:color="auto" w:fill="auto"/>
      <w:lang w:val="zh-TW" w:eastAsia="zh-TW" w:bidi="zh-TW"/>
    </w:rPr>
  </w:style>
  <w:style w:type="paragraph" w:customStyle="1" w:styleId="17">
    <w:name w:val="Header or footer|2"/>
    <w:basedOn w:val="1"/>
    <w:link w:val="16"/>
    <w:qFormat/>
    <w:uiPriority w:val="0"/>
    <w:pPr>
      <w:widowControl w:val="0"/>
      <w:shd w:val="clear" w:color="auto" w:fill="auto"/>
    </w:pPr>
    <w:rPr>
      <w:sz w:val="20"/>
      <w:szCs w:val="20"/>
      <w:u w:val="none"/>
      <w:shd w:val="clear" w:color="auto" w:fill="auto"/>
      <w:lang w:val="zh-TW" w:eastAsia="zh-TW" w:bidi="zh-TW"/>
    </w:rPr>
  </w:style>
  <w:style w:type="character" w:customStyle="1" w:styleId="18">
    <w:name w:val="Heading #1|1_"/>
    <w:basedOn w:val="6"/>
    <w:link w:val="19"/>
    <w:qFormat/>
    <w:uiPriority w:val="0"/>
    <w:rPr>
      <w:rFonts w:ascii="宋体" w:hAnsi="宋体" w:eastAsia="宋体" w:cs="宋体"/>
      <w:sz w:val="34"/>
      <w:szCs w:val="34"/>
      <w:u w:val="none"/>
      <w:shd w:val="clear" w:color="auto" w:fill="FFFFFF"/>
      <w:lang w:val="zh-TW" w:eastAsia="zh-TW" w:bidi="zh-TW"/>
    </w:rPr>
  </w:style>
  <w:style w:type="paragraph" w:customStyle="1" w:styleId="19">
    <w:name w:val="Heading #1|1"/>
    <w:basedOn w:val="1"/>
    <w:link w:val="18"/>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20">
    <w:name w:val="Header or footer|1_"/>
    <w:basedOn w:val="6"/>
    <w:link w:val="21"/>
    <w:qFormat/>
    <w:uiPriority w:val="0"/>
    <w:rPr>
      <w:sz w:val="17"/>
      <w:szCs w:val="17"/>
      <w:u w:val="none"/>
      <w:shd w:val="clear" w:color="auto" w:fill="auto"/>
      <w:lang w:val="zh-TW" w:eastAsia="zh-TW" w:bidi="zh-TW"/>
    </w:rPr>
  </w:style>
  <w:style w:type="paragraph" w:customStyle="1" w:styleId="21">
    <w:name w:val="Header or footer|1"/>
    <w:basedOn w:val="1"/>
    <w:link w:val="20"/>
    <w:qFormat/>
    <w:uiPriority w:val="0"/>
    <w:pPr>
      <w:widowControl w:val="0"/>
      <w:shd w:val="clear" w:color="auto" w:fill="auto"/>
    </w:pPr>
    <w:rPr>
      <w:sz w:val="17"/>
      <w:szCs w:val="17"/>
      <w:u w:val="none"/>
      <w:shd w:val="clear" w:color="auto" w:fill="auto"/>
      <w:lang w:val="zh-TW" w:eastAsia="zh-TW" w:bidi="zh-TW"/>
    </w:rPr>
  </w:style>
  <w:style w:type="character" w:customStyle="1" w:styleId="22">
    <w:name w:val="Table of contents|1_"/>
    <w:basedOn w:val="6"/>
    <w:link w:val="23"/>
    <w:qFormat/>
    <w:uiPriority w:val="0"/>
    <w:rPr>
      <w:rFonts w:ascii="宋体" w:hAnsi="宋体" w:eastAsia="宋体" w:cs="宋体"/>
      <w:sz w:val="30"/>
      <w:szCs w:val="30"/>
      <w:u w:val="none"/>
      <w:shd w:val="clear" w:color="auto" w:fill="auto"/>
      <w:lang w:val="zh-TW" w:eastAsia="zh-TW" w:bidi="zh-TW"/>
    </w:rPr>
  </w:style>
  <w:style w:type="paragraph" w:customStyle="1" w:styleId="23">
    <w:name w:val="Table of contents|1"/>
    <w:basedOn w:val="1"/>
    <w:link w:val="22"/>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4">
    <w:name w:val="zwxxgk_bnt6"/>
    <w:basedOn w:val="6"/>
    <w:qFormat/>
    <w:uiPriority w:val="0"/>
  </w:style>
  <w:style w:type="character" w:customStyle="1" w:styleId="25">
    <w:name w:val="zwxxgk_bnt61"/>
    <w:basedOn w:val="6"/>
    <w:qFormat/>
    <w:uiPriority w:val="0"/>
  </w:style>
  <w:style w:type="character" w:customStyle="1" w:styleId="26">
    <w:name w:val="zwxxgk_bnt62"/>
    <w:basedOn w:val="6"/>
    <w:qFormat/>
    <w:uiPriority w:val="0"/>
  </w:style>
  <w:style w:type="character" w:customStyle="1" w:styleId="27">
    <w:name w:val="zwxxgk_bnt5"/>
    <w:basedOn w:val="6"/>
    <w:qFormat/>
    <w:uiPriority w:val="0"/>
  </w:style>
  <w:style w:type="character" w:customStyle="1" w:styleId="28">
    <w:name w:val="zwxxgk_bnt51"/>
    <w:basedOn w:val="6"/>
    <w:qFormat/>
    <w:uiPriority w:val="0"/>
  </w:style>
  <w:style w:type="character" w:customStyle="1" w:styleId="29">
    <w:name w:val="zwxxgk_bnt52"/>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18</Pages>
  <Words>8272</Words>
  <Characters>12323</Characters>
  <TotalTime>8</TotalTime>
  <ScaleCrop>false</ScaleCrop>
  <LinksUpToDate>false</LinksUpToDate>
  <CharactersWithSpaces>14027</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Administrator</cp:lastModifiedBy>
  <cp:lastPrinted>2022-08-31T08:40:00Z</cp:lastPrinted>
  <dcterms:modified xsi:type="dcterms:W3CDTF">2022-09-18T14:34:01Z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3FB965A942B84C0B8C0D4DECFF396933</vt:lpwstr>
  </property>
</Properties>
</file>