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hanging="400"/>
        <w:jc w:val="left"/>
        <w:rPr>
          <w:color w:val="000000"/>
          <w:spacing w:val="0"/>
          <w:w w:val="100"/>
          <w:position w:val="0"/>
          <w:sz w:val="32"/>
          <w:szCs w:val="32"/>
        </w:rPr>
      </w:pP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eastAsia="zh-CN"/>
        </w:rPr>
        <w:t>临夏州东乡族自治县市场监督管理局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keepNext w:val="0"/>
        <w:keepLines w:val="0"/>
        <w:pageBreakBefore w:val="0"/>
        <w:kinsoku/>
        <w:wordWrap/>
        <w:overflowPunct/>
        <w:topLinePunct w:val="0"/>
        <w:autoSpaceDE/>
        <w:autoSpaceDN/>
        <w:bidi w:val="0"/>
        <w:adjustRightInd/>
        <w:snapToGrid/>
        <w:spacing w:line="520" w:lineRule="exact"/>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bookmarkStart w:id="20" w:name="_GoBack"/>
      <w:bookmarkEnd w:id="20"/>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520" w:lineRule="exact"/>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val="0"/>
          <w:bCs w:val="0"/>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bookmarkStart w:id="16" w:name="bookmark24"/>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w:t>
      </w:r>
      <w:r>
        <w:rPr>
          <w:rFonts w:hint="eastAsia" w:ascii="仿宋_GB2312" w:hAnsi="仿宋_GB2312" w:eastAsia="仿宋_GB2312"/>
          <w:sz w:val="32"/>
        </w:rPr>
        <w:t>）负责全县</w:t>
      </w:r>
      <w:r>
        <w:rPr>
          <w:rFonts w:hint="eastAsia" w:ascii="仿宋_GB2312" w:hAnsi="仿宋_GB2312" w:eastAsia="仿宋_GB2312"/>
          <w:sz w:val="32"/>
          <w:lang w:val="en-US" w:eastAsia="zh-CN"/>
        </w:rPr>
        <w:t>市场监督</w:t>
      </w:r>
      <w:r>
        <w:rPr>
          <w:rFonts w:hint="eastAsia" w:ascii="仿宋_GB2312" w:hAnsi="仿宋_GB2312" w:eastAsia="仿宋_GB2312"/>
          <w:sz w:val="32"/>
        </w:rPr>
        <w:t>管理系统市场监督管理和行政执法工作，对本局业务、行政、人事、财务、监察实行管理。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w:t>
      </w:r>
      <w:r>
        <w:rPr>
          <w:rFonts w:hint="eastAsia" w:ascii="仿宋_GB2312" w:hAnsi="仿宋_GB2312" w:eastAsia="仿宋_GB2312"/>
          <w:sz w:val="32"/>
        </w:rPr>
        <w:t>）贯彻执行国家和省州有关</w:t>
      </w:r>
      <w:r>
        <w:rPr>
          <w:rFonts w:hint="eastAsia" w:ascii="仿宋_GB2312" w:hAnsi="仿宋_GB2312" w:eastAsia="仿宋_GB2312"/>
          <w:sz w:val="32"/>
          <w:lang w:val="en-US" w:eastAsia="zh-CN"/>
        </w:rPr>
        <w:t>市场监督</w:t>
      </w:r>
      <w:r>
        <w:rPr>
          <w:rFonts w:hint="eastAsia" w:ascii="仿宋_GB2312" w:hAnsi="仿宋_GB2312" w:eastAsia="仿宋_GB2312"/>
          <w:sz w:val="32"/>
        </w:rPr>
        <w:t>管理的法律法规和方针、政策。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3</w:t>
      </w:r>
      <w:r>
        <w:rPr>
          <w:rFonts w:hint="eastAsia" w:ascii="仿宋_GB2312" w:hAnsi="仿宋_GB2312" w:eastAsia="仿宋_GB2312"/>
          <w:sz w:val="32"/>
        </w:rPr>
        <w:t>）负责各类企业、农民专业合作社、从事经营活动的单位、个人等市场主体的注册登记和监督管理，承担依法查处取缔无照经营的责任。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4</w:t>
      </w:r>
      <w:r>
        <w:rPr>
          <w:rFonts w:hint="eastAsia" w:ascii="仿宋_GB2312" w:hAnsi="仿宋_GB2312" w:eastAsia="仿宋_GB2312"/>
          <w:sz w:val="32"/>
        </w:rPr>
        <w:t>）依法规范和维护各类市场经营秩序的责任，负责监督管理市场交易行为和网络商品交易及有关服务的行为；依法开展垄断、滥用市场支配地位、滥用行政权力排除限制竞争方面的监督管理工作，依法查处假冒伪劣、不正当竞争、商业贿赂等经济违法行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5</w:t>
      </w:r>
      <w:r>
        <w:rPr>
          <w:rFonts w:hint="eastAsia" w:ascii="仿宋_GB2312" w:hAnsi="仿宋_GB2312" w:eastAsia="仿宋_GB2312"/>
          <w:sz w:val="32"/>
        </w:rPr>
        <w:t>）组织开展流通领域商品质量监督管理和有关服务领域消费维权工作，指导消费者咨询、申诉、举报受理、处理和网络体系建设等工作，保护经营者、消费者合法权益。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6</w:t>
      </w:r>
      <w:r>
        <w:rPr>
          <w:rFonts w:hint="eastAsia" w:ascii="仿宋_GB2312" w:hAnsi="仿宋_GB2312" w:eastAsia="仿宋_GB2312"/>
          <w:sz w:val="32"/>
        </w:rPr>
        <w:t>）承担查处违法直销和传销案件的责任，依法监督管理直销企业和直销员及其直销活动。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7</w:t>
      </w:r>
      <w:r>
        <w:rPr>
          <w:rFonts w:hint="eastAsia" w:ascii="仿宋_GB2312" w:hAnsi="仿宋_GB2312" w:eastAsia="仿宋_GB2312"/>
          <w:sz w:val="32"/>
        </w:rPr>
        <w:t>）依法监督管理经纪人、经纪机构及经纪活动。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8</w:t>
      </w:r>
      <w:r>
        <w:rPr>
          <w:rFonts w:hint="eastAsia" w:ascii="仿宋_GB2312" w:hAnsi="仿宋_GB2312" w:eastAsia="仿宋_GB2312"/>
          <w:sz w:val="32"/>
        </w:rPr>
        <w:t>）依法实施合同行政监督管理，负责管理动产抵押物登记，监督管理拍卖活动，依法查处合同欺诈等违法行为。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9</w:t>
      </w:r>
      <w:r>
        <w:rPr>
          <w:rFonts w:hint="eastAsia" w:ascii="仿宋_GB2312" w:hAnsi="仿宋_GB2312" w:eastAsia="仿宋_GB2312"/>
          <w:sz w:val="32"/>
        </w:rPr>
        <w:t>）指导广告业发展，负责广告活动的监督管理工作，依法查处虚假违法广告行为。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10</w:t>
      </w:r>
      <w:r>
        <w:rPr>
          <w:rFonts w:hint="eastAsia" w:ascii="仿宋_GB2312" w:hAnsi="仿宋_GB2312" w:eastAsia="仿宋_GB2312"/>
          <w:sz w:val="32"/>
        </w:rPr>
        <w:t>）负责组织管理并指导商标监督管理工作，依法保护商标专用权，查处商标侵权及商标违法行为，负责著名商标、驰名商标的推荐、初审、管理和保护工作。负责特殊标志、官方标志的保护。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11</w:t>
      </w:r>
      <w:r>
        <w:rPr>
          <w:rFonts w:hint="eastAsia" w:ascii="仿宋_GB2312" w:hAnsi="仿宋_GB2312" w:eastAsia="仿宋_GB2312"/>
          <w:sz w:val="32"/>
        </w:rPr>
        <w:t>）组织指导企业、个体工商户、商品交易市场信用分类管理，研究分析并依法发布市场主体注册登记基础信息、商标注册信息等，为政府决策和社会公众提供信息服务。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12</w:t>
      </w:r>
      <w:r>
        <w:rPr>
          <w:rFonts w:hint="eastAsia" w:ascii="仿宋_GB2312" w:hAnsi="仿宋_GB2312" w:eastAsia="仿宋_GB2312"/>
          <w:sz w:val="32"/>
        </w:rPr>
        <w:t>）负责全县各类企业和个体工商户经营行为的服务和监督管理。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13</w:t>
      </w:r>
      <w:r>
        <w:rPr>
          <w:rFonts w:hint="eastAsia" w:ascii="仿宋_GB2312" w:hAnsi="仿宋_GB2312" w:eastAsia="仿宋_GB2312"/>
          <w:sz w:val="32"/>
        </w:rPr>
        <w:t>）管理和指导直属事业单位、所属协会的工作。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14</w:t>
      </w:r>
      <w:r>
        <w:rPr>
          <w:rFonts w:hint="eastAsia" w:ascii="仿宋_GB2312" w:hAnsi="仿宋_GB2312" w:eastAsia="仿宋_GB2312"/>
          <w:sz w:val="32"/>
        </w:rPr>
        <w:t>）贯彻落实县委县政府关于推进非公有制经济发展的决定、指示及工作部署，按照县非公有制经济发展协调推进领导小组办公室的职责，协调政府职能部门做好非公有制经济发展协调推进工作。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15</w:t>
      </w:r>
      <w:r>
        <w:rPr>
          <w:rFonts w:hint="eastAsia" w:ascii="仿宋_GB2312" w:hAnsi="仿宋_GB2312" w:eastAsia="仿宋_GB2312"/>
          <w:sz w:val="32"/>
        </w:rPr>
        <w:t xml:space="preserve">）贯彻执行国家和省、州有关质量技术监督工作的方针、政策和法律、法规；负责本辖区质量技术监督管理和行政执法工作。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16</w:t>
      </w:r>
      <w:r>
        <w:rPr>
          <w:rFonts w:hint="eastAsia" w:ascii="仿宋_GB2312" w:hAnsi="仿宋_GB2312" w:eastAsia="仿宋_GB2312"/>
          <w:sz w:val="32"/>
        </w:rPr>
        <w:t>）管理本辖区标准化工作，组织标准的实施和监督检查；负责企业产品执行标准的备案管理工作；负责“采标”工作并参与确认验收；负责WT0/TBT的培训、咨询组织等工作；统一管理、推行ISO9000系列标准；负责组织机构代码办理和商品条码的管理工作；组织实施农业标准化和服务标准化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17</w:t>
      </w:r>
      <w:r>
        <w:rPr>
          <w:rFonts w:hint="eastAsia" w:ascii="仿宋_GB2312" w:hAnsi="仿宋_GB2312" w:eastAsia="仿宋_GB2312"/>
          <w:sz w:val="32"/>
        </w:rPr>
        <w:t xml:space="preserve">）管理本辖区的计量工作，组织执行国家计量制度，推行法定计量单位；依法监督管理计量器具，组织实施强制计量器具检定；监督管理计量标准和量值传递工作；负责对制造、修理、销售、安装和使用计量器具的监督管理；负责计量标准的考核、复查、授权及监督检查；负责商品量的日常计量监督管理；负责定量包装生产企业的日常监督管理及计量保证体系的建立与考核；负责医疗卫生计量监督管理工作；监督管理计量中介机构；受理计量纠纷和投诉。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18</w:t>
      </w:r>
      <w:r>
        <w:rPr>
          <w:rFonts w:hint="eastAsia" w:ascii="仿宋_GB2312" w:hAnsi="仿宋_GB2312" w:eastAsia="仿宋_GB2312"/>
          <w:sz w:val="32"/>
        </w:rPr>
        <w:t>）管理本辖区质量工作。组织实施质量振兴工作，指导辖区质量管理工作；负责机电产品维修质量的监督管理；负责产品质量监督及生产许可证产品的监督；负责产品质量监督统计工作和质量分析；受理产品质量投诉举报和质量仲裁检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19</w:t>
      </w:r>
      <w:r>
        <w:rPr>
          <w:rFonts w:hint="eastAsia" w:ascii="仿宋_GB2312" w:hAnsi="仿宋_GB2312" w:eastAsia="仿宋_GB2312"/>
          <w:sz w:val="32"/>
        </w:rPr>
        <w:t>）管理本辖区质量认证、认可工作。办理强制性产品认证、计量认证和审查认可申报；配合州局管理认证、咨询单位；承办州局交办的计量认证和审查认可委托事项。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20</w:t>
      </w:r>
      <w:r>
        <w:rPr>
          <w:rFonts w:hint="eastAsia" w:ascii="仿宋_GB2312" w:hAnsi="仿宋_GB2312" w:eastAsia="仿宋_GB2312"/>
          <w:sz w:val="32"/>
        </w:rPr>
        <w:t>）组织对本辖区内的产、商品质量实施监督抽查；组织对本辖区标准、计量、质量执法检查工作，查处制售假冒伪劣产品等违法行为；办理州局交办和其他有关部门移交的案件和投诉；协助州局和其他地区质量监督部门在本地案件的调查、取证工作；受理质量、计量、标准化等方面的投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21</w:t>
      </w:r>
      <w:r>
        <w:rPr>
          <w:rFonts w:hint="eastAsia" w:ascii="仿宋_GB2312" w:hAnsi="仿宋_GB2312" w:eastAsia="仿宋_GB2312"/>
          <w:sz w:val="32"/>
        </w:rPr>
        <w:t>）组织质量技术监督行政案件的审理；承担行政诉讼应诉工作；组织质量技术监督有关法律、法规、规章的宣传、学习和培训工作；负责本部门行政执法队伍的建设和管理。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22</w:t>
      </w:r>
      <w:r>
        <w:rPr>
          <w:rFonts w:hint="eastAsia" w:ascii="仿宋_GB2312" w:hAnsi="仿宋_GB2312" w:eastAsia="仿宋_GB2312"/>
          <w:sz w:val="32"/>
        </w:rPr>
        <w:t>）综合管理锅炉、压力容器、电梯、防爆电梯等特种设备的安全监察工作；负责有关规章制度、技术规程的组织实施和监督检查工作；协调处理安全事故；负责对锅炉、压力容器、气瓶的设计、制造、安装、使用、检验、修理、改造等环节的监督检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23</w:t>
      </w:r>
      <w:r>
        <w:rPr>
          <w:rFonts w:hint="eastAsia" w:ascii="仿宋_GB2312" w:hAnsi="仿宋_GB2312" w:eastAsia="仿宋_GB2312"/>
          <w:sz w:val="32"/>
        </w:rPr>
        <w:t>）负责执行食品（含保健食品、酒类食品、清真食品、食品添加剂，下同）、药品（含中药、民族药，下同）、医疗器械、化妆品生产、流通和消费环节监督管理的法律、法规和规章。推动落实食品药品安全企业主体责任、乡（镇）人民政府负总责的机制，落实食品药品重大信息直报制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u w:val="single"/>
        </w:rPr>
      </w:pPr>
      <w:r>
        <w:rPr>
          <w:rFonts w:hint="eastAsia" w:ascii="仿宋_GB2312" w:hAnsi="仿宋_GB2312" w:eastAsia="仿宋_GB2312"/>
          <w:sz w:val="32"/>
        </w:rPr>
        <w:t>（</w:t>
      </w:r>
      <w:r>
        <w:rPr>
          <w:rFonts w:hint="eastAsia" w:ascii="仿宋_GB2312" w:hAnsi="仿宋_GB2312" w:eastAsia="仿宋_GB2312"/>
          <w:sz w:val="32"/>
          <w:lang w:val="en-US" w:eastAsia="zh-CN"/>
        </w:rPr>
        <w:t>24</w:t>
      </w:r>
      <w:r>
        <w:rPr>
          <w:rFonts w:hint="eastAsia" w:ascii="仿宋_GB2312" w:hAnsi="仿宋_GB2312" w:eastAsia="仿宋_GB2312"/>
          <w:sz w:val="32"/>
        </w:rPr>
        <w:t>）负责监督实施食品行政许可。建立食品安全隐患排查治理机制，制定全县食品安全重大整顿治理方案并组织落实。负责落实食品安全信息统一公布制度。参与制定食品安全风险监测计划、食品安全标准，根据食品安全风险监测计划开展食品安全风险监测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25</w:t>
      </w:r>
      <w:r>
        <w:rPr>
          <w:rFonts w:hint="eastAsia" w:ascii="仿宋_GB2312" w:hAnsi="仿宋_GB2312" w:eastAsia="仿宋_GB2312"/>
          <w:sz w:val="32"/>
        </w:rPr>
        <w:t>）负责监督实施药品、医疗器械、化妆品相关行政许可，药品、医疗器械、化妆品质量管理规范，国家药品、医疗器械标准。健全药品不良反应、医疗器械不良事件监测体系，组织开展监测工作。配合有关部门实施国家基本药物制度，组织实施药品分类管理制度。依法监督管理麻醉药品、精神药品、医疗用毒性药品、放射性药品和药品类易制毒化学品等特殊药品。审查县级媒体刊登、播放、发布的药品、保健食品、医疗器械广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26</w:t>
      </w:r>
      <w:r>
        <w:rPr>
          <w:rFonts w:hint="eastAsia" w:ascii="仿宋_GB2312" w:hAnsi="仿宋_GB2312" w:eastAsia="仿宋_GB2312"/>
          <w:sz w:val="32"/>
        </w:rPr>
        <w:t>）负责制定全县食品、药品、医疗器械、化妆品监督管理的稽查制度并组织实施，依法组织查处违法行为。组织开展相关质量抽验并发布质量公告。监督实施问题产品召回和处置制度。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27</w:t>
      </w:r>
      <w:r>
        <w:rPr>
          <w:rFonts w:hint="eastAsia" w:ascii="仿宋_GB2312" w:hAnsi="仿宋_GB2312" w:eastAsia="仿宋_GB2312"/>
          <w:sz w:val="32"/>
        </w:rPr>
        <w:t>）负责全县食品药品安全事故应急管理体系建设，组织和指导食品药品安全应急处置和调查处理工作，监督事故查处落实情况。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28</w:t>
      </w:r>
      <w:r>
        <w:rPr>
          <w:rFonts w:hint="eastAsia" w:ascii="仿宋_GB2312" w:hAnsi="仿宋_GB2312" w:eastAsia="仿宋_GB2312"/>
          <w:sz w:val="32"/>
        </w:rPr>
        <w:t>）负责制定全县食品药品安全发展规划并组织实施，推进食品药品检验检测体系、电子监管追溯体系、诚信体系和信息化建设。组织开展食品药品安全宣传、教育培训、对外交流与合作。</w:t>
      </w:r>
    </w:p>
    <w:p>
      <w:pPr>
        <w:pStyle w:val="29"/>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29</w:t>
      </w:r>
      <w:r>
        <w:rPr>
          <w:rFonts w:hint="eastAsia" w:ascii="仿宋_GB2312" w:hAnsi="仿宋_GB2312" w:eastAsia="仿宋_GB2312"/>
          <w:sz w:val="32"/>
        </w:rPr>
        <w:t>）指导全县食品、药品、医疗器械和化妆品检验检测机构的业务工作。</w:t>
      </w:r>
    </w:p>
    <w:p>
      <w:pPr>
        <w:pStyle w:val="29"/>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30</w:t>
      </w:r>
      <w:r>
        <w:rPr>
          <w:rFonts w:hint="eastAsia" w:ascii="仿宋_GB2312" w:hAnsi="仿宋_GB2312" w:eastAsia="仿宋_GB2312"/>
          <w:sz w:val="32"/>
        </w:rPr>
        <w:t>）指导全县食品药品监督管理工作，规范行政执法行为，完善行政执法与刑事司法衔接机制。</w:t>
      </w:r>
    </w:p>
    <w:p>
      <w:pPr>
        <w:pStyle w:val="29"/>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w:t>
      </w:r>
      <w:r>
        <w:rPr>
          <w:rFonts w:hint="eastAsia" w:ascii="仿宋_GB2312" w:hAnsi="仿宋_GB2312" w:eastAsia="仿宋_GB2312"/>
          <w:sz w:val="32"/>
          <w:lang w:val="en-US" w:eastAsia="zh-CN"/>
        </w:rPr>
        <w:t>31</w:t>
      </w:r>
      <w:r>
        <w:rPr>
          <w:rFonts w:hint="eastAsia" w:ascii="仿宋_GB2312" w:hAnsi="仿宋_GB2312" w:eastAsia="仿宋_GB2312"/>
          <w:sz w:val="32"/>
        </w:rPr>
        <w:t>）承担县食品安全委员会日常工作。负责食品安全监督管理综合协调，健全协调联动机制。督促检查乡镇人民政府履行食品安全监督管理职责并负责考核评价。</w:t>
      </w:r>
    </w:p>
    <w:p>
      <w:pPr>
        <w:pStyle w:val="29"/>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32</w:t>
      </w:r>
      <w:r>
        <w:rPr>
          <w:rFonts w:hint="eastAsia" w:ascii="仿宋_GB2312" w:hAnsi="仿宋_GB2312" w:eastAsia="仿宋_GB2312"/>
          <w:sz w:val="32"/>
          <w:lang w:eastAsia="zh-CN"/>
        </w:rPr>
        <w:t>）承担知识产权保护体系建设相关工作。承担指导全</w:t>
      </w:r>
      <w:r>
        <w:rPr>
          <w:rFonts w:hint="eastAsia" w:ascii="仿宋_GB2312" w:hAnsi="仿宋_GB2312" w:eastAsia="仿宋_GB2312"/>
          <w:sz w:val="32"/>
          <w:lang w:val="en-US" w:eastAsia="zh-CN"/>
        </w:rPr>
        <w:t>县</w:t>
      </w:r>
      <w:r>
        <w:rPr>
          <w:rFonts w:hint="eastAsia" w:ascii="仿宋_GB2312" w:hAnsi="仿宋_GB2312" w:eastAsia="仿宋_GB2312"/>
          <w:sz w:val="32"/>
          <w:lang w:eastAsia="zh-CN"/>
        </w:rPr>
        <w:t>知识产权争议处理、维权援助和纠纷调处工作。拟订和实施知识产权创造运用的管理政策和制度。拟订和组织实施知识产权中介服务体系发展与监管的政策措施</w:t>
      </w:r>
      <w:r>
        <w:rPr>
          <w:rFonts w:hint="eastAsia" w:ascii="仿宋_GB2312" w:hAnsi="仿宋_GB2312" w:eastAsia="仿宋_GB2312"/>
          <w:sz w:val="32"/>
          <w:highlight w:val="none"/>
          <w:lang w:eastAsia="zh-CN"/>
        </w:rPr>
        <w:t>。</w:t>
      </w:r>
    </w:p>
    <w:p>
      <w:pPr>
        <w:pStyle w:val="29"/>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33</w:t>
      </w:r>
      <w:r>
        <w:rPr>
          <w:rFonts w:hint="eastAsia" w:ascii="仿宋_GB2312" w:hAnsi="仿宋_GB2312" w:eastAsia="仿宋_GB2312"/>
          <w:sz w:val="32"/>
          <w:lang w:eastAsia="zh-CN"/>
        </w:rPr>
        <w:t>)拟订有关价格收费监督检查的制度措施、规则指南。组织实施商品价格、服务价格以及国家机关、事业性收费的监督检查工作。组织指导查处价格收费违法违规行为。</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sz w:val="32"/>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34</w:t>
      </w:r>
      <w:r>
        <w:rPr>
          <w:rFonts w:hint="eastAsia" w:ascii="仿宋_GB2312" w:hAnsi="仿宋_GB2312" w:eastAsia="仿宋_GB2312"/>
          <w:sz w:val="32"/>
          <w:lang w:eastAsia="zh-CN"/>
        </w:rPr>
        <w:t>)</w:t>
      </w:r>
      <w:r>
        <w:rPr>
          <w:rFonts w:hint="eastAsia" w:ascii="仿宋_GB2312" w:hAnsi="仿宋_GB2312" w:eastAsia="仿宋_GB2312"/>
          <w:sz w:val="32"/>
        </w:rPr>
        <w:t>承办县委、县政府、县非公有制经济发展协调推进领导小组和州</w:t>
      </w:r>
      <w:r>
        <w:rPr>
          <w:rFonts w:hint="eastAsia" w:ascii="仿宋_GB2312" w:hAnsi="仿宋_GB2312" w:eastAsia="仿宋_GB2312"/>
          <w:sz w:val="32"/>
          <w:lang w:val="en-US" w:eastAsia="zh-CN"/>
        </w:rPr>
        <w:t>市场监督管理</w:t>
      </w:r>
      <w:r>
        <w:rPr>
          <w:rFonts w:hint="eastAsia" w:ascii="仿宋_GB2312" w:hAnsi="仿宋_GB2312" w:eastAsia="仿宋_GB2312"/>
          <w:sz w:val="32"/>
        </w:rPr>
        <w:t>局交办的其他工作。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kern w:val="0"/>
          <w:sz w:val="32"/>
          <w:lang w:val="en-US" w:eastAsia="zh-CN"/>
        </w:rPr>
      </w:pPr>
      <w:r>
        <w:rPr>
          <w:rFonts w:hint="eastAsia" w:ascii="仿宋_GB2312" w:hAnsi="仿宋_GB2312" w:eastAsia="仿宋_GB2312"/>
          <w:kern w:val="0"/>
          <w:sz w:val="32"/>
          <w:lang w:val="en-US" w:eastAsia="zh-CN"/>
        </w:rPr>
        <w:t>县市场监管局（县市场监管综合行政执法队）因2020年机构改革，由原食药局、质监局、工商局三单位合并而成，按照“三定方案”，东乡县市场监督管理局现内设12个职能股室（办公室、政策法规监督股、综合行政执法股、行政审批股&lt;非公有制经济发展办公室&gt;、市场规范监督管理股、消费者权益保护股&lt;12315申诉举报指挥中心&gt;、商标广告监督管理股、餐饮监督管理股、食品生产流通监督管理股、药品保健品医疗器械和化妆品监督管理股、质量监督管理股、特种设备安全监督管理股），挂靠东乡县非公有制企业党工委和东乡县知识产权局。</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799"/>
        <w:gridCol w:w="515"/>
        <w:gridCol w:w="1188"/>
        <w:gridCol w:w="2459"/>
        <w:gridCol w:w="515"/>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54"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27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7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44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7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79"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54"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27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7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44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7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79"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602"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收入</w:t>
            </w:r>
          </w:p>
        </w:tc>
        <w:tc>
          <w:tcPr>
            <w:tcW w:w="2397"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67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679"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7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79"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19,364,419.22</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16,498,043.55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三、国有资本经营预算财政拨款收入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四、上级补助收入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五、事业收入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六、经营收入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七、附属单位上缴收入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八、其他收入</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863,792.42</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2,161,058.34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bCs/>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24</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25</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0"/>
                <w:szCs w:val="20"/>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26</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0"/>
                <w:szCs w:val="20"/>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20,228,211.64</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19,598,759.49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使用非财政拨款结余</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结余分配</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231,716.49</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861,168.64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677"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20,459,928.13</w:t>
            </w:r>
          </w:p>
        </w:tc>
        <w:tc>
          <w:tcPr>
            <w:tcW w:w="144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27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67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20,459,928.13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2.本套报表金额单位转换时可能存在尾数误差。</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24"/>
        <w:gridCol w:w="219"/>
        <w:gridCol w:w="219"/>
        <w:gridCol w:w="2095"/>
        <w:gridCol w:w="940"/>
        <w:gridCol w:w="940"/>
        <w:gridCol w:w="327"/>
        <w:gridCol w:w="327"/>
        <w:gridCol w:w="327"/>
        <w:gridCol w:w="327"/>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gridSpan w:val="11"/>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20,228,211.64</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19,364,419.22</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863,792.42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16,443,855.06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16,433,855.06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2010301</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2013299</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其他组织事务支出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市场监督管理事务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16,333,267.06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16,333,267.06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2013801</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16,045,467.06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16,045,467.06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2013804</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市场主体管理</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2013812</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药品事务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2013899</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其他市场监督管理事务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2,844,698.98</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1,990,906.56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853,792.42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2,820,698.98</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1,966,906.56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853,792.42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2,820,698.98</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1,966,906.56</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853,792.42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就业补助</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2080799</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节能环保支出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21111</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污染减排</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2111103</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减排专项支出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注：本表反映部门本年度取得的各项收入情况。</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26"/>
        <w:gridCol w:w="219"/>
        <w:gridCol w:w="219"/>
        <w:gridCol w:w="2194"/>
        <w:gridCol w:w="979"/>
        <w:gridCol w:w="979"/>
        <w:gridCol w:w="332"/>
        <w:gridCol w:w="332"/>
        <w:gridCol w:w="332"/>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42"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24"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5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5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39"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42"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24"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5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5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39"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5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55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上缴上级支出</w:t>
            </w:r>
          </w:p>
        </w:tc>
        <w:tc>
          <w:tcPr>
            <w:tcW w:w="2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经营支出</w:t>
            </w:r>
          </w:p>
        </w:tc>
        <w:tc>
          <w:tcPr>
            <w:tcW w:w="53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122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55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3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224"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3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224"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8"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3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558"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559"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20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20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20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539"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19,598,759.49</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19,598,759.49</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16,498,043.55</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16,498,043.55</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政府办公厅（室）及相关机构事务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2010301</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组织事务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7,340.00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7,340.00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2013299</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其他组织事务支出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7,340.00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7,340.00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市场监督管理事务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16,390,115.55</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16,390,115.55</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2013801</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16,102,315.55</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16,102,315.55</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2013804</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市场主体管理</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2013812</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药品事务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2013899</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其他市场监督管理事务</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2,161,058.34</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2,161,058.34</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2,137,058.34</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2,137,058.34</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2,137,058.34</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2,137,058.34</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就业补助</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2080799</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其他就业补助支出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节能环保支出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21111</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污染减排</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2111103</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减排专项支出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122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558"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5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3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注：本表反映部门本年度各项支出情况。</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42"/>
        <w:gridCol w:w="328"/>
        <w:gridCol w:w="941"/>
        <w:gridCol w:w="1890"/>
        <w:gridCol w:w="328"/>
        <w:gridCol w:w="941"/>
        <w:gridCol w:w="941"/>
        <w:gridCol w:w="328"/>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1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171"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102"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71"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9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91"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44"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55" w:hRule="atLeast"/>
        </w:trPr>
        <w:tc>
          <w:tcPr>
            <w:tcW w:w="1210"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171"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102"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71"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9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91"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44"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87"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     入</w:t>
            </w:r>
          </w:p>
        </w:tc>
        <w:tc>
          <w:tcPr>
            <w:tcW w:w="3112"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21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1102"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49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一般公共预算财政拨款</w:t>
            </w:r>
          </w:p>
        </w:tc>
        <w:tc>
          <w:tcPr>
            <w:tcW w:w="291"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政府性基金预算财政拨款</w:t>
            </w:r>
          </w:p>
        </w:tc>
        <w:tc>
          <w:tcPr>
            <w:tcW w:w="544"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210"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102"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49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291"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44"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49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29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544"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19,364,419.22</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16,490,703.55</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16,490,703.55</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1,673,730.46</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1,673,730.46</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19,364,419.22</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19,104,091.61</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19,104,091.61</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231,716.49</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492,044.10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492,044.10</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231,716.49</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63</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19,596,135.71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64</w:t>
            </w:r>
          </w:p>
        </w:tc>
        <w:tc>
          <w:tcPr>
            <w:tcW w:w="49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19,596,135.71</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19,596,135.71</w:t>
            </w:r>
          </w:p>
        </w:tc>
        <w:tc>
          <w:tcPr>
            <w:tcW w:w="29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55" w:type="pct"/>
            <w:gridSpan w:val="8"/>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注：本表反映部门本年度一般公共预算财政拨款、政府性基金预算财政拨款和国有资本经营预算财政拨款的总收支和年末结转结余情况。</w:t>
            </w:r>
          </w:p>
        </w:tc>
        <w:tc>
          <w:tcPr>
            <w:tcW w:w="544" w:type="pct"/>
            <w:tcBorders>
              <w:top w:val="nil"/>
              <w:left w:val="nil"/>
              <w:bottom w:val="nil"/>
              <w:right w:val="nil"/>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0"/>
                <w:szCs w:val="20"/>
                <w:u w:val="none"/>
              </w:rPr>
            </w:pP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51"/>
        <w:gridCol w:w="220"/>
        <w:gridCol w:w="220"/>
        <w:gridCol w:w="2515"/>
        <w:gridCol w:w="1102"/>
        <w:gridCol w:w="1102"/>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49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47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1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1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32"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497"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47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1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1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32"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2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771"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147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619"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619"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532"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75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47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19"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19"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32"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47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19"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19"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32"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2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619"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619"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532"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2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19,104,091.61</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19,104,091.61</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16,490,703.55</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16,490,703.55</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政府办公厅（室）及相关机构事务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2010301</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市场监督管理事务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16,390,115.55</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16,390,115.55</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2013801</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16,102,315.55</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16,102,315.55</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2013804</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市场主体管理</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2013812</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药品事务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2013899</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其他市场监督管理事务</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1,673,730.46</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1,673,730.46</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1,649,730.46</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1,649,730.46</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1,649,730.46</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1,649,730.46</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就业补助</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2080799</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其他就业补助支出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节能环保支出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21111</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污染减排</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2111103</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减排专项支出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1475"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61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89,800.00</w:t>
            </w:r>
          </w:p>
        </w:tc>
        <w:tc>
          <w:tcPr>
            <w:tcW w:w="53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注：本表反映部门本年度一般公共预算财政拨款支出情况。</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85"/>
        <w:gridCol w:w="1405"/>
        <w:gridCol w:w="731"/>
        <w:gridCol w:w="414"/>
        <w:gridCol w:w="1009"/>
        <w:gridCol w:w="692"/>
        <w:gridCol w:w="414"/>
        <w:gridCol w:w="1722"/>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974"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85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9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8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8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72"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8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06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74"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55" w:hRule="atLeast"/>
        </w:trPr>
        <w:tc>
          <w:tcPr>
            <w:tcW w:w="974"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85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99"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8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8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72"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85"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067"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74"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227"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w:t>
            </w:r>
          </w:p>
        </w:tc>
        <w:tc>
          <w:tcPr>
            <w:tcW w:w="2772"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853"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399"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c>
          <w:tcPr>
            <w:tcW w:w="185"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58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372"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c>
          <w:tcPr>
            <w:tcW w:w="185"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1067"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374"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853"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99"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85"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8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72"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85"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1067"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74"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工资福利支出</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16,797,019.56</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商品和服务支出</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1,643,586.05</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债务利息及费用支出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30101</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基本工资</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12,833,837.50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30201</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办公费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539,919.49</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30701</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国内债务付息</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30102</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津贴补贴</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981,450.00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30202</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印刷费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30702</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国外债务付息</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30103</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奖金</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502,144.00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30203</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咨询费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资本性支出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30106</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伙食补助费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30204</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手续费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31001</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房屋建筑物购建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30107</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绩效工资</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30205</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水费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5,000.00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31002</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办公设备购置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30108</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1,649,730.46</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30206</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电费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38,069.81</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31003</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专用设备购置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30109</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职业年金缴费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30207</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邮电费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28,172.07</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31005</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基础设施建设</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30110</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职工基本医疗保险缴费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829,857.60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30208</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取暖费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652,215.00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31006</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大型修缮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30111</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公务员医疗补助缴费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30209</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物业管理费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31007</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信息网络及软件购置更新</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30112</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其他社会保障缴费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30211</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差旅费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17,111.50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31008</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物资储备</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30113</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住房公积金</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30212</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因公出国（境）费用</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31009</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土地补偿</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30114</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医疗费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30213</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维修（护）费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125,038.18</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31010</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安置补助</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30199</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其他工资福利支出</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30214</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租赁费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31011</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地上附着物和青苗补偿</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对个人和家庭的补助</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663,486.00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30215</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会议费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31012</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拆迁补偿</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30301</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离休费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30216</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培训费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31013</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公务用车购置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30302</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退休费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52,250.00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30217</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公务接待费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31019</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其他交通工具购置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30303</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退职（役）费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30218</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专用材料费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31021</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文物和陈列品购置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30304</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抚恤金</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30224</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被装购置费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31022</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无形资产购置</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30305</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生活补助</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118,900.00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30225</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专用燃料费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31099</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其他资本性支出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30306</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救济费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30226</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劳务费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99,142.00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其他支出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30307</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医疗费补助</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30227</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委托业务费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5,330.00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39906</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赠与</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30308</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助学金</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30228</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工会经费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93,588.00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39907</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国家赔偿费用支出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30309</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奖励金</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492,336.00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30229</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福利费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39908</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对民间非营利组织和群众性自治组织补贴</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30310</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个人农业生产补贴</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30231</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公务用车运行维护费</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39999</w:t>
            </w: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其他支出</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30311</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代缴社会保险费</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30239</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其他交通费用</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30399</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其他对个人和家庭的补助</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30240</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税金及附加费用</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30299</w:t>
            </w:r>
          </w:p>
        </w:tc>
        <w:tc>
          <w:tcPr>
            <w:tcW w:w="58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其他商品和服务支出</w:t>
            </w:r>
          </w:p>
        </w:tc>
        <w:tc>
          <w:tcPr>
            <w:tcW w:w="372"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185"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1067"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8"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人员经费合计</w:t>
            </w:r>
          </w:p>
        </w:tc>
        <w:tc>
          <w:tcPr>
            <w:tcW w:w="399"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17,460,505.56</w:t>
            </w:r>
          </w:p>
        </w:tc>
        <w:tc>
          <w:tcPr>
            <w:tcW w:w="2397" w:type="pct"/>
            <w:gridSpan w:val="5"/>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公用经费合计</w:t>
            </w:r>
          </w:p>
        </w:tc>
        <w:tc>
          <w:tcPr>
            <w:tcW w:w="374"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1,643,586.05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注：本表反映部门本年度一般公共预算财政拨款基本支出明细情况。</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49"/>
        <w:gridCol w:w="552"/>
        <w:gridCol w:w="720"/>
        <w:gridCol w:w="328"/>
        <w:gridCol w:w="720"/>
        <w:gridCol w:w="328"/>
        <w:gridCol w:w="720"/>
        <w:gridCol w:w="552"/>
        <w:gridCol w:w="720"/>
        <w:gridCol w:w="328"/>
        <w:gridCol w:w="720"/>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8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35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5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20"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55" w:hRule="atLeast"/>
        </w:trPr>
        <w:tc>
          <w:tcPr>
            <w:tcW w:w="1186"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35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5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2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420"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76"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预算数</w:t>
            </w:r>
          </w:p>
        </w:tc>
        <w:tc>
          <w:tcPr>
            <w:tcW w:w="2223"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8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50"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因公出国（境）费</w:t>
            </w:r>
          </w:p>
        </w:tc>
        <w:tc>
          <w:tcPr>
            <w:tcW w:w="1036" w:type="pct"/>
            <w:gridSpan w:val="3"/>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公务用车购置及运行费</w:t>
            </w:r>
          </w:p>
        </w:tc>
        <w:tc>
          <w:tcPr>
            <w:tcW w:w="203"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公务接待费</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350"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因公出国（境）费</w:t>
            </w:r>
          </w:p>
        </w:tc>
        <w:tc>
          <w:tcPr>
            <w:tcW w:w="1036" w:type="pct"/>
            <w:gridSpan w:val="3"/>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公务用车购置及运行费</w:t>
            </w:r>
          </w:p>
        </w:tc>
        <w:tc>
          <w:tcPr>
            <w:tcW w:w="420"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186"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50"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203"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公务用车购置费</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公务用车运行费</w:t>
            </w:r>
          </w:p>
        </w:tc>
        <w:tc>
          <w:tcPr>
            <w:tcW w:w="203"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50"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203"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公务用车购置费</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公务用车运行费</w:t>
            </w:r>
          </w:p>
        </w:tc>
        <w:tc>
          <w:tcPr>
            <w:tcW w:w="420"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86"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350"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203"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203"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350"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203"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6" w:type="pct"/>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35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03"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03"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35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203"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20,000.00</w:t>
            </w:r>
          </w:p>
        </w:tc>
        <w:tc>
          <w:tcPr>
            <w:tcW w:w="42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50"/>
        <w:gridCol w:w="221"/>
        <w:gridCol w:w="221"/>
        <w:gridCol w:w="1035"/>
        <w:gridCol w:w="421"/>
        <w:gridCol w:w="421"/>
        <w:gridCol w:w="421"/>
        <w:gridCol w:w="421"/>
        <w:gridCol w:w="421"/>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03"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5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51"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55" w:hRule="atLeast"/>
        </w:trPr>
        <w:tc>
          <w:tcPr>
            <w:tcW w:w="1303"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35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0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51"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1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5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1518"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55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35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5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55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58"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358"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5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1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551"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1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5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5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5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5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5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5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35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551"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注：本表反映部门本年度政府性基金预算财政拨款收入、支出及结转和结余情况。</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16"/>
        <w:gridCol w:w="222"/>
        <w:gridCol w:w="222"/>
        <w:gridCol w:w="1096"/>
        <w:gridCol w:w="913"/>
        <w:gridCol w:w="77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00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eastAsia"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4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71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4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838"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2000"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部门：临夏州东乡族自治县市场监督管理局</w:t>
            </w: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12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546"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718"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640" w:type="pct"/>
            <w:tcBorders>
              <w:top w:val="nil"/>
              <w:left w:val="nil"/>
              <w:bottom w:val="nil"/>
              <w:right w:val="nil"/>
            </w:tcBorders>
            <w:shd w:val="clear"/>
            <w:noWrap/>
            <w:vAlign w:val="bottom"/>
          </w:tcPr>
          <w:p>
            <w:pPr>
              <w:keepNext w:val="0"/>
              <w:keepLines w:val="0"/>
              <w:pageBreakBefore w:val="0"/>
              <w:kinsoku/>
              <w:wordWrap/>
              <w:overflowPunct/>
              <w:topLinePunct w:val="0"/>
              <w:autoSpaceDE/>
              <w:autoSpaceDN/>
              <w:bidi w:val="0"/>
              <w:adjustRightInd/>
              <w:snapToGrid/>
              <w:spacing w:line="520" w:lineRule="exact"/>
              <w:rPr>
                <w:rFonts w:hint="default" w:ascii="Arial" w:hAnsi="Arial" w:cs="Arial"/>
                <w:i w:val="0"/>
                <w:iCs w:val="0"/>
                <w:color w:val="000000"/>
                <w:sz w:val="20"/>
                <w:szCs w:val="20"/>
                <w:u w:val="none"/>
              </w:rPr>
            </w:pPr>
          </w:p>
        </w:tc>
        <w:tc>
          <w:tcPr>
            <w:tcW w:w="838" w:type="pct"/>
            <w:tcBorders>
              <w:top w:val="nil"/>
              <w:left w:val="nil"/>
              <w:bottom w:val="nil"/>
              <w:right w:val="nil"/>
            </w:tcBorders>
            <w:shd w:val="clear"/>
            <w:noWrap/>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0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2197"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54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718"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640"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838" w:type="pct"/>
            <w:vMerge w:val="restart"/>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4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718"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838"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546"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718"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c>
          <w:tcPr>
            <w:tcW w:w="838" w:type="pct"/>
            <w:vMerge w:val="continue"/>
            <w:tcBorders>
              <w:top w:val="nil"/>
              <w:left w:val="nil"/>
              <w:bottom w:val="single" w:color="000000" w:sz="4" w:space="0"/>
              <w:right w:val="single" w:color="000000" w:sz="4" w:space="0"/>
            </w:tcBorders>
            <w:shd w:val="clear" w:color="FFFFFF" w:fill="C0C0C0"/>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0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718"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640"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838" w:type="pct"/>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0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5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i w:val="0"/>
                <w:iCs w:val="0"/>
                <w:color w:val="000000"/>
                <w:sz w:val="22"/>
                <w:szCs w:val="22"/>
                <w:u w:val="none"/>
              </w:rPr>
            </w:pPr>
          </w:p>
        </w:tc>
        <w:tc>
          <w:tcPr>
            <w:tcW w:w="71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c>
          <w:tcPr>
            <w:tcW w:w="838" w:type="pct"/>
            <w:tcBorders>
              <w:top w:val="nil"/>
              <w:left w:val="nil"/>
              <w:bottom w:val="single" w:color="000000" w:sz="4" w:space="0"/>
              <w:right w:val="single" w:color="000000" w:sz="4" w:space="0"/>
            </w:tcBorders>
            <w:shd w:val="clear"/>
            <w:noWrap/>
            <w:vAlign w:val="center"/>
          </w:tcPr>
          <w:p>
            <w:pPr>
              <w:keepNext w:val="0"/>
              <w:keepLines w:val="0"/>
              <w:pageBreakBefore w:val="0"/>
              <w:kinsoku/>
              <w:wordWrap/>
              <w:overflowPunct/>
              <w:topLinePunct w:val="0"/>
              <w:autoSpaceDE/>
              <w:autoSpaceDN/>
              <w:bidi w:val="0"/>
              <w:adjustRightInd/>
              <w:snapToGrid/>
              <w:spacing w:line="52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注：本表反映部门本年度国有资本经营预算财政拨款支出情况。</w:t>
            </w:r>
          </w:p>
        </w:tc>
      </w:tr>
    </w:tbl>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年度收入总计</w:t>
      </w:r>
      <w:r>
        <w:rPr>
          <w:rFonts w:hint="eastAsia" w:ascii="仿宋_GB2312" w:hAnsi="仿宋_GB2312" w:eastAsia="仿宋_GB2312" w:cs="仿宋_GB2312"/>
          <w:color w:val="000000"/>
          <w:spacing w:val="0"/>
          <w:w w:val="100"/>
          <w:position w:val="0"/>
          <w:sz w:val="32"/>
          <w:szCs w:val="32"/>
          <w:lang w:val="en-US" w:eastAsia="zh-CN"/>
        </w:rPr>
        <w:t>20459928.13</w:t>
      </w:r>
      <w:r>
        <w:rPr>
          <w:rFonts w:hint="eastAsia" w:ascii="仿宋_GB2312" w:hAnsi="仿宋_GB2312" w:eastAsia="仿宋_GB2312" w:cs="仿宋_GB2312"/>
          <w:color w:val="000000"/>
          <w:spacing w:val="0"/>
          <w:w w:val="100"/>
          <w:position w:val="0"/>
          <w:sz w:val="32"/>
          <w:szCs w:val="32"/>
          <w:lang w:eastAsia="zh-CN"/>
        </w:rPr>
        <w:t>元，支出总计</w:t>
      </w:r>
      <w:r>
        <w:rPr>
          <w:rFonts w:hint="eastAsia" w:ascii="仿宋_GB2312" w:hAnsi="仿宋_GB2312" w:eastAsia="仿宋_GB2312" w:cs="仿宋_GB2312"/>
          <w:color w:val="000000"/>
          <w:spacing w:val="0"/>
          <w:w w:val="100"/>
          <w:position w:val="0"/>
          <w:sz w:val="32"/>
          <w:szCs w:val="32"/>
          <w:lang w:val="en-US" w:eastAsia="zh-CN"/>
        </w:rPr>
        <w:t>20459928.13</w:t>
      </w:r>
      <w:r>
        <w:rPr>
          <w:rFonts w:hint="eastAsia" w:ascii="仿宋_GB2312" w:hAnsi="仿宋_GB2312" w:eastAsia="仿宋_GB2312" w:cs="仿宋_GB2312"/>
          <w:color w:val="000000"/>
          <w:spacing w:val="0"/>
          <w:w w:val="100"/>
          <w:position w:val="0"/>
          <w:sz w:val="32"/>
          <w:szCs w:val="32"/>
          <w:lang w:eastAsia="zh-CN"/>
        </w:rPr>
        <w:t>元。与上年决算数相比，收入减少</w:t>
      </w:r>
      <w:r>
        <w:rPr>
          <w:rFonts w:hint="eastAsia" w:ascii="仿宋_GB2312" w:hAnsi="仿宋_GB2312" w:eastAsia="仿宋_GB2312" w:cs="仿宋_GB2312"/>
          <w:color w:val="000000"/>
          <w:spacing w:val="0"/>
          <w:w w:val="100"/>
          <w:position w:val="0"/>
          <w:sz w:val="32"/>
          <w:szCs w:val="32"/>
          <w:lang w:val="en-US" w:eastAsia="zh-CN"/>
        </w:rPr>
        <w:t>770038.24</w:t>
      </w:r>
      <w:r>
        <w:rPr>
          <w:rFonts w:hint="eastAsia" w:ascii="仿宋_GB2312" w:hAnsi="仿宋_GB2312" w:eastAsia="仿宋_GB2312" w:cs="仿宋_GB2312"/>
          <w:color w:val="000000"/>
          <w:spacing w:val="0"/>
          <w:w w:val="100"/>
          <w:position w:val="0"/>
          <w:sz w:val="32"/>
          <w:szCs w:val="32"/>
          <w:lang w:eastAsia="zh-CN"/>
        </w:rPr>
        <w:t>元，减少</w:t>
      </w:r>
      <w:r>
        <w:rPr>
          <w:rFonts w:hint="eastAsia" w:ascii="仿宋_GB2312" w:hAnsi="仿宋_GB2312" w:eastAsia="仿宋_GB2312" w:cs="仿宋_GB2312"/>
          <w:color w:val="000000"/>
          <w:spacing w:val="0"/>
          <w:w w:val="100"/>
          <w:position w:val="0"/>
          <w:sz w:val="32"/>
          <w:szCs w:val="32"/>
          <w:lang w:val="en-US" w:eastAsia="zh-CN"/>
        </w:rPr>
        <w:t>3.67</w:t>
      </w:r>
      <w:r>
        <w:rPr>
          <w:rFonts w:hint="eastAsia" w:ascii="仿宋_GB2312" w:hAnsi="仿宋_GB2312" w:eastAsia="仿宋_GB2312" w:cs="仿宋_GB2312"/>
          <w:color w:val="000000"/>
          <w:spacing w:val="0"/>
          <w:w w:val="100"/>
          <w:position w:val="0"/>
          <w:sz w:val="32"/>
          <w:szCs w:val="32"/>
          <w:lang w:eastAsia="zh-CN"/>
        </w:rPr>
        <w:t>%，支出减少</w:t>
      </w:r>
      <w:r>
        <w:rPr>
          <w:rFonts w:hint="eastAsia" w:ascii="仿宋_GB2312" w:hAnsi="仿宋_GB2312" w:eastAsia="仿宋_GB2312" w:cs="仿宋_GB2312"/>
          <w:color w:val="000000"/>
          <w:spacing w:val="0"/>
          <w:w w:val="100"/>
          <w:position w:val="0"/>
          <w:sz w:val="32"/>
          <w:szCs w:val="32"/>
          <w:lang w:val="en-US" w:eastAsia="zh-CN"/>
        </w:rPr>
        <w:t>1405029.16</w:t>
      </w:r>
      <w:r>
        <w:rPr>
          <w:rFonts w:hint="eastAsia" w:ascii="仿宋_GB2312" w:hAnsi="仿宋_GB2312" w:eastAsia="仿宋_GB2312" w:cs="仿宋_GB2312"/>
          <w:color w:val="000000"/>
          <w:spacing w:val="0"/>
          <w:w w:val="100"/>
          <w:position w:val="0"/>
          <w:sz w:val="32"/>
          <w:szCs w:val="32"/>
          <w:lang w:eastAsia="zh-CN"/>
        </w:rPr>
        <w:t>元减少</w:t>
      </w:r>
      <w:r>
        <w:rPr>
          <w:rFonts w:hint="eastAsia" w:ascii="仿宋_GB2312" w:hAnsi="仿宋_GB2312" w:eastAsia="仿宋_GB2312" w:cs="仿宋_GB2312"/>
          <w:color w:val="000000"/>
          <w:spacing w:val="0"/>
          <w:w w:val="100"/>
          <w:position w:val="0"/>
          <w:sz w:val="32"/>
          <w:szCs w:val="32"/>
          <w:lang w:val="en-US" w:eastAsia="zh-CN"/>
        </w:rPr>
        <w:t>6.69</w:t>
      </w:r>
      <w:r>
        <w:rPr>
          <w:rFonts w:hint="eastAsia" w:ascii="仿宋_GB2312" w:hAnsi="仿宋_GB2312" w:eastAsia="仿宋_GB2312" w:cs="仿宋_GB2312"/>
          <w:color w:val="000000"/>
          <w:spacing w:val="0"/>
          <w:w w:val="100"/>
          <w:position w:val="0"/>
          <w:sz w:val="32"/>
          <w:szCs w:val="32"/>
          <w:lang w:eastAsia="zh-CN"/>
        </w:rPr>
        <w:t>%。主要原因是养老保险未支出，</w:t>
      </w:r>
      <w:r>
        <w:rPr>
          <w:rFonts w:hint="eastAsia" w:ascii="仿宋_GB2312" w:hAnsi="仿宋_GB2312" w:eastAsia="仿宋_GB2312" w:cs="仿宋_GB2312"/>
          <w:color w:val="000000"/>
          <w:spacing w:val="0"/>
          <w:w w:val="100"/>
          <w:position w:val="0"/>
          <w:sz w:val="32"/>
          <w:szCs w:val="32"/>
          <w:lang w:val="en-US" w:eastAsia="zh-CN"/>
        </w:rPr>
        <w:t>办公费用变动</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20" w:lineRule="exact"/>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收入决算情况说明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年度收入合计</w:t>
      </w:r>
      <w:r>
        <w:rPr>
          <w:rFonts w:hint="eastAsia" w:ascii="仿宋_GB2312" w:hAnsi="仿宋_GB2312" w:eastAsia="仿宋_GB2312" w:cs="仿宋_GB2312"/>
          <w:color w:val="000000"/>
          <w:spacing w:val="0"/>
          <w:w w:val="100"/>
          <w:position w:val="0"/>
          <w:sz w:val="32"/>
          <w:szCs w:val="32"/>
          <w:lang w:val="en-US" w:eastAsia="zh-CN"/>
        </w:rPr>
        <w:t>20,228,211.64</w:t>
      </w:r>
      <w:r>
        <w:rPr>
          <w:rFonts w:hint="eastAsia" w:ascii="仿宋_GB2312" w:hAnsi="仿宋_GB2312" w:eastAsia="仿宋_GB2312" w:cs="仿宋_GB2312"/>
          <w:color w:val="000000"/>
          <w:spacing w:val="0"/>
          <w:w w:val="100"/>
          <w:position w:val="0"/>
          <w:sz w:val="32"/>
          <w:szCs w:val="32"/>
          <w:lang w:eastAsia="zh-CN"/>
        </w:rPr>
        <w:t>元，其中：财政拨款收入</w:t>
      </w:r>
      <w:r>
        <w:rPr>
          <w:rFonts w:hint="eastAsia" w:ascii="仿宋_GB2312" w:hAnsi="仿宋_GB2312" w:eastAsia="仿宋_GB2312" w:cs="仿宋_GB2312"/>
          <w:color w:val="000000"/>
          <w:spacing w:val="0"/>
          <w:w w:val="100"/>
          <w:position w:val="0"/>
          <w:sz w:val="32"/>
          <w:szCs w:val="32"/>
          <w:lang w:val="en-US" w:eastAsia="zh-CN"/>
        </w:rPr>
        <w:t>20,218,211.64</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99.9</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年初结转结余231,716.49元(未支出养老金)。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年度支出合计</w:t>
      </w:r>
      <w:r>
        <w:rPr>
          <w:rFonts w:hint="eastAsia" w:ascii="仿宋_GB2312" w:hAnsi="仿宋_GB2312" w:eastAsia="仿宋_GB2312" w:cs="仿宋_GB2312"/>
          <w:color w:val="000000"/>
          <w:spacing w:val="0"/>
          <w:w w:val="100"/>
          <w:position w:val="0"/>
          <w:sz w:val="32"/>
          <w:szCs w:val="32"/>
          <w:lang w:val="en-US" w:eastAsia="zh-CN"/>
        </w:rPr>
        <w:t>19,598,759.49</w:t>
      </w:r>
      <w:r>
        <w:rPr>
          <w:rFonts w:hint="eastAsia" w:ascii="仿宋_GB2312" w:hAnsi="仿宋_GB2312" w:eastAsia="仿宋_GB2312" w:cs="仿宋_GB2312"/>
          <w:color w:val="000000"/>
          <w:spacing w:val="0"/>
          <w:w w:val="100"/>
          <w:position w:val="0"/>
          <w:sz w:val="32"/>
          <w:szCs w:val="32"/>
          <w:lang w:eastAsia="zh-CN"/>
        </w:rPr>
        <w:t>元，其中：基本支出</w:t>
      </w:r>
      <w:r>
        <w:rPr>
          <w:rFonts w:hint="eastAsia" w:ascii="仿宋_GB2312" w:hAnsi="仿宋_GB2312" w:eastAsia="仿宋_GB2312" w:cs="仿宋_GB2312"/>
          <w:color w:val="000000"/>
          <w:spacing w:val="0"/>
          <w:w w:val="100"/>
          <w:position w:val="0"/>
          <w:sz w:val="32"/>
          <w:szCs w:val="32"/>
          <w:lang w:val="en-US" w:eastAsia="zh-CN"/>
        </w:rPr>
        <w:t>19,598,759.49</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年度财政拨款收入</w:t>
      </w:r>
      <w:r>
        <w:rPr>
          <w:rFonts w:hint="eastAsia" w:ascii="仿宋_GB2312" w:hAnsi="仿宋_GB2312" w:eastAsia="仿宋_GB2312" w:cs="仿宋_GB2312"/>
          <w:color w:val="000000"/>
          <w:spacing w:val="0"/>
          <w:w w:val="100"/>
          <w:position w:val="0"/>
          <w:sz w:val="32"/>
          <w:szCs w:val="32"/>
          <w:lang w:val="en-US" w:eastAsia="zh-CN"/>
        </w:rPr>
        <w:t>20,228,211.64</w:t>
      </w:r>
      <w:r>
        <w:rPr>
          <w:rFonts w:hint="eastAsia" w:ascii="仿宋_GB2312" w:hAnsi="仿宋_GB2312" w:eastAsia="仿宋_GB2312" w:cs="仿宋_GB2312"/>
          <w:color w:val="000000"/>
          <w:spacing w:val="0"/>
          <w:w w:val="100"/>
          <w:position w:val="0"/>
          <w:sz w:val="32"/>
          <w:szCs w:val="32"/>
          <w:lang w:eastAsia="zh-CN"/>
        </w:rPr>
        <w:t>元，较上年决算数减少</w:t>
      </w:r>
      <w:r>
        <w:rPr>
          <w:rFonts w:hint="eastAsia" w:ascii="仿宋_GB2312" w:hAnsi="仿宋_GB2312" w:eastAsia="仿宋_GB2312" w:cs="仿宋_GB2312"/>
          <w:color w:val="000000"/>
          <w:spacing w:val="0"/>
          <w:w w:val="100"/>
          <w:position w:val="0"/>
          <w:sz w:val="32"/>
          <w:szCs w:val="32"/>
          <w:lang w:val="en-US" w:eastAsia="zh-CN"/>
        </w:rPr>
        <w:t>1,633,830.66</w:t>
      </w:r>
      <w:r>
        <w:rPr>
          <w:rFonts w:hint="eastAsia" w:ascii="仿宋_GB2312" w:hAnsi="仿宋_GB2312" w:eastAsia="仿宋_GB2312" w:cs="仿宋_GB2312"/>
          <w:color w:val="000000"/>
          <w:spacing w:val="0"/>
          <w:w w:val="100"/>
          <w:position w:val="0"/>
          <w:sz w:val="32"/>
          <w:szCs w:val="32"/>
          <w:lang w:eastAsia="zh-CN"/>
        </w:rPr>
        <w:t>元，减少</w:t>
      </w:r>
      <w:r>
        <w:rPr>
          <w:rFonts w:hint="eastAsia" w:ascii="仿宋_GB2312" w:hAnsi="仿宋_GB2312" w:eastAsia="仿宋_GB2312" w:cs="仿宋_GB2312"/>
          <w:color w:val="000000"/>
          <w:spacing w:val="0"/>
          <w:w w:val="100"/>
          <w:position w:val="0"/>
          <w:sz w:val="32"/>
          <w:szCs w:val="32"/>
          <w:lang w:val="en-US" w:eastAsia="zh-CN"/>
        </w:rPr>
        <w:t>7.78</w:t>
      </w:r>
      <w:r>
        <w:rPr>
          <w:rFonts w:hint="eastAsia" w:ascii="仿宋_GB2312" w:hAnsi="仿宋_GB2312" w:eastAsia="仿宋_GB2312" w:cs="仿宋_GB2312"/>
          <w:color w:val="000000"/>
          <w:spacing w:val="0"/>
          <w:w w:val="100"/>
          <w:position w:val="0"/>
          <w:sz w:val="32"/>
          <w:szCs w:val="32"/>
          <w:lang w:eastAsia="zh-CN"/>
        </w:rPr>
        <w:t>%。主要原因是项目减少。</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年度财政拨款支出</w:t>
      </w:r>
      <w:r>
        <w:rPr>
          <w:rFonts w:hint="eastAsia" w:ascii="仿宋_GB2312" w:hAnsi="仿宋_GB2312" w:eastAsia="仿宋_GB2312" w:cs="仿宋_GB2312"/>
          <w:color w:val="000000"/>
          <w:spacing w:val="0"/>
          <w:w w:val="100"/>
          <w:position w:val="0"/>
          <w:sz w:val="32"/>
          <w:szCs w:val="32"/>
          <w:lang w:val="en-US" w:eastAsia="zh-CN"/>
        </w:rPr>
        <w:t>19,598,759.49</w:t>
      </w:r>
      <w:r>
        <w:rPr>
          <w:rFonts w:hint="eastAsia" w:ascii="仿宋_GB2312" w:hAnsi="仿宋_GB2312" w:eastAsia="仿宋_GB2312" w:cs="仿宋_GB2312"/>
          <w:color w:val="000000"/>
          <w:spacing w:val="0"/>
          <w:w w:val="100"/>
          <w:position w:val="0"/>
          <w:sz w:val="32"/>
          <w:szCs w:val="32"/>
          <w:lang w:eastAsia="zh-CN"/>
        </w:rPr>
        <w:t>元，较上年决算数减少</w:t>
      </w:r>
      <w:r>
        <w:rPr>
          <w:rFonts w:hint="eastAsia" w:ascii="仿宋_GB2312" w:hAnsi="仿宋_GB2312" w:eastAsia="仿宋_GB2312" w:cs="仿宋_GB2312"/>
          <w:color w:val="000000"/>
          <w:spacing w:val="0"/>
          <w:w w:val="100"/>
          <w:position w:val="0"/>
          <w:sz w:val="32"/>
          <w:szCs w:val="32"/>
          <w:lang w:val="en-US" w:eastAsia="zh-CN"/>
        </w:rPr>
        <w:t>1,405,029.16</w:t>
      </w:r>
      <w:r>
        <w:rPr>
          <w:rFonts w:hint="eastAsia" w:ascii="仿宋_GB2312" w:hAnsi="仿宋_GB2312" w:eastAsia="仿宋_GB2312" w:cs="仿宋_GB2312"/>
          <w:color w:val="000000"/>
          <w:spacing w:val="0"/>
          <w:w w:val="100"/>
          <w:position w:val="0"/>
          <w:sz w:val="32"/>
          <w:szCs w:val="32"/>
          <w:lang w:eastAsia="zh-CN"/>
        </w:rPr>
        <w:t>元减少</w:t>
      </w:r>
      <w:r>
        <w:rPr>
          <w:rFonts w:hint="eastAsia" w:ascii="仿宋_GB2312" w:hAnsi="仿宋_GB2312" w:eastAsia="仿宋_GB2312" w:cs="仿宋_GB2312"/>
          <w:color w:val="000000"/>
          <w:spacing w:val="0"/>
          <w:w w:val="100"/>
          <w:position w:val="0"/>
          <w:sz w:val="32"/>
          <w:szCs w:val="32"/>
          <w:lang w:val="en-US" w:eastAsia="zh-CN"/>
        </w:rPr>
        <w:t>6.69</w:t>
      </w:r>
      <w:r>
        <w:rPr>
          <w:rFonts w:hint="eastAsia" w:ascii="仿宋_GB2312" w:hAnsi="仿宋_GB2312" w:eastAsia="仿宋_GB2312" w:cs="仿宋_GB2312"/>
          <w:color w:val="000000"/>
          <w:spacing w:val="0"/>
          <w:w w:val="100"/>
          <w:position w:val="0"/>
          <w:sz w:val="32"/>
          <w:szCs w:val="32"/>
          <w:lang w:eastAsia="zh-CN"/>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20" w:lineRule="exact"/>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eastAsia="仿宋_GB2312"/>
          <w:sz w:val="30"/>
          <w:szCs w:val="30"/>
        </w:rPr>
        <w:t>本部门</w:t>
      </w:r>
      <w:r>
        <w:rPr>
          <w:rFonts w:hint="eastAsia" w:ascii="仿宋_GB2312" w:eastAsia="仿宋_GB2312"/>
          <w:sz w:val="30"/>
          <w:szCs w:val="30"/>
          <w:lang w:eastAsia="zh-CN"/>
        </w:rPr>
        <w:t>202</w:t>
      </w:r>
      <w:r>
        <w:rPr>
          <w:rFonts w:hint="eastAsia" w:ascii="仿宋_GB2312" w:eastAsia="仿宋_GB2312"/>
          <w:sz w:val="30"/>
          <w:szCs w:val="30"/>
          <w:lang w:val="en-US" w:eastAsia="zh-CN"/>
        </w:rPr>
        <w:t>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19,104,091.61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比上年</w:t>
      </w:r>
      <w:r>
        <w:rPr>
          <w:rFonts w:hint="eastAsia" w:ascii="仿宋_GB2312" w:eastAsia="仿宋_GB2312"/>
          <w:sz w:val="30"/>
          <w:szCs w:val="30"/>
        </w:rPr>
        <w:t>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1,633,830.66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7.78</w:t>
      </w:r>
      <w:r>
        <w:rPr>
          <w:rFonts w:hint="eastAsia" w:ascii="仿宋_GB2312" w:eastAsia="仿宋_GB2312"/>
          <w:sz w:val="30"/>
          <w:szCs w:val="30"/>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经费、项目开支减少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rPr>
        <w:t>16490703.55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86.32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fldChar w:fldCharType="begin"/>
      </w:r>
      <w:r>
        <w:rPr>
          <w:rFonts w:hint="eastAsia" w:ascii="仿宋_GB2312" w:hAnsi="仿宋_GB2312" w:eastAsia="仿宋_GB2312" w:cs="仿宋_GB2312"/>
          <w:color w:val="000000"/>
          <w:spacing w:val="0"/>
          <w:w w:val="100"/>
          <w:position w:val="0"/>
          <w:sz w:val="32"/>
          <w:szCs w:val="32"/>
        </w:rPr>
        <w:instrText xml:space="preserve">TOC\o"1-5"\h\z</w:instrText>
      </w:r>
      <w:r>
        <w:rPr>
          <w:rFonts w:hint="eastAsia" w:ascii="仿宋_GB2312" w:hAnsi="仿宋_GB2312" w:eastAsia="仿宋_GB2312" w:cs="仿宋_GB2312"/>
          <w:color w:val="000000"/>
          <w:spacing w:val="0"/>
          <w:w w:val="100"/>
          <w:position w:val="0"/>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rPr>
        <w:t>1673730.46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8.76</w:t>
      </w:r>
      <w:r>
        <w:rPr>
          <w:rFonts w:hint="eastAsia" w:ascii="仿宋_GB2312" w:hAnsi="仿宋_GB2312" w:eastAsia="仿宋_GB2312" w:cs="仿宋_GB2312"/>
          <w:color w:val="000000"/>
          <w:spacing w:val="0"/>
          <w:w w:val="100"/>
          <w:position w:val="0"/>
          <w:sz w:val="32"/>
          <w:szCs w:val="32"/>
        </w:rPr>
        <w:t>%;卫生健康支出829857.6元，占</w:t>
      </w:r>
      <w:r>
        <w:rPr>
          <w:rFonts w:hint="eastAsia" w:ascii="仿宋_GB2312" w:hAnsi="仿宋_GB2312" w:eastAsia="仿宋_GB2312" w:cs="仿宋_GB2312"/>
          <w:color w:val="000000"/>
          <w:spacing w:val="0"/>
          <w:w w:val="100"/>
          <w:position w:val="0"/>
          <w:sz w:val="32"/>
          <w:szCs w:val="32"/>
          <w:lang w:val="en-US" w:eastAsia="zh-CN"/>
        </w:rPr>
        <w:t>4.34</w:t>
      </w:r>
      <w:r>
        <w:rPr>
          <w:rFonts w:hint="eastAsia" w:ascii="仿宋_GB2312" w:hAnsi="仿宋_GB2312" w:eastAsia="仿宋_GB2312" w:cs="仿宋_GB2312"/>
          <w:color w:val="000000"/>
          <w:spacing w:val="0"/>
          <w:w w:val="100"/>
          <w:position w:val="0"/>
          <w:sz w:val="32"/>
          <w:szCs w:val="32"/>
        </w:rPr>
        <w:t>%,；农林水支出89800元，占</w:t>
      </w:r>
      <w:r>
        <w:rPr>
          <w:rFonts w:hint="eastAsia" w:ascii="仿宋_GB2312" w:hAnsi="仿宋_GB2312" w:eastAsia="仿宋_GB2312" w:cs="仿宋_GB2312"/>
          <w:color w:val="000000"/>
          <w:spacing w:val="0"/>
          <w:w w:val="100"/>
          <w:position w:val="0"/>
          <w:sz w:val="32"/>
          <w:szCs w:val="32"/>
          <w:lang w:val="en-US" w:eastAsia="zh-CN"/>
        </w:rPr>
        <w:t>0.47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fldChar w:fldCharType="end"/>
      </w:r>
      <w:r>
        <w:rPr>
          <w:rFonts w:hint="eastAsia" w:ascii="仿宋_GB2312" w:hAnsi="仿宋_GB2312" w:eastAsia="仿宋_GB2312" w:cs="仿宋_GB2312"/>
          <w:color w:val="000000"/>
          <w:spacing w:val="0"/>
          <w:w w:val="100"/>
          <w:position w:val="0"/>
          <w:sz w:val="32"/>
          <w:szCs w:val="32"/>
        </w:rPr>
        <w:t>节能环保支出20000元，占</w:t>
      </w:r>
      <w:r>
        <w:rPr>
          <w:rFonts w:hint="eastAsia" w:ascii="仿宋_GB2312" w:hAnsi="仿宋_GB2312" w:eastAsia="仿宋_GB2312" w:cs="仿宋_GB2312"/>
          <w:color w:val="000000"/>
          <w:spacing w:val="0"/>
          <w:w w:val="100"/>
          <w:position w:val="0"/>
          <w:sz w:val="32"/>
          <w:szCs w:val="32"/>
          <w:lang w:val="en-US" w:eastAsia="zh-CN"/>
        </w:rPr>
        <w:t>0.03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就业补助支出</w:t>
      </w:r>
      <w:r>
        <w:rPr>
          <w:rFonts w:hint="eastAsia" w:ascii="仿宋_GB2312" w:hAnsi="仿宋_GB2312" w:eastAsia="仿宋_GB2312" w:cs="仿宋_GB2312"/>
          <w:color w:val="000000"/>
          <w:spacing w:val="0"/>
          <w:w w:val="100"/>
          <w:position w:val="0"/>
          <w:sz w:val="32"/>
          <w:szCs w:val="32"/>
          <w:lang w:val="en-US" w:eastAsia="zh-CN"/>
        </w:rPr>
        <w:t>24000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本部门</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202</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年</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度一般公共财政拨款基本支出</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19,104,091.61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。其中：人员经费</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17,460,505.56元。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 人员经费用途主要包括</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基本工资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12,833,837.503元、津贴补贴1,033,700.00元、奖金502,144.00元、机关事业单位基本养老保险缴费1,649,730.46元、职工基本医疗829,857.60元。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 公用经费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1,643,586.05</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公用经费用途主要包括</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办公费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539,919.49元、咨询费20,000.00元、水费5,000.00元、电费38,069.81元、邮电费28,172.07元、取暖费652,215.00元、差旅费17,111.50元、维修费125,038.18元、劳务费99,142.00元、工会经费93,588.00元、委托业务费5,330.00元，对家庭和个人的补助611,236.00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keepNext w:val="0"/>
        <w:keepLines w:val="0"/>
        <w:pageBreakBefore w:val="0"/>
        <w:kinsoku/>
        <w:wordWrap/>
        <w:overflowPunct/>
        <w:topLinePunct w:val="0"/>
        <w:autoSpaceDE/>
        <w:autoSpaceDN/>
        <w:bidi w:val="0"/>
        <w:adjustRightInd/>
        <w:snapToGrid/>
        <w:spacing w:line="52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1</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2021年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20000</w:t>
      </w:r>
      <w:r>
        <w:rPr>
          <w:rFonts w:hint="eastAsia" w:ascii="仿宋_GB2312" w:eastAsia="仿宋_GB2312"/>
          <w:sz w:val="30"/>
          <w:szCs w:val="30"/>
          <w:lang w:eastAsia="zh-CN"/>
        </w:rPr>
        <w:t>元。</w:t>
      </w:r>
    </w:p>
    <w:p>
      <w:pPr>
        <w:keepNext w:val="0"/>
        <w:keepLines w:val="0"/>
        <w:pageBreakBefore w:val="0"/>
        <w:kinsoku/>
        <w:wordWrap/>
        <w:overflowPunct/>
        <w:topLinePunct w:val="0"/>
        <w:autoSpaceDE/>
        <w:autoSpaceDN/>
        <w:bidi w:val="0"/>
        <w:adjustRightInd/>
        <w:snapToGrid/>
        <w:spacing w:line="520" w:lineRule="exact"/>
        <w:ind w:firstLine="600" w:firstLineChars="200"/>
        <w:rPr>
          <w:rFonts w:hint="eastAsia" w:ascii="仿宋_GB2312" w:eastAsia="仿宋_GB2312"/>
          <w:sz w:val="30"/>
          <w:szCs w:val="30"/>
          <w:lang w:eastAsia="zh-CN"/>
        </w:rPr>
      </w:pP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年本部门（本单位）机关运行经费支出1643586.05元，机关运行经费主要用于开支办公费、</w:t>
      </w:r>
      <w:r>
        <w:rPr>
          <w:rFonts w:hint="eastAsia" w:ascii="仿宋_GB2312" w:hAnsi="仿宋_GB2312" w:eastAsia="仿宋_GB2312" w:cs="仿宋_GB2312"/>
          <w:color w:val="000000"/>
          <w:spacing w:val="0"/>
          <w:w w:val="100"/>
          <w:position w:val="0"/>
          <w:sz w:val="32"/>
          <w:szCs w:val="32"/>
          <w:lang w:val="en-US" w:eastAsia="zh-CN"/>
        </w:rPr>
        <w:t>差旅费</w:t>
      </w:r>
      <w:r>
        <w:rPr>
          <w:rFonts w:hint="eastAsia" w:ascii="仿宋_GB2312" w:hAnsi="仿宋_GB2312" w:eastAsia="仿宋_GB2312" w:cs="仿宋_GB2312"/>
          <w:color w:val="000000"/>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520"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520" w:lineRule="exact"/>
        <w:ind w:left="0" w:right="0" w:firstLine="600" w:firstLineChars="200"/>
        <w:jc w:val="both"/>
        <w:textAlignment w:val="auto"/>
        <w:rPr>
          <w:rFonts w:hint="eastAsia" w:ascii="仿宋_GB2312" w:hAnsi="仿宋_GB2312" w:eastAsia="仿宋_GB2312" w:cs="仿宋_GB2312"/>
          <w:sz w:val="32"/>
          <w:szCs w:val="32"/>
        </w:rPr>
      </w:pPr>
      <w:r>
        <w:rPr>
          <w:rFonts w:hint="eastAsia" w:ascii="仿宋_GB2312" w:eastAsia="仿宋_GB2312"/>
          <w:sz w:val="30"/>
          <w:szCs w:val="30"/>
        </w:rPr>
        <w:t>根据财政预算绩效管理要求，我</w:t>
      </w:r>
      <w:r>
        <w:rPr>
          <w:rFonts w:hint="eastAsia" w:ascii="仿宋_GB2312" w:eastAsia="仿宋_GB2312"/>
          <w:sz w:val="30"/>
          <w:szCs w:val="30"/>
          <w:lang w:eastAsia="zh-CN"/>
        </w:rPr>
        <w:t>协会</w:t>
      </w:r>
      <w:r>
        <w:rPr>
          <w:rFonts w:hint="eastAsia" w:ascii="仿宋_GB2312" w:eastAsia="仿宋_GB2312"/>
          <w:sz w:val="30"/>
          <w:szCs w:val="30"/>
        </w:rPr>
        <w:t>预算绩效管理工作在</w:t>
      </w:r>
      <w:r>
        <w:rPr>
          <w:rFonts w:hint="eastAsia" w:ascii="仿宋_GB2312" w:eastAsia="仿宋_GB2312"/>
          <w:sz w:val="30"/>
          <w:szCs w:val="30"/>
          <w:lang w:eastAsia="zh-CN"/>
        </w:rPr>
        <w:t>县</w:t>
      </w:r>
      <w:r>
        <w:rPr>
          <w:rFonts w:hint="eastAsia" w:ascii="仿宋_GB2312" w:eastAsia="仿宋_GB2312"/>
          <w:sz w:val="30"/>
          <w:szCs w:val="30"/>
        </w:rPr>
        <w:t>财政部门指导下，进一步扩大预算绩效管理范围，加强了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明确了各责任</w:t>
      </w:r>
      <w:r>
        <w:rPr>
          <w:rFonts w:hint="eastAsia" w:ascii="仿宋_GB2312" w:eastAsia="仿宋_GB2312"/>
          <w:sz w:val="30"/>
          <w:szCs w:val="30"/>
          <w:lang w:eastAsia="zh-CN"/>
        </w:rPr>
        <w:t>股室</w:t>
      </w:r>
      <w:r>
        <w:rPr>
          <w:rFonts w:hint="eastAsia" w:ascii="仿宋_GB2312" w:eastAsia="仿宋_GB2312"/>
          <w:sz w:val="30"/>
          <w:szCs w:val="30"/>
        </w:rPr>
        <w:t>工作重点及承担的具体工作职责；规范了工作程序，明确了分阶段工作任务，强化了预算绩效在预算编制、执行中的全过程管理。按照以点带面、循序渐进的工作规律，逐步将绩效评价工作推向深入。绩效评价仍处于积极探索阶段，绩效评价指标体系还不完善，绩效评价指标设计较为抽象，存在难以理解、看不懂、不知道怎么应用的问题。需要认真研究，消除绩效管理推广应用上的技术障碍。下一步，我</w:t>
      </w:r>
      <w:r>
        <w:rPr>
          <w:rFonts w:hint="eastAsia" w:ascii="仿宋_GB2312" w:eastAsia="仿宋_GB2312"/>
          <w:sz w:val="30"/>
          <w:szCs w:val="30"/>
          <w:lang w:eastAsia="zh-CN"/>
        </w:rPr>
        <w:t>协会</w:t>
      </w:r>
      <w:r>
        <w:rPr>
          <w:rFonts w:hint="eastAsia" w:ascii="仿宋_GB2312" w:eastAsia="仿宋_GB2312"/>
          <w:sz w:val="30"/>
          <w:szCs w:val="30"/>
        </w:rPr>
        <w:t>将按照</w:t>
      </w:r>
      <w:r>
        <w:rPr>
          <w:rFonts w:hint="eastAsia" w:ascii="仿宋_GB2312" w:eastAsia="仿宋_GB2312"/>
          <w:sz w:val="30"/>
          <w:szCs w:val="30"/>
          <w:lang w:eastAsia="zh-CN"/>
        </w:rPr>
        <w:t>县</w:t>
      </w:r>
      <w:r>
        <w:rPr>
          <w:rFonts w:hint="eastAsia" w:ascii="仿宋_GB2312" w:eastAsia="仿宋_GB2312"/>
          <w:sz w:val="30"/>
          <w:szCs w:val="30"/>
        </w:rPr>
        <w:t>财政部门要求，巩固绩效评价工作取得的成果，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520"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520"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69D51"/>
    <w:multiLevelType w:val="singleLevel"/>
    <w:tmpl w:val="0EC69D51"/>
    <w:lvl w:ilvl="0" w:tentative="0">
      <w:start w:val="2"/>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DE5MzFiODY0NjE5NzRmMDZhNzYwMTI4ODNmY2VmYzQifQ=="/>
  </w:docVars>
  <w:rsids>
    <w:rsidRoot w:val="00000000"/>
    <w:rsid w:val="016A347B"/>
    <w:rsid w:val="0511788F"/>
    <w:rsid w:val="06AA1511"/>
    <w:rsid w:val="0A4C6688"/>
    <w:rsid w:val="110E1D1E"/>
    <w:rsid w:val="1739327C"/>
    <w:rsid w:val="19BA4320"/>
    <w:rsid w:val="1B205130"/>
    <w:rsid w:val="1E712589"/>
    <w:rsid w:val="1F523B54"/>
    <w:rsid w:val="25FD0C5D"/>
    <w:rsid w:val="29C05E6C"/>
    <w:rsid w:val="2C755D26"/>
    <w:rsid w:val="2F990904"/>
    <w:rsid w:val="303E14AB"/>
    <w:rsid w:val="36A711E0"/>
    <w:rsid w:val="39F46F0A"/>
    <w:rsid w:val="3ABD5DEE"/>
    <w:rsid w:val="3BD710AD"/>
    <w:rsid w:val="3FC03C8B"/>
    <w:rsid w:val="41670196"/>
    <w:rsid w:val="42736B67"/>
    <w:rsid w:val="43D445BB"/>
    <w:rsid w:val="45090A8A"/>
    <w:rsid w:val="4B60103E"/>
    <w:rsid w:val="4F1428B3"/>
    <w:rsid w:val="537062B7"/>
    <w:rsid w:val="57D535F7"/>
    <w:rsid w:val="58806626"/>
    <w:rsid w:val="5DF47E43"/>
    <w:rsid w:val="60D720E0"/>
    <w:rsid w:val="62922058"/>
    <w:rsid w:val="653A489F"/>
    <w:rsid w:val="687E00BB"/>
    <w:rsid w:val="720E4E8D"/>
    <w:rsid w:val="726D3C91"/>
    <w:rsid w:val="74424B87"/>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 w:type="paragraph" w:customStyle="1" w:styleId="29">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10447</Words>
  <Characters>13885</Characters>
  <TotalTime>1</TotalTime>
  <ScaleCrop>false</ScaleCrop>
  <LinksUpToDate>false</LinksUpToDate>
  <CharactersWithSpaces>14701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健康1406117073</cp:lastModifiedBy>
  <cp:lastPrinted>2022-08-31T08:40:00Z</cp:lastPrinted>
  <dcterms:modified xsi:type="dcterms:W3CDTF">2022-09-20T08:37:29Z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CC4B7A31645B4A068A60A26CCFFE3F23</vt:lpwstr>
  </property>
</Properties>
</file>