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tabs>
          <w:tab w:val="left" w:pos="1623"/>
          <w:tab w:val="center" w:pos="4236"/>
        </w:tabs>
        <w:bidi w:val="0"/>
        <w:jc w:val="left"/>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eastAsia="zh-CN"/>
        </w:rPr>
        <w:tab/>
      </w:r>
      <w:r>
        <w:rPr>
          <w:rFonts w:hint="eastAsia" w:ascii="方正小标宋_GBK" w:hAnsi="方正小标宋_GBK" w:eastAsia="方正小标宋_GBK" w:cs="方正小标宋_GBK"/>
          <w:sz w:val="40"/>
          <w:szCs w:val="40"/>
          <w:lang w:eastAsia="zh-CN"/>
        </w:rPr>
        <w:t>佛教协会</w:t>
      </w:r>
      <w:r>
        <w:rPr>
          <w:rFonts w:hint="eastAsia" w:ascii="方正小标宋_GBK" w:hAnsi="方正小标宋_GBK" w:eastAsia="方正小标宋_GBK" w:cs="方正小标宋_GBK"/>
          <w:sz w:val="40"/>
          <w:szCs w:val="40"/>
          <w:lang w:eastAsia="zh-CN"/>
        </w:rPr>
        <w:tab/>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ind w:firstLine="640" w:firstLineChars="200"/>
        <w:rPr>
          <w:rFonts w:ascii="黑体" w:hAnsi="黑体" w:eastAsia="黑体"/>
          <w:sz w:val="32"/>
          <w:szCs w:val="32"/>
        </w:rPr>
      </w:pPr>
      <w:r>
        <w:rPr>
          <w:rFonts w:hint="eastAsia" w:ascii="黑体" w:hAnsi="黑体" w:eastAsia="黑体"/>
          <w:sz w:val="32"/>
          <w:szCs w:val="32"/>
        </w:rPr>
        <w:t>一、部门基本情况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（一）基本情况。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1.主要职能。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1）、贯彻执行党和国家各级政府关于对宗教工作的方针、政策及法律、法规，协助县统战部、宗教局进行对佛教教职人员、佛教场所宗教活动的开展及有关业务进行指导和管理；切实做好党和政府与信教群众之间的桥梁纽带作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（2）、听取佛教教职人员的意见，反映他们的个人需求，维护佛教教职人员的利益，不断发扬佛教文化的精髓。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（3）、加强佛教领域的团结和谐，积极支持佛教界人士的传承培养工作，积极同省州协会协调争取指标，有计划地安排佛教教职人员去授箓。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（4）、弘扬佛教文化，严格民主管理原则，沟通政府、社会与佛教界之间的联系，积极引导宗教界发挥自身特有的社会地位，为社会的各项事业发展起到应有的作用。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（5）、大力开展宗教领域的精准扶贫、社会保障、社会服务工作，积极参与扶贫济困，道路建设等社会公益事业活动，为建设美好家乡添砖加瓦，出谋献策。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  2.机构情况。东乡县佛教协会核定机构数1个，实有机构1个(独立核算)。</w:t>
      </w:r>
    </w:p>
    <w:p>
      <w:pPr>
        <w:rPr>
          <w:rFonts w:ascii="楷体_GB2312" w:eastAsia="楷体_GB2312"/>
          <w:b/>
          <w:sz w:val="28"/>
          <w:szCs w:val="28"/>
        </w:rPr>
      </w:pPr>
      <w:r>
        <w:rPr>
          <w:rFonts w:hint="eastAsia" w:ascii="楷体_GB2312" w:eastAsia="楷体_GB2312"/>
          <w:b/>
          <w:sz w:val="28"/>
          <w:szCs w:val="28"/>
        </w:rPr>
        <w:t>（二）机构设置</w:t>
      </w:r>
    </w:p>
    <w:p>
      <w:pPr>
        <w:keepNext w:val="0"/>
        <w:keepLines w:val="0"/>
        <w:pageBreakBefore w:val="0"/>
        <w:widowControl w:val="0"/>
        <w:suppressLineNumbers w:val="0"/>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正科级事业单位，核定人员编制18名，核定领导3名（其中：会长1名、副会长2名）现有干部职工14人。</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lang w:val="en-US" w:eastAsia="zh-CN"/>
        </w:rPr>
        <w:t>元，与2020年决算数相比，收入减少128937.94元，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6%，支出减少128937.94元，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6%。主要原因是部分经费调整到下年度.</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0" w:firstLineChars="200"/>
        <w:jc w:val="left"/>
        <w:textAlignment w:val="auto"/>
        <w:rPr>
          <w:rFonts w:hint="default"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部门（本单位）2021年度财政拨款收1,961,816.82元，较上年决算数</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收入减少128937.94元，</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降低</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主要原因是部分经费调整到下年度.</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本部门（本单位）2021年度财政拨款支1,961,816.82元，较上年决算数</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减少128937.94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，降低</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主要原因是部分经费调整到下年度</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179751.82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上升</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部分经费年</w:t>
      </w:r>
      <w:r>
        <w:rPr>
          <w:rFonts w:hint="eastAsia" w:ascii="仿宋_GB2312" w:hAnsi="仿宋_GB2312" w:eastAsia="仿宋_GB2312" w:cs="仿宋_GB2312"/>
          <w:color w:val="000000"/>
          <w:spacing w:val="0"/>
          <w:w w:val="100"/>
          <w:position w:val="0"/>
          <w:sz w:val="32"/>
          <w:szCs w:val="32"/>
          <w:lang w:eastAsia="zh-CN"/>
        </w:rPr>
        <w:t>初未纳入预算</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lang w:val="en-US" w:eastAsia="zh-CN"/>
        </w:rPr>
        <w:t>万元，占本年支出的100%，较上年决算数减少128937.94</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。主要原因：部分经费调整到下年度。</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179751.82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上升</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部分经费年</w:t>
      </w:r>
      <w:r>
        <w:rPr>
          <w:rFonts w:hint="eastAsia" w:ascii="仿宋_GB2312" w:hAnsi="仿宋_GB2312" w:eastAsia="仿宋_GB2312" w:cs="仿宋_GB2312"/>
          <w:color w:val="000000"/>
          <w:spacing w:val="0"/>
          <w:w w:val="100"/>
          <w:position w:val="0"/>
          <w:sz w:val="32"/>
          <w:szCs w:val="32"/>
          <w:lang w:eastAsia="zh-CN"/>
        </w:rPr>
        <w:t>初未纳入预算</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一般公共服务支出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1637074.5</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t>63059.5</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工会补助经费增加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begin"/>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instrText xml:space="preserve">TOC\o"1-5"\h\z</w:instrTex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separate"/>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社会保障与就业支出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192280.08</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%,较年初预算数减少</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124997.76</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元，主要原因是单位人员减少。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卫生健康支出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82962.24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82962.24</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color w:val="000000"/>
          <w:spacing w:val="0"/>
          <w:w w:val="100"/>
          <w:position w:val="0"/>
          <w:sz w:val="32"/>
          <w:szCs w:val="32"/>
        </w:rPr>
        <w:t>；</w:t>
      </w:r>
      <w:bookmarkStart w:id="18" w:name="_GoBack"/>
      <w:bookmarkEnd w:id="18"/>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农林水支出</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49500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2</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%,较年初预算数增加</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49500</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lang w:eastAsia="zh-CN"/>
        </w:rPr>
        <w:t>年初未纳入预算</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元。其中：人员经费1881191.32元，较上年减少</w:t>
      </w:r>
      <w:r>
        <w:rPr>
          <w:rFonts w:hint="eastAsia" w:ascii="仿宋_GB2312" w:hAnsi="仿宋_GB2312" w:eastAsia="仿宋_GB2312" w:cs="仿宋_GB2312"/>
          <w:color w:val="000000"/>
          <w:spacing w:val="0"/>
          <w:w w:val="100"/>
          <w:position w:val="0"/>
          <w:sz w:val="32"/>
          <w:szCs w:val="32"/>
          <w:lang w:val="en-US" w:eastAsia="zh-CN"/>
        </w:rPr>
        <w:t>112087.64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。人员经费用途主要包括：基本工资、津贴补贴、奖金、</w:t>
      </w:r>
      <w:r>
        <w:rPr>
          <w:rFonts w:hint="eastAsia" w:ascii="仿宋_GB2312" w:hAnsi="仿宋_GB2312" w:eastAsia="仿宋_GB2312" w:cs="仿宋_GB2312"/>
          <w:color w:val="000000"/>
          <w:spacing w:val="0"/>
          <w:w w:val="100"/>
          <w:position w:val="0"/>
          <w:sz w:val="32"/>
          <w:szCs w:val="32"/>
          <w:lang w:eastAsia="zh-CN"/>
        </w:rPr>
        <w:t>个人和家庭的补助、生活补助、</w:t>
      </w:r>
      <w:r>
        <w:rPr>
          <w:rFonts w:hint="eastAsia" w:ascii="仿宋_GB2312" w:hAnsi="仿宋_GB2312" w:eastAsia="仿宋_GB2312" w:cs="仿宋_GB2312"/>
          <w:color w:val="000000"/>
          <w:spacing w:val="0"/>
          <w:w w:val="100"/>
          <w:position w:val="0"/>
          <w:sz w:val="32"/>
          <w:szCs w:val="32"/>
        </w:rPr>
        <w:t>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80625.5</w:t>
      </w:r>
      <w:r>
        <w:rPr>
          <w:rFonts w:hint="eastAsia" w:ascii="仿宋_GB2312" w:hAnsi="仿宋_GB2312" w:eastAsia="仿宋_GB2312" w:cs="仿宋_GB2312"/>
          <w:color w:val="000000"/>
          <w:spacing w:val="0"/>
          <w:w w:val="100"/>
          <w:position w:val="0"/>
          <w:sz w:val="32"/>
          <w:szCs w:val="32"/>
        </w:rPr>
        <w:t>元，较上年减少</w:t>
      </w:r>
      <w:r>
        <w:rPr>
          <w:rFonts w:hint="eastAsia" w:ascii="仿宋_GB2312" w:hAnsi="仿宋_GB2312" w:eastAsia="仿宋_GB2312" w:cs="仿宋_GB2312"/>
          <w:color w:val="000000"/>
          <w:spacing w:val="0"/>
          <w:w w:val="100"/>
          <w:position w:val="0"/>
          <w:sz w:val="32"/>
          <w:szCs w:val="32"/>
          <w:lang w:val="en-US" w:eastAsia="zh-CN"/>
        </w:rPr>
        <w:t>66350.32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部分经费调整到下年度</w:t>
      </w:r>
      <w:r>
        <w:rPr>
          <w:rFonts w:hint="eastAsia" w:ascii="仿宋_GB2312" w:hAnsi="仿宋_GB2312" w:eastAsia="仿宋_GB2312" w:cs="仿宋_GB2312"/>
          <w:color w:val="000000"/>
          <w:spacing w:val="0"/>
          <w:w w:val="100"/>
          <w:position w:val="0"/>
          <w:sz w:val="32"/>
          <w:szCs w:val="32"/>
        </w:rPr>
        <w:t>，公用经费用途主要包括办公费、印刷费、咨询费、手续费</w:t>
      </w:r>
      <w:r>
        <w:rPr>
          <w:rFonts w:hint="eastAsia" w:ascii="仿宋_GB2312" w:hAnsi="仿宋_GB2312" w:eastAsia="仿宋_GB2312" w:cs="仿宋_GB2312"/>
          <w:color w:val="000000"/>
          <w:spacing w:val="0"/>
          <w:w w:val="100"/>
          <w:position w:val="0"/>
          <w:sz w:val="32"/>
          <w:szCs w:val="32"/>
          <w:lang w:eastAsia="zh-CN"/>
        </w:rPr>
        <w:t>、水费</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ind w:firstLine="640" w:firstLineChars="200"/>
        <w:rPr>
          <w:rFonts w:ascii="仿宋_GB2312" w:eastAsia="仿宋_GB2312"/>
          <w:sz w:val="28"/>
          <w:szCs w:val="28"/>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eastAsia="仿宋_GB2312"/>
          <w:sz w:val="28"/>
          <w:szCs w:val="28"/>
        </w:rPr>
        <w:t>本部门</w:t>
      </w:r>
      <w:r>
        <w:rPr>
          <w:rFonts w:hint="eastAsia" w:ascii="仿宋_GB2312" w:eastAsia="仿宋_GB2312"/>
          <w:sz w:val="28"/>
          <w:szCs w:val="28"/>
          <w:lang w:val="en-US" w:eastAsia="zh-CN"/>
        </w:rPr>
        <w:t>无</w:t>
      </w:r>
      <w:r>
        <w:rPr>
          <w:rFonts w:hint="eastAsia" w:ascii="仿宋_GB2312" w:eastAsia="仿宋_GB2312"/>
          <w:sz w:val="28"/>
          <w:szCs w:val="28"/>
        </w:rPr>
        <w:t>“三公”经费支出</w:t>
      </w:r>
      <w:r>
        <w:rPr>
          <w:rFonts w:hint="eastAsia" w:ascii="仿宋_GB2312" w:eastAsia="仿宋_GB2312"/>
          <w:sz w:val="28"/>
          <w:szCs w:val="28"/>
          <w:lang w:eastAsia="zh-CN"/>
        </w:rPr>
        <w:t>。</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80625.5</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w:t>
      </w:r>
    </w:p>
    <w:p>
      <w:pP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机关运行经费主要用于用于开支办公费、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差旅费、水电费</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年减少</w:t>
      </w:r>
      <w:r>
        <w:rPr>
          <w:rFonts w:hint="eastAsia" w:ascii="仿宋_GB2312" w:hAnsi="仿宋_GB2312" w:eastAsia="仿宋_GB2312" w:cs="仿宋_GB2312"/>
          <w:color w:val="000000"/>
          <w:spacing w:val="0"/>
          <w:w w:val="100"/>
          <w:position w:val="0"/>
          <w:sz w:val="32"/>
          <w:szCs w:val="32"/>
          <w:lang w:val="en-US" w:eastAsia="zh-CN"/>
        </w:rPr>
        <w:t>66350.32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下降</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部分经费调整到下年度.</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3480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3480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单位办公电脑。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 w:eastAsia="仿宋_GB2312" w:cs="Times New Roman"/>
          <w:color w:val="000000"/>
          <w:sz w:val="32"/>
          <w:szCs w:val="32"/>
          <w:u w:val="single"/>
        </w:rPr>
        <w:t>1,961,816.82</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人员经费</w:t>
      </w:r>
      <w:r>
        <w:rPr>
          <w:rFonts w:hint="eastAsia" w:ascii="仿宋_GB2312" w:hAnsi="仿宋_GB2312" w:eastAsia="仿宋_GB2312" w:cs="仿宋_GB2312"/>
          <w:color w:val="000000"/>
          <w:spacing w:val="0"/>
          <w:w w:val="100"/>
          <w:position w:val="0"/>
          <w:sz w:val="32"/>
          <w:szCs w:val="32"/>
        </w:rPr>
        <w:t>1881191.32</w:t>
      </w:r>
      <w:r>
        <w:rPr>
          <w:rFonts w:hint="eastAsia" w:ascii="仿宋_GB2312" w:hAnsi="仿宋_GB2312" w:eastAsia="仿宋_GB2312" w:cs="仿宋_GB2312"/>
          <w:color w:val="000000"/>
          <w:spacing w:val="0"/>
          <w:w w:val="100"/>
          <w:position w:val="0"/>
          <w:sz w:val="32"/>
          <w:szCs w:val="32"/>
          <w:lang w:val="en-US" w:eastAsia="zh-CN"/>
        </w:rPr>
        <w:t>元，公用经费80625.5元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我单位按照预算法和经费管理办法，加强预算、决算管理，较好地执行了预算，完成了决算，较好地完成了宗教各项工作，全县宗教形势进一步明显好转。</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M4ZWEyNWNjZDVjNjhkNTQzOTg2YTZlZjgyOWYyOWIifQ=="/>
  </w:docVars>
  <w:rsids>
    <w:rsidRoot w:val="00000000"/>
    <w:rsid w:val="008D28F6"/>
    <w:rsid w:val="03DA724B"/>
    <w:rsid w:val="0511788F"/>
    <w:rsid w:val="06AA1511"/>
    <w:rsid w:val="06C35CEC"/>
    <w:rsid w:val="0A261C79"/>
    <w:rsid w:val="0A4C6688"/>
    <w:rsid w:val="0A8A0C3F"/>
    <w:rsid w:val="0C762CD4"/>
    <w:rsid w:val="0E8650F2"/>
    <w:rsid w:val="0F737EAC"/>
    <w:rsid w:val="13AB3BAB"/>
    <w:rsid w:val="1739327C"/>
    <w:rsid w:val="19BA4320"/>
    <w:rsid w:val="1B105DD5"/>
    <w:rsid w:val="1B205130"/>
    <w:rsid w:val="1E107FB9"/>
    <w:rsid w:val="1E712589"/>
    <w:rsid w:val="1F523B54"/>
    <w:rsid w:val="20041C8A"/>
    <w:rsid w:val="201E1B98"/>
    <w:rsid w:val="25FD0C5D"/>
    <w:rsid w:val="28E35D7E"/>
    <w:rsid w:val="29C05E6C"/>
    <w:rsid w:val="2CFF5337"/>
    <w:rsid w:val="2D9025D7"/>
    <w:rsid w:val="2DF65189"/>
    <w:rsid w:val="2E456581"/>
    <w:rsid w:val="2F990904"/>
    <w:rsid w:val="2FAD3705"/>
    <w:rsid w:val="310461A9"/>
    <w:rsid w:val="34390907"/>
    <w:rsid w:val="350D6970"/>
    <w:rsid w:val="36F851B0"/>
    <w:rsid w:val="39F46F0A"/>
    <w:rsid w:val="3A201019"/>
    <w:rsid w:val="3ABD5DEE"/>
    <w:rsid w:val="3BAF6B93"/>
    <w:rsid w:val="3BD710AD"/>
    <w:rsid w:val="3C8932EE"/>
    <w:rsid w:val="3EFA67D7"/>
    <w:rsid w:val="3F5E7474"/>
    <w:rsid w:val="3F834EA9"/>
    <w:rsid w:val="41670196"/>
    <w:rsid w:val="42186000"/>
    <w:rsid w:val="42736B67"/>
    <w:rsid w:val="43373A5D"/>
    <w:rsid w:val="43C61BF7"/>
    <w:rsid w:val="43D445BB"/>
    <w:rsid w:val="454763C3"/>
    <w:rsid w:val="46A64B88"/>
    <w:rsid w:val="47FF17A3"/>
    <w:rsid w:val="4A8B7502"/>
    <w:rsid w:val="4AA448D5"/>
    <w:rsid w:val="4B417C9E"/>
    <w:rsid w:val="4B60103E"/>
    <w:rsid w:val="4F1428B3"/>
    <w:rsid w:val="4F2441F6"/>
    <w:rsid w:val="537062B7"/>
    <w:rsid w:val="57D535F7"/>
    <w:rsid w:val="58300C23"/>
    <w:rsid w:val="58806626"/>
    <w:rsid w:val="5C2F5FC8"/>
    <w:rsid w:val="5CF13B42"/>
    <w:rsid w:val="5ED66BCF"/>
    <w:rsid w:val="60C31C9F"/>
    <w:rsid w:val="60D720E0"/>
    <w:rsid w:val="62922058"/>
    <w:rsid w:val="633E2161"/>
    <w:rsid w:val="67CF1B07"/>
    <w:rsid w:val="69452488"/>
    <w:rsid w:val="6C700921"/>
    <w:rsid w:val="6C761FA8"/>
    <w:rsid w:val="6E5040AB"/>
    <w:rsid w:val="6E676244"/>
    <w:rsid w:val="7088613C"/>
    <w:rsid w:val="70B81F9E"/>
    <w:rsid w:val="70E14C54"/>
    <w:rsid w:val="720E4E8D"/>
    <w:rsid w:val="726D3C91"/>
    <w:rsid w:val="745D61E5"/>
    <w:rsid w:val="768955F0"/>
    <w:rsid w:val="785A5C57"/>
    <w:rsid w:val="794C38BE"/>
    <w:rsid w:val="7A77630D"/>
    <w:rsid w:val="7C584EE5"/>
    <w:rsid w:val="7CDE6F23"/>
    <w:rsid w:val="7CF44998"/>
    <w:rsid w:val="7DDF0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4571</Words>
  <Characters>4985</Characters>
  <TotalTime>1</TotalTime>
  <ScaleCrop>false</ScaleCrop>
  <LinksUpToDate>false</LinksUpToDate>
  <CharactersWithSpaces>5031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yy</cp:lastModifiedBy>
  <cp:lastPrinted>2022-08-31T08:40:00Z</cp:lastPrinted>
  <dcterms:modified xsi:type="dcterms:W3CDTF">2022-09-19T14:37:17Z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