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县委编办</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6840" w:h="11900" w:orient="landscape"/>
          <w:pgMar w:top="1685" w:right="1358" w:bottom="1863" w:left="1616"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20" w:lineRule="exact"/>
        <w:ind w:firstLine="680" w:firstLineChars="200"/>
        <w:rPr>
          <w:rFonts w:hint="eastAsia" w:ascii="仿宋_GB2312" w:hAnsi="仿宋_GB2312" w:eastAsia="仿宋_GB2312" w:cs="仿宋_GB2312"/>
          <w:sz w:val="34"/>
          <w:szCs w:val="34"/>
        </w:rPr>
      </w:pPr>
      <w:bookmarkStart w:id="16" w:name="bookmark24"/>
      <w:r>
        <w:rPr>
          <w:rFonts w:hint="eastAsia" w:ascii="仿宋_GB2312" w:hAnsi="仿宋_GB2312" w:eastAsia="仿宋_GB2312" w:cs="仿宋_GB2312"/>
          <w:sz w:val="34"/>
          <w:szCs w:val="34"/>
        </w:rPr>
        <w:t>（一）贯彻执行中央、省、州关于行政管理体制改革和机构改革以及机构编制管理的方针政策和法律法规，拟定全县行政管理体制改革和机构改革的总体方案并组织实施；指导、协调全县行政管理体制和机构改革工作；研究拟定全县机构编制的管理办法，并督促落实。</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（二）负责全县党政机关，人大、政协机关，法院、检察院机关，各民主党派、人民团体机关及事业单位的机构编制管理工作。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（三）审核县委、县政府部门和县人大、县政协、县法院、县检察院机关，县各人民团体机关的主要职责、内设机构、人员编制方案。</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（四）协调县委各部门、县政府各部门、县委部门与县政府部门以及县与乡（镇）的职责分工。</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拟定全县事业单位管理体制和机构改革总体方案并组织实施；审核全县事业单位的机构设置、人员编制、领导职数、人员结构比例、经费预算形式等。指导协调全县事业单位管理体制改革和机构编制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（六）负责全县行政管理体制和机构改革方案、事业单位管理体制和机构改革方案以及机构编制管理政策法规执行情况的监督检查，开展县政府部门“三定”规定执行情况评估工作。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（七）负责全县机关和事业单位机构编制实名制管理工作；负责全县机关、参照公务员管理事业单位及全县事业单位人员招录（聘）和人员调入的机构编制审核工作。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（八）负责县级财政统一发放工资机构的人员编制审核工作。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（九）负责指导规范全县机关事业单位和其他非营利性单位网上名称工作。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（十）参与有关体制改革的调查研究和方案的拟定工作；承办报送县政府有关地方性法规、规章和规范性文件中涉及职责任务、机构编制内容的审核、修改工作；参与行政审批制度改革工作。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（十一）承办县委、县政府和县机构编制委员会交办的其他工作。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（十二）负责行政管理体制改革总体规划的组织实施工作。机关事业单位机构编制实名制管理工作。行政管理体制改革的调查研究，对改革成果进行评估，建立健全机构编制评估机制等职责。</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（十三）负责机关事业单位和其他非营利性单位的政务和公益机构域名注册管理职责。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根据上述职责，县机构编制委员会办公室内设4个职能股（室）：</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（一）综合股 </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承办机关文电、会务、机要、保密、档案、信访、接待等机关日常运转和综合协调工作；研究起草全县有关机构管理方面的规章草案和政策文件，围绕县编办重点工作开展全局性、长远性问题研究和专题调研，承办综合性文稿起草、公文审核、宣传和信息工作；研究制定机关内部管理制度并督促落实；承办本机关的机构编制、干部人事、劳动工资、出国政审、财务、安全、国有资产管理、离退休人员管理、后勤服务等行政事务管理工作；承担本机关信息化建设和政务公开等工作；牵头组织全县党政群机关和事业单位的政务和公益机构域名注册管理工作。</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（二）监督检查办公室（副科级建制）</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监督检查全县各部门贯彻落实中央和省有关机构编制的方针政策和法律法规情况；监督检查和评估县直各部门“三定”规定的执行情况；监督检查省市县下达各乡镇、县直各部门的编制总额和机构设置执行情况；受理违反机构编制法规、纪律的检举和投诉，承办“12310”举报电话受理工作，对违反机构编制纪律的问题进行调查核实并提出处理意见；承办全县机关事业单位财政统一发放工资的机构人员编制月审核和台帐登记等日常管理工作；承担全县机关事业单位机构编制实名制管理工作；承担全县机构编制统计工作；承办市机构编制部门和县编委交办的督查事项。</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（三）机构编制股</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研究提出全县行政管理体制和机构改革方案，并组织实施；审核县直、乡镇机关的职责配置、机构设置、人员编制和领导职数；承办县直、乡镇机关职责和机构编制调整工作；协调县级机关各部门之间的职责分工。研究提出事业单位管理体制和机构改革方案，并组织实施；负责全县事业单位分类改革工作；贯彻执衍中央和省市有关各类事业单位管理规定、编制标准；负责事业单位的机构设置、人员编制、领导职数、人员结构比例、经费预算形式等的审核和审批工作。研究协调县、乡（镇）事权划分与职责调整；承办县直、乡镇行政、事业编制总额的分配和调整工作；参与行政审批制度改革工作。</w:t>
      </w:r>
    </w:p>
    <w:p>
      <w:pPr>
        <w:spacing w:line="620" w:lineRule="exact"/>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（四）事业单位登记管理</w:t>
      </w:r>
      <w:r>
        <w:rPr>
          <w:rFonts w:hint="eastAsia" w:ascii="仿宋_GB2312" w:hAnsi="仿宋_GB2312" w:eastAsia="仿宋_GB2312" w:cs="仿宋_GB2312"/>
          <w:sz w:val="34"/>
          <w:szCs w:val="34"/>
          <w:lang w:eastAsia="zh-CN"/>
        </w:rPr>
        <w:t>股</w:t>
      </w:r>
    </w:p>
    <w:p>
      <w:pPr>
        <w:spacing w:line="62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主要职责：指导全县各系统事业单位的机构改革和机构编制管理工作；贯彻执行国务院颁发的《事业单位登记管理暂行条例》，研究拟定全县事业单位登记管理的具体政策、规定；负责县乡级所属事业单位的登记管理工作，并确认设立、变更事业单位的机构属性、所有制性质、业务范围、登记名称和法人代表，办理登记手续，核发登记证书及年检；负责维护核准登记事业单位的合法权益，对违反登记管理的行为进行查处。</w:t>
      </w:r>
    </w:p>
    <w:p>
      <w:pPr>
        <w:spacing w:line="620" w:lineRule="exact"/>
        <w:ind w:firstLine="680" w:firstLineChars="200"/>
        <w:rPr>
          <w:rFonts w:hint="eastAsia" w:ascii="仿宋_GB2312" w:hAnsi="仿宋_GB2312" w:eastAsia="仿宋_GB2312" w:cs="仿宋_GB2312"/>
          <w:sz w:val="34"/>
          <w:szCs w:val="34"/>
        </w:rPr>
      </w:pPr>
      <w:r>
        <w:rPr>
          <w:rFonts w:hint="eastAsia" w:ascii="宋体" w:hAnsi="宋体" w:cs="仿宋_GB2312"/>
          <w:b/>
          <w:sz w:val="34"/>
          <w:szCs w:val="34"/>
        </w:rPr>
        <w:t>所属事业单位</w:t>
      </w:r>
    </w:p>
    <w:p>
      <w:pPr>
        <w:spacing w:line="620" w:lineRule="exact"/>
        <w:ind w:firstLine="680" w:firstLineChars="200"/>
        <w:rPr>
          <w:rFonts w:hint="eastAsia" w:ascii="黑体" w:hAnsi="黑体" w:eastAsia="黑体"/>
          <w:sz w:val="30"/>
          <w:szCs w:val="30"/>
        </w:rPr>
      </w:pPr>
      <w:r>
        <w:rPr>
          <w:rFonts w:hint="eastAsia" w:ascii="仿宋_GB2312" w:hAnsi="仿宋_GB2312" w:eastAsia="仿宋_GB2312" w:cs="仿宋_GB2312"/>
          <w:sz w:val="34"/>
          <w:szCs w:val="34"/>
        </w:rPr>
        <w:t>县编办电子政务中心</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正科级事业单位，核定事业编制1</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rPr>
        <w:t>名，核定领导职数3名（其中：</w:t>
      </w:r>
      <w:r>
        <w:rPr>
          <w:rFonts w:hint="eastAsia" w:ascii="仿宋_GB2312" w:hAnsi="仿宋_GB2312" w:eastAsia="仿宋_GB2312" w:cs="仿宋_GB2312"/>
          <w:sz w:val="34"/>
          <w:szCs w:val="34"/>
          <w:lang w:eastAsia="zh-CN"/>
        </w:rPr>
        <w:t>主任</w:t>
      </w:r>
      <w:r>
        <w:rPr>
          <w:rFonts w:hint="eastAsia" w:ascii="仿宋_GB2312" w:hAnsi="仿宋_GB2312" w:eastAsia="仿宋_GB2312" w:cs="仿宋_GB2312"/>
          <w:sz w:val="34"/>
          <w:szCs w:val="34"/>
        </w:rPr>
        <w:t>1名、副</w:t>
      </w:r>
      <w:r>
        <w:rPr>
          <w:rFonts w:hint="eastAsia" w:ascii="仿宋_GB2312" w:hAnsi="仿宋_GB2312" w:eastAsia="仿宋_GB2312" w:cs="仿宋_GB2312"/>
          <w:sz w:val="34"/>
          <w:szCs w:val="34"/>
          <w:lang w:eastAsia="zh-CN"/>
        </w:rPr>
        <w:t>主任</w:t>
      </w:r>
      <w:r>
        <w:rPr>
          <w:rFonts w:hint="eastAsia" w:ascii="仿宋_GB2312" w:hAnsi="仿宋_GB2312" w:eastAsia="仿宋_GB2312" w:cs="仿宋_GB2312"/>
          <w:sz w:val="34"/>
          <w:szCs w:val="34"/>
        </w:rPr>
        <w:t>2名）。主要职责：负责机关电子政务和信息化建设日常工作；指导规范全县党政机关、事业单位和其他非营利性单位网上域名工作；承担“实名制”数据库维护和管理建设工作；承担县编办内外网网站建设、运行维护管理和编辑等工作；承担机构编制管理相关业务系统及办公自动化系统软件组织开发工作；承担全县机构编制统计相关工作；承担全县机构编制部门电子政务建设绩效评估和督促检查等相关工作；协调指导县编办开展电子政务和信息化建设。</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color w:val="000000"/>
          <w:spacing w:val="0"/>
          <w:w w:val="100"/>
          <w:position w:val="0"/>
          <w:sz w:val="32"/>
          <w:szCs w:val="32"/>
        </w:rPr>
      </w:pPr>
    </w:p>
    <w:tbl>
      <w:tblPr>
        <w:tblW w:w="14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850"/>
        <w:gridCol w:w="683"/>
        <w:gridCol w:w="1600"/>
        <w:gridCol w:w="3663"/>
        <w:gridCol w:w="683"/>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 w:hRule="atLeast"/>
        </w:trPr>
        <w:tc>
          <w:tcPr>
            <w:tcW w:w="1408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部门：临夏州中共东乡族自治县委员会机构编制委员会办公室</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2,627,177.33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99.13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7"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2,627,467.44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2,627,467.44</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90"/>
        <w:gridCol w:w="3956"/>
        <w:gridCol w:w="1800"/>
        <w:gridCol w:w="1800"/>
        <w:gridCol w:w="1399"/>
        <w:gridCol w:w="975"/>
        <w:gridCol w:w="975"/>
        <w:gridCol w:w="88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77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财政拨款收入</w:t>
            </w:r>
          </w:p>
        </w:tc>
        <w:tc>
          <w:tcPr>
            <w:tcW w:w="14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上级补助收入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事业收入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经营收入</w:t>
            </w:r>
          </w:p>
        </w:tc>
        <w:tc>
          <w:tcPr>
            <w:tcW w:w="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附属单位上缴收入</w:t>
            </w:r>
          </w:p>
        </w:tc>
        <w:tc>
          <w:tcPr>
            <w:tcW w:w="9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2,167,514.06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2,167,514.06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2,152,090.06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2,152,090.06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2,152,090.06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2,152,090.06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tbl>
      <w:tblPr>
        <w:tblW w:w="11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02"/>
        <w:gridCol w:w="4168"/>
        <w:gridCol w:w="1867"/>
        <w:gridCol w:w="1867"/>
        <w:gridCol w:w="587"/>
        <w:gridCol w:w="704"/>
        <w:gridCol w:w="654"/>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1820" w:type="dxa"/>
            <w:gridSpan w:val="8"/>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6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8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上缴上级支出</w:t>
            </w:r>
          </w:p>
        </w:tc>
        <w:tc>
          <w:tcPr>
            <w:tcW w:w="7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经营支出</w:t>
            </w:r>
          </w:p>
        </w:tc>
        <w:tc>
          <w:tcPr>
            <w:tcW w:w="11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 w:hRule="atLeast"/>
        </w:trPr>
        <w:tc>
          <w:tcPr>
            <w:tcW w:w="9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6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8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7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2,627,177.33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2,627,177.33</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tbl>
      <w:tblPr>
        <w:tblW w:w="14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52"/>
        <w:gridCol w:w="525"/>
        <w:gridCol w:w="1677"/>
        <w:gridCol w:w="275"/>
        <w:gridCol w:w="3463"/>
        <w:gridCol w:w="330"/>
        <w:gridCol w:w="203"/>
        <w:gridCol w:w="1342"/>
        <w:gridCol w:w="320"/>
        <w:gridCol w:w="1225"/>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55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8521" w:type="dxa"/>
            <w:gridSpan w:val="8"/>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335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16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3738"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33"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1662"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2588"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335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38"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3"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2"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88"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2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33"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6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258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6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16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2,627,177.33</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2,627,177.33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年初财政拨款结转和结余</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年末财政拨款结转和结余</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190.98</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一般公共预算财政拨款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政府性基金预算财政拨款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国有资本经营预算财政拨款</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167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738"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63</w:t>
            </w:r>
          </w:p>
        </w:tc>
        <w:tc>
          <w:tcPr>
            <w:tcW w:w="1662"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588"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 w:hRule="atLeast"/>
        </w:trPr>
        <w:tc>
          <w:tcPr>
            <w:tcW w:w="33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16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373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53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64</w:t>
            </w:r>
          </w:p>
        </w:tc>
        <w:tc>
          <w:tcPr>
            <w:tcW w:w="1662"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c>
          <w:tcPr>
            <w:tcW w:w="2588"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2,627,368.31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5" w:type="dxa"/>
            <w:gridSpan w:val="11"/>
            <w:tcBorders>
              <w:top w:val="nil"/>
              <w:left w:val="nil"/>
              <w:bottom w:val="nil"/>
              <w:right w:val="nil"/>
            </w:tcBorders>
            <w:shd w:val="clear"/>
            <w:noWrap/>
            <w:vAlign w:val="bottom"/>
          </w:tcPr>
          <w:p>
            <w:pPr>
              <w:keepNext w:val="0"/>
              <w:keepLines w:val="0"/>
              <w:widowControl/>
              <w:suppressLineNumbers w:val="0"/>
              <w:ind w:firstLine="5100" w:firstLineChars="1700"/>
              <w:jc w:val="both"/>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622"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4453" w:type="dxa"/>
            <w:gridSpan w:val="5"/>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3793"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54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154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3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5829"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93"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5"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93"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5"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622"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54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54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3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622"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2,627,177.33</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2,627,177.33</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2,167,323.08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15,424.00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2013201</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2,151,899.08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266,089.17</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111,265.08</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82,500.00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42,500.00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29" w:type="dxa"/>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379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1545"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40,000.00</w:t>
            </w:r>
          </w:p>
        </w:tc>
        <w:tc>
          <w:tcPr>
            <w:tcW w:w="136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tbl>
      <w:tblPr>
        <w:tblStyle w:val="4"/>
        <w:tblpPr w:leftFromText="180" w:rightFromText="180" w:vertAnchor="text" w:horzAnchor="page" w:tblpX="1727" w:tblpY="422"/>
        <w:tblOverlap w:val="never"/>
        <w:tblW w:w="14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241"/>
        <w:gridCol w:w="809"/>
        <w:gridCol w:w="1005"/>
        <w:gridCol w:w="1275"/>
        <w:gridCol w:w="436"/>
        <w:gridCol w:w="884"/>
        <w:gridCol w:w="720"/>
        <w:gridCol w:w="181"/>
        <w:gridCol w:w="569"/>
        <w:gridCol w:w="197"/>
        <w:gridCol w:w="943"/>
        <w:gridCol w:w="885"/>
        <w:gridCol w:w="947"/>
        <w:gridCol w:w="268"/>
        <w:gridCol w:w="1410"/>
        <w:gridCol w:w="571"/>
        <w:gridCol w:w="2130"/>
        <w:gridCol w:w="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90" w:hRule="atLeast"/>
        </w:trPr>
        <w:tc>
          <w:tcPr>
            <w:tcW w:w="13996" w:type="dxa"/>
            <w:gridSpan w:val="1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 xml:space="preserve">          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6076" w:type="dxa"/>
            <w:gridSpan w:val="9"/>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7920" w:type="dxa"/>
            <w:gridSpan w:val="9"/>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3525"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78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76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277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224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21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5"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4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2,206,366.25</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239,311.08</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1,663,049.00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94,039.02</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105,350.00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21,729.15</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60,613.00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90"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266,089.17</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7,020.00</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2,148.91</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111,265.08</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11,400.00</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5,300.00</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181,500.00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3,000.00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82,500.00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20,000.00</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15,424.00</w:t>
            </w: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96,000.00</w:t>
            </w: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224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62,250.00</w:t>
            </w:r>
          </w:p>
        </w:tc>
        <w:tc>
          <w:tcPr>
            <w:tcW w:w="213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35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766"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525" w:type="dxa"/>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8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277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224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68" w:hRule="atLeast"/>
        </w:trPr>
        <w:tc>
          <w:tcPr>
            <w:tcW w:w="4291"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178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2,387,866.25</w:t>
            </w:r>
          </w:p>
        </w:tc>
        <w:tc>
          <w:tcPr>
            <w:tcW w:w="7920" w:type="dxa"/>
            <w:gridSpan w:val="9"/>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1" w:type="dxa"/>
            <w:gridSpan w:val="1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895" w:type="dxa"/>
            <w:gridSpan w:val="8"/>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预算数</w:t>
            </w:r>
          </w:p>
        </w:tc>
        <w:tc>
          <w:tcPr>
            <w:tcW w:w="8176" w:type="dxa"/>
            <w:gridSpan w:val="1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05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360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7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c>
          <w:tcPr>
            <w:tcW w:w="75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14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因公出国（境）费</w:t>
            </w:r>
          </w:p>
        </w:tc>
        <w:tc>
          <w:tcPr>
            <w:tcW w:w="351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公务用车购置及运行费</w:t>
            </w:r>
          </w:p>
        </w:tc>
        <w:tc>
          <w:tcPr>
            <w:tcW w:w="2776"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2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132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7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0"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2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公务用车运行费</w:t>
            </w:r>
          </w:p>
        </w:tc>
        <w:tc>
          <w:tcPr>
            <w:tcW w:w="2776"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05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2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32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7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75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14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2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277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5"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6"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tbl>
      <w:tblPr>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08"/>
        <w:gridCol w:w="257"/>
        <w:gridCol w:w="257"/>
        <w:gridCol w:w="1270"/>
        <w:gridCol w:w="869"/>
        <w:gridCol w:w="869"/>
        <w:gridCol w:w="579"/>
        <w:gridCol w:w="869"/>
        <w:gridCol w:w="753"/>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1" w:hRule="atLeast"/>
        </w:trPr>
        <w:tc>
          <w:tcPr>
            <w:tcW w:w="141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9"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部门：临夏州中共东乡族自治县委员会机构编制委员会办公室</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249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180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0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10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8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18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0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50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W w:w="139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16"/>
        <w:gridCol w:w="222"/>
        <w:gridCol w:w="222"/>
        <w:gridCol w:w="1441"/>
        <w:gridCol w:w="1095"/>
        <w:gridCol w:w="645"/>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921"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56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56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部门：临夏州中共东乡族自治县委员会机构编制委员会办公室</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4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4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50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642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144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0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6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4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0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4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50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060"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44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2021年度收入总计2627368.31元，支出总计2627177.33元，与2020年决算数相比，收入减少124723.11元，减少4.5%，支出减少124914.09元，减少4.6%。主要原因是人员减少</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2627368.31</w:t>
      </w:r>
      <w:r>
        <w:rPr>
          <w:rFonts w:hint="eastAsia" w:ascii="仿宋_GB2312" w:hAnsi="仿宋_GB2312" w:eastAsia="仿宋_GB2312" w:cs="仿宋_GB2312"/>
          <w:color w:val="000000"/>
          <w:spacing w:val="0"/>
          <w:w w:val="100"/>
          <w:position w:val="0"/>
          <w:sz w:val="32"/>
          <w:szCs w:val="32"/>
        </w:rPr>
        <w:t>，其中：财政拨款收入</w:t>
      </w:r>
      <w:r>
        <w:rPr>
          <w:rFonts w:hint="eastAsia" w:ascii="仿宋_GB2312" w:hAnsi="仿宋_GB2312" w:eastAsia="仿宋_GB2312" w:cs="仿宋_GB2312"/>
          <w:color w:val="000000"/>
          <w:spacing w:val="0"/>
          <w:w w:val="100"/>
          <w:position w:val="0"/>
          <w:sz w:val="32"/>
          <w:szCs w:val="32"/>
          <w:lang w:val="en-US" w:eastAsia="zh-CN"/>
        </w:rPr>
        <w:t>2627368.31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2627177.33</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2627177.33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6840" w:h="11900" w:orient="landscape"/>
          <w:pgMar w:top="1632" w:right="1226" w:bottom="1820" w:left="166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2627368.31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124723.11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4.5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197705.31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追加实名制系统维修维护费等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2627177.33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124914.09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197705.31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追加实名制系统维修维护费。</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年度一般公共预算财政拨款支出2627177.33万元，占本年支出的 100%，较上年决算数减少124914.09元，减少4.6%。主要原因：</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197705.31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追加实名制系统维修</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2167323.08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82.4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197705.31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追加实名制系统维修维护费等</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TOC\o"1-5"\h\z</w:instrText>
      </w:r>
      <w:r>
        <w:rPr>
          <w:rFonts w:hint="eastAsia" w:ascii="仿宋_GB2312" w:hAnsi="仿宋_GB2312" w:eastAsia="仿宋_GB2312" w:cs="仿宋_GB2312"/>
          <w:color w:val="auto"/>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社会保障与就业支出</w:t>
      </w:r>
      <w:r>
        <w:rPr>
          <w:rFonts w:hint="eastAsia" w:ascii="仿宋_GB2312" w:hAnsi="仿宋_GB2312" w:eastAsia="仿宋_GB2312" w:cs="仿宋_GB2312"/>
          <w:color w:val="auto"/>
          <w:spacing w:val="0"/>
          <w:w w:val="100"/>
          <w:position w:val="0"/>
          <w:sz w:val="32"/>
          <w:szCs w:val="32"/>
          <w:lang w:val="en-US" w:eastAsia="en-US" w:bidi="en-US"/>
        </w:rPr>
        <w:t>266089.17</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10.2</w:t>
      </w:r>
      <w:r>
        <w:rPr>
          <w:rFonts w:hint="eastAsia" w:ascii="仿宋_GB2312" w:hAnsi="仿宋_GB2312" w:eastAsia="仿宋_GB2312" w:cs="仿宋_GB2312"/>
          <w:color w:val="auto"/>
          <w:spacing w:val="0"/>
          <w:w w:val="100"/>
          <w:position w:val="0"/>
          <w:sz w:val="32"/>
          <w:szCs w:val="32"/>
        </w:rPr>
        <w:t>%,较年初预算数增</w:t>
      </w:r>
      <w:r>
        <w:rPr>
          <w:rFonts w:hint="eastAsia" w:ascii="仿宋_GB2312" w:hAnsi="仿宋_GB2312" w:eastAsia="仿宋_GB2312" w:cs="仿宋_GB2312"/>
          <w:color w:val="auto"/>
          <w:spacing w:val="0"/>
          <w:w w:val="100"/>
          <w:position w:val="0"/>
          <w:sz w:val="32"/>
          <w:szCs w:val="32"/>
          <w:lang w:eastAsia="zh-CN"/>
        </w:rPr>
        <w:t>加</w:t>
      </w:r>
      <w:r>
        <w:rPr>
          <w:rFonts w:hint="eastAsia" w:ascii="仿宋_GB2312" w:hAnsi="仿宋_GB2312" w:eastAsia="仿宋_GB2312" w:cs="仿宋_GB2312"/>
          <w:color w:val="auto"/>
          <w:spacing w:val="0"/>
          <w:w w:val="100"/>
          <w:position w:val="0"/>
          <w:sz w:val="32"/>
          <w:szCs w:val="32"/>
          <w:lang w:val="en-US" w:eastAsia="zh-CN"/>
        </w:rPr>
        <w:t>0元</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农林水支出82500元，占</w:t>
      </w:r>
      <w:r>
        <w:rPr>
          <w:rFonts w:hint="eastAsia" w:ascii="仿宋_GB2312" w:hAnsi="仿宋_GB2312" w:eastAsia="仿宋_GB2312" w:cs="仿宋_GB2312"/>
          <w:color w:val="auto"/>
          <w:spacing w:val="0"/>
          <w:w w:val="100"/>
          <w:position w:val="0"/>
          <w:sz w:val="32"/>
          <w:szCs w:val="32"/>
          <w:lang w:val="en-US" w:eastAsia="zh-CN"/>
        </w:rPr>
        <w:t>3.2</w:t>
      </w:r>
      <w:r>
        <w:rPr>
          <w:rFonts w:hint="eastAsia" w:ascii="仿宋_GB2312" w:hAnsi="仿宋_GB2312" w:eastAsia="仿宋_GB2312" w:cs="仿宋_GB2312"/>
          <w:color w:val="auto"/>
          <w:spacing w:val="0"/>
          <w:w w:val="100"/>
          <w:position w:val="0"/>
          <w:sz w:val="32"/>
          <w:szCs w:val="32"/>
        </w:rPr>
        <w:t>%,较年初预算数增加</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eastAsia="zh-CN"/>
        </w:rPr>
        <w:t>卫生健康支出111265.08</w:t>
      </w:r>
      <w:r>
        <w:rPr>
          <w:rFonts w:hint="eastAsia" w:ascii="仿宋_GB2312" w:hAnsi="仿宋_GB2312" w:eastAsia="仿宋_GB2312" w:cs="仿宋_GB2312"/>
          <w:color w:val="auto"/>
          <w:spacing w:val="0"/>
          <w:w w:val="100"/>
          <w:position w:val="0"/>
          <w:sz w:val="32"/>
          <w:szCs w:val="32"/>
        </w:rPr>
        <w:t>;占</w:t>
      </w:r>
      <w:r>
        <w:rPr>
          <w:rFonts w:hint="eastAsia" w:ascii="仿宋_GB2312" w:hAnsi="仿宋_GB2312" w:eastAsia="仿宋_GB2312" w:cs="仿宋_GB2312"/>
          <w:color w:val="auto"/>
          <w:spacing w:val="0"/>
          <w:w w:val="100"/>
          <w:position w:val="0"/>
          <w:sz w:val="32"/>
          <w:szCs w:val="32"/>
          <w:lang w:val="en-US" w:eastAsia="zh-CN"/>
        </w:rPr>
        <w:t>4.2%</w:t>
      </w:r>
      <w:r>
        <w:rPr>
          <w:rFonts w:hint="eastAsia" w:ascii="仿宋_GB2312" w:hAnsi="仿宋_GB2312" w:eastAsia="仿宋_GB2312" w:cs="仿宋_GB2312"/>
          <w:color w:val="auto"/>
          <w:spacing w:val="0"/>
          <w:w w:val="100"/>
          <w:position w:val="0"/>
          <w:sz w:val="32"/>
          <w:szCs w:val="32"/>
        </w:rPr>
        <w:t>较年初预算数增加</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2627177.33</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2464529.92</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76663.67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减</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减</w:t>
      </w:r>
      <w:r>
        <w:rPr>
          <w:rFonts w:hint="eastAsia" w:ascii="仿宋_GB2312" w:hAnsi="仿宋_GB2312" w:eastAsia="仿宋_GB2312" w:cs="仿宋_GB2312"/>
          <w:color w:val="000000"/>
          <w:spacing w:val="0"/>
          <w:w w:val="100"/>
          <w:position w:val="0"/>
          <w:sz w:val="32"/>
          <w:szCs w:val="32"/>
        </w:rPr>
        <w:t>资。。人员经费用途主要包括基本工资、津贴补贴、奖金、社会保障缴费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287561.5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48250.42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实名制系统维修维护、</w:t>
      </w:r>
      <w:r>
        <w:rPr>
          <w:rFonts w:hint="eastAsia" w:ascii="仿宋_GB2312" w:hAnsi="仿宋_GB2312" w:eastAsia="仿宋_GB2312" w:cs="仿宋_GB2312"/>
          <w:color w:val="000000"/>
          <w:spacing w:val="0"/>
          <w:w w:val="100"/>
          <w:position w:val="0"/>
          <w:sz w:val="32"/>
          <w:szCs w:val="32"/>
        </w:rPr>
        <w:t>物价上涨等，公用经费用途主要包括办公费、印刷费、咨询费、手续费</w:t>
      </w:r>
      <w:r>
        <w:rPr>
          <w:rFonts w:hint="eastAsia" w:ascii="仿宋_GB2312" w:hAnsi="仿宋_GB2312" w:eastAsia="仿宋_GB2312" w:cs="仿宋_GB2312"/>
          <w:color w:val="000000"/>
          <w:spacing w:val="0"/>
          <w:w w:val="100"/>
          <w:position w:val="0"/>
          <w:sz w:val="32"/>
          <w:szCs w:val="32"/>
          <w:lang w:eastAsia="zh-CN"/>
        </w:rPr>
        <w:t>、电费</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0元</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年本部门（本单位）机关运行经费支出2194590.06元，机关运行经费主要用于开支主要用于办公费</w:t>
      </w:r>
      <w:r>
        <w:rPr>
          <w:rFonts w:hint="eastAsia" w:ascii="仿宋_GB2312" w:hAnsi="仿宋_GB2312" w:eastAsia="仿宋_GB2312" w:cs="仿宋_GB2312"/>
          <w:color w:val="000000"/>
          <w:spacing w:val="0"/>
          <w:w w:val="100"/>
          <w:position w:val="0"/>
          <w:sz w:val="32"/>
          <w:szCs w:val="32"/>
          <w:lang w:eastAsia="zh-CN"/>
        </w:rPr>
        <w:t>、驻村工作人员补助</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实名制系统维护</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eastAsia="zh-CN"/>
        </w:rPr>
        <w:t>、人员工资</w:t>
      </w:r>
      <w:r>
        <w:rPr>
          <w:rFonts w:hint="eastAsia" w:ascii="仿宋_GB2312" w:hAnsi="仿宋_GB2312" w:eastAsia="仿宋_GB2312" w:cs="仿宋_GB2312"/>
          <w:color w:val="000000"/>
          <w:spacing w:val="0"/>
          <w:w w:val="100"/>
          <w:position w:val="0"/>
          <w:sz w:val="32"/>
          <w:szCs w:val="32"/>
        </w:rPr>
        <w:t>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en-US" w:bidi="en-US"/>
        </w:rPr>
        <w:t>130285.94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5.6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笔墨纸张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6840" w:h="11900" w:orient="landscape"/>
          <w:pgMar w:top="1632" w:right="1226" w:bottom="1820" w:left="166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我单位本年无项目支出，故未开展项目支出绩效自评</w:t>
      </w:r>
      <w:r>
        <w:rPr>
          <w:rFonts w:hint="eastAsia" w:ascii="仿宋_GB2312" w:hAnsi="仿宋_GB2312" w:eastAsia="仿宋_GB2312" w:cs="仿宋_GB2312"/>
          <w:color w:val="000000"/>
          <w:spacing w:val="0"/>
          <w:w w:val="100"/>
          <w:position w:val="0"/>
          <w:sz w:val="32"/>
          <w:szCs w:val="32"/>
          <w:lang w:eastAsia="zh-CN"/>
        </w:rPr>
        <w:t>。</w:t>
      </w:r>
    </w:p>
    <w:bookmarkEnd w:id="18"/>
    <w:p>
      <w:pPr>
        <w:pStyle w:val="14"/>
        <w:keepNext w:val="0"/>
        <w:keepLines w:val="0"/>
        <w:pageBreakBefore w:val="0"/>
        <w:widowControl w:val="0"/>
        <w:numPr>
          <w:ilvl w:val="0"/>
          <w:numId w:val="4"/>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bookmarkStart w:id="19" w:name="bookmark33"/>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w:t>
      </w:r>
      <w:bookmarkStart w:id="20" w:name="_GoBack"/>
      <w:bookmarkEnd w:id="20"/>
      <w:r>
        <w:rPr>
          <w:rFonts w:hint="eastAsia" w:ascii="仿宋_GB2312" w:hAnsi="仿宋_GB2312" w:eastAsia="仿宋_GB2312" w:cs="仿宋_GB2312"/>
          <w:color w:val="000000"/>
          <w:spacing w:val="0"/>
          <w:w w:val="100"/>
          <w:position w:val="0"/>
          <w:sz w:val="32"/>
          <w:szCs w:val="32"/>
        </w:rPr>
        <w:t>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6840" w:h="11900" w:orient="landscape"/>
      <w:pgMar w:top="1632" w:right="1226" w:bottom="1820" w:left="166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A5A88"/>
    <w:multiLevelType w:val="singleLevel"/>
    <w:tmpl w:val="9B9A5A88"/>
    <w:lvl w:ilvl="0" w:tentative="0">
      <w:start w:val="2"/>
      <w:numFmt w:val="chineseCounting"/>
      <w:lvlText w:val="（%1）"/>
      <w:lvlJc w:val="left"/>
      <w:rPr>
        <w:rFonts w:hint="eastAsia"/>
      </w:rPr>
    </w:lvl>
  </w:abstractNum>
  <w:abstractNum w:abstractNumId="1">
    <w:nsid w:val="C3DB6E48"/>
    <w:multiLevelType w:val="singleLevel"/>
    <w:tmpl w:val="C3DB6E48"/>
    <w:lvl w:ilvl="0" w:tentative="0">
      <w:start w:val="2"/>
      <w:numFmt w:val="chineseCounting"/>
      <w:suff w:val="space"/>
      <w:lvlText w:val="第%1部分"/>
      <w:lvlJc w:val="left"/>
      <w:rPr>
        <w:rFonts w:hint="eastAsia"/>
      </w:rPr>
    </w:lvl>
  </w:abstractNum>
  <w:abstractNum w:abstractNumId="2">
    <w:nsid w:val="37BE8353"/>
    <w:multiLevelType w:val="singleLevel"/>
    <w:tmpl w:val="37BE8353"/>
    <w:lvl w:ilvl="0" w:tentative="0">
      <w:start w:val="3"/>
      <w:numFmt w:val="chineseCounting"/>
      <w:suff w:val="space"/>
      <w:lvlText w:val="第%1部分"/>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Y4YjQ2MzdkM2VjYmIxOGRmNjcxNmJmYjFmMGEwOTkifQ=="/>
  </w:docVars>
  <w:rsids>
    <w:rsidRoot w:val="00000000"/>
    <w:rsid w:val="0511788F"/>
    <w:rsid w:val="06AA1511"/>
    <w:rsid w:val="0A4C6688"/>
    <w:rsid w:val="157F0CC0"/>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spacing w:after="12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7238</Words>
  <Characters>7841</Characters>
  <TotalTime>1</TotalTime>
  <ScaleCrop>false</ScaleCrop>
  <LinksUpToDate>false</LinksUpToDate>
  <CharactersWithSpaces>7889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领悟</cp:lastModifiedBy>
  <cp:lastPrinted>2022-08-31T08:40:00Z</cp:lastPrinted>
  <dcterms:modified xsi:type="dcterms:W3CDTF">2022-09-20T03:36:09Z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B453C0AD76A74A1B97E9B39686406CEE</vt:lpwstr>
  </property>
</Properties>
</file>