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eastAsia="方正小标宋简体"/>
          <w:sz w:val="44"/>
          <w:szCs w:val="44"/>
          <w:lang w:val="en-US" w:eastAsia="zh-CN"/>
        </w:rPr>
      </w:pPr>
      <w:bookmarkStart w:id="10" w:name="_GoBack"/>
      <w:r>
        <w:rPr>
          <w:rFonts w:hint="eastAsia" w:ascii="方正小标宋简体" w:eastAsia="方正小标宋简体"/>
          <w:sz w:val="44"/>
          <w:szCs w:val="44"/>
          <w:lang w:val="en-US" w:eastAsia="zh-CN"/>
        </w:rPr>
        <w:t>中共东乡县委巡察工作领导小组办公室</w:t>
      </w:r>
      <w:bookmarkEnd w:id="1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lang w:eastAsia="zh-CN"/>
        </w:rPr>
        <w:t>年</w:t>
      </w:r>
      <w:r>
        <w:rPr>
          <w:rFonts w:hint="eastAsia" w:ascii="方正小标宋简体" w:eastAsia="方正小标宋简体"/>
          <w:sz w:val="44"/>
          <w:szCs w:val="44"/>
        </w:rPr>
        <w:t>度部门决算情况说明</w:t>
      </w:r>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部门概括</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一、部门</w:t>
      </w:r>
      <w:r>
        <w:rPr>
          <w:rFonts w:hint="eastAsia" w:ascii="黑体" w:hAnsi="黑体" w:eastAsia="黑体" w:cs="黑体"/>
          <w:b w:val="0"/>
          <w:bCs w:val="0"/>
          <w:sz w:val="32"/>
          <w:szCs w:val="32"/>
        </w:rPr>
        <w:t>职能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担传达贯彻中央、省委、州委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县委</w:t>
      </w:r>
      <w:r>
        <w:rPr>
          <w:rFonts w:hint="eastAsia" w:ascii="仿宋_GB2312" w:hAnsi="仿宋_GB2312" w:eastAsia="仿宋_GB2312" w:cs="仿宋_GB2312"/>
          <w:sz w:val="32"/>
          <w:szCs w:val="32"/>
        </w:rPr>
        <w:t>和领导小组的决策部署，向</w:t>
      </w:r>
      <w:r>
        <w:rPr>
          <w:rFonts w:hint="eastAsia" w:ascii="仿宋_GB2312" w:hAnsi="仿宋_GB2312" w:eastAsia="仿宋_GB2312" w:cs="仿宋_GB2312"/>
          <w:sz w:val="32"/>
          <w:szCs w:val="32"/>
          <w:lang w:val="en-US" w:eastAsia="zh-CN"/>
        </w:rPr>
        <w:t>县委、</w:t>
      </w:r>
      <w:r>
        <w:rPr>
          <w:rFonts w:hint="eastAsia" w:ascii="仿宋_GB2312" w:hAnsi="仿宋_GB2312" w:eastAsia="仿宋_GB2312" w:cs="仿宋_GB2312"/>
          <w:sz w:val="32"/>
          <w:szCs w:val="32"/>
        </w:rPr>
        <w:t>领导小组和</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委巡</w:t>
      </w:r>
      <w:r>
        <w:rPr>
          <w:rFonts w:hint="eastAsia" w:ascii="仿宋_GB2312" w:hAnsi="仿宋_GB2312" w:eastAsia="仿宋_GB2312" w:cs="仿宋_GB2312"/>
          <w:sz w:val="32"/>
          <w:szCs w:val="32"/>
          <w:lang w:val="en-US" w:eastAsia="zh-CN"/>
        </w:rPr>
        <w:t>察</w:t>
      </w:r>
      <w:r>
        <w:rPr>
          <w:rFonts w:hint="eastAsia" w:ascii="仿宋_GB2312" w:hAnsi="仿宋_GB2312" w:eastAsia="仿宋_GB2312" w:cs="仿宋_GB2312"/>
          <w:sz w:val="32"/>
          <w:szCs w:val="32"/>
        </w:rPr>
        <w:t xml:space="preserve">办报告工作情况的职责：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）及时传达党中央、省委、州委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县委</w:t>
      </w:r>
      <w:r>
        <w:rPr>
          <w:rFonts w:hint="eastAsia" w:ascii="仿宋_GB2312" w:hAnsi="仿宋_GB2312" w:eastAsia="仿宋_GB2312" w:cs="仿宋_GB2312"/>
          <w:sz w:val="32"/>
          <w:szCs w:val="32"/>
        </w:rPr>
        <w:t xml:space="preserve">和领导小组的决策部署，研究贯彻落实的措施；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县委、</w:t>
      </w:r>
      <w:r>
        <w:rPr>
          <w:rFonts w:hint="eastAsia" w:ascii="仿宋_GB2312" w:hAnsi="仿宋_GB2312" w:eastAsia="仿宋_GB2312" w:cs="仿宋_GB2312"/>
          <w:sz w:val="32"/>
          <w:szCs w:val="32"/>
        </w:rPr>
        <w:t>领导小组和</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委巡</w:t>
      </w:r>
      <w:r>
        <w:rPr>
          <w:rFonts w:hint="eastAsia" w:ascii="仿宋_GB2312" w:hAnsi="仿宋_GB2312" w:eastAsia="仿宋_GB2312" w:cs="仿宋_GB2312"/>
          <w:sz w:val="32"/>
          <w:szCs w:val="32"/>
          <w:lang w:val="en-US" w:eastAsia="zh-CN"/>
        </w:rPr>
        <w:t>察</w:t>
      </w:r>
      <w:r>
        <w:rPr>
          <w:rFonts w:hint="eastAsia" w:ascii="仿宋_GB2312" w:hAnsi="仿宋_GB2312" w:eastAsia="仿宋_GB2312" w:cs="仿宋_GB2312"/>
          <w:sz w:val="32"/>
          <w:szCs w:val="32"/>
        </w:rPr>
        <w:t xml:space="preserve">办报告巡察工作的重要情况和重大问题；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）组织筹备领导小组会议，起草会议文件；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）起草领导小组呈报</w:t>
      </w:r>
      <w:r>
        <w:rPr>
          <w:rFonts w:hint="eastAsia" w:ascii="仿宋_GB2312" w:hAnsi="仿宋_GB2312" w:eastAsia="仿宋_GB2312" w:cs="仿宋_GB2312"/>
          <w:sz w:val="32"/>
          <w:szCs w:val="32"/>
          <w:lang w:val="en-US" w:eastAsia="zh-CN"/>
        </w:rPr>
        <w:t>州</w:t>
      </w:r>
      <w:r>
        <w:rPr>
          <w:rFonts w:hint="eastAsia" w:ascii="仿宋_GB2312" w:hAnsi="仿宋_GB2312" w:eastAsia="仿宋_GB2312" w:cs="仿宋_GB2312"/>
          <w:sz w:val="32"/>
          <w:szCs w:val="32"/>
        </w:rPr>
        <w:t>委巡</w:t>
      </w:r>
      <w:r>
        <w:rPr>
          <w:rFonts w:hint="eastAsia" w:ascii="仿宋_GB2312" w:hAnsi="仿宋_GB2312" w:eastAsia="仿宋_GB2312" w:cs="仿宋_GB2312"/>
          <w:sz w:val="32"/>
          <w:szCs w:val="32"/>
          <w:lang w:val="en-US" w:eastAsia="zh-CN"/>
        </w:rPr>
        <w:t>察</w:t>
      </w:r>
      <w:r>
        <w:rPr>
          <w:rFonts w:hint="eastAsia" w:ascii="仿宋_GB2312" w:hAnsi="仿宋_GB2312" w:eastAsia="仿宋_GB2312" w:cs="仿宋_GB2312"/>
          <w:sz w:val="32"/>
          <w:szCs w:val="32"/>
        </w:rPr>
        <w:t>工作领导小组和</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委的有关请示、报告；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委、领导小组决定的事项进行督办；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）办理领导小组交办的其他事项。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承担统筹推进</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委巡察工作的职责：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）统筹推进</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委在一届任期内对所管理的</w:t>
      </w:r>
      <w:r>
        <w:rPr>
          <w:rFonts w:hint="eastAsia" w:ascii="仿宋_GB2312" w:hAnsi="仿宋_GB2312" w:eastAsia="仿宋_GB2312" w:cs="仿宋_GB2312"/>
          <w:sz w:val="32"/>
          <w:szCs w:val="32"/>
          <w:lang w:val="en-US" w:eastAsia="zh-CN"/>
        </w:rPr>
        <w:t>县直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村（社区）</w:t>
      </w:r>
      <w:r>
        <w:rPr>
          <w:rFonts w:hint="eastAsia" w:ascii="仿宋_GB2312" w:hAnsi="仿宋_GB2312" w:eastAsia="仿宋_GB2312" w:cs="仿宋_GB2312"/>
          <w:sz w:val="32"/>
          <w:szCs w:val="32"/>
        </w:rPr>
        <w:t xml:space="preserve">党组织全面巡察；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）研究提出</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委巡察工作规划和任务安排的建议；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）需要统筹的其他事项。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rPr>
        <w:t xml:space="preserve">承担组织协调巡察工作的职责：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）会同有关部门选配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委巡察组人员；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）协调配合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委巡察组做好巡察准备、进驻、了解、报告、反馈、移交等工作；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）协调纪检、组织、宣传、政法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财政、审计、信访等部门及其他有关</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配合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委巡察组开展工作；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）需要协调的其他事项。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rPr>
        <w:t>承担指导</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委巡察组开展巡察工作的职责：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）组织召开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委巡察工作动员部署和培训会议；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委巡察组报送领导小组的巡察报告、专题报告、谈话情况报告、问题线索报告以及向被巡察党组织的反馈意见等材料；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委巡察组移交、归档材料进行审核把关；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委巡察组之间的情况交流；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）需要指导的其他事项。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rPr>
        <w:t>会同</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委巡察组对被巡察党组织整改落实情况进行督促检查，梳理汇总巡察成果。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rPr>
        <w:t>开展调查研究，总结经验做法，探索创新组织制度和方式方法，建立和完善</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委巡察工作制度体系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推进巡察工作信息化建设。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sz w:val="32"/>
          <w:szCs w:val="32"/>
        </w:rPr>
        <w:t>加强后勤服务工作，为</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 xml:space="preserve">委巡察组顺利开展工作提供支持和保障。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sz w:val="32"/>
          <w:szCs w:val="32"/>
        </w:rPr>
        <w:t xml:space="preserve">加强巡察工作宣传，会同有关部门建立协作机制，有效应对涉巡舆情。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sz w:val="32"/>
          <w:szCs w:val="32"/>
        </w:rPr>
        <w:t>加强巡察队伍建设，配合有关部门对巡察干部进行培训、考核、监督和管理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会同巡察组</w:t>
      </w:r>
      <w:r>
        <w:rPr>
          <w:rFonts w:hint="eastAsia" w:ascii="仿宋_GB2312" w:hAnsi="仿宋_GB2312" w:eastAsia="仿宋_GB2312" w:cs="仿宋_GB2312"/>
          <w:sz w:val="32"/>
          <w:szCs w:val="32"/>
          <w:lang w:eastAsia="zh-CN"/>
        </w:rPr>
        <w:t>向选派部门提供</w:t>
      </w:r>
      <w:r>
        <w:rPr>
          <w:rFonts w:hint="eastAsia" w:ascii="仿宋_GB2312" w:hAnsi="仿宋_GB2312" w:eastAsia="仿宋_GB2312" w:cs="仿宋_GB2312"/>
          <w:sz w:val="32"/>
          <w:szCs w:val="32"/>
        </w:rPr>
        <w:t>巡察组科级及以下干部</w:t>
      </w:r>
      <w:r>
        <w:rPr>
          <w:rFonts w:hint="eastAsia" w:ascii="仿宋_GB2312" w:hAnsi="仿宋_GB2312" w:eastAsia="仿宋_GB2312" w:cs="仿宋_GB2312"/>
          <w:sz w:val="32"/>
          <w:szCs w:val="32"/>
          <w:lang w:eastAsia="zh-CN"/>
        </w:rPr>
        <w:t>平时考核情况</w:t>
      </w:r>
      <w:r>
        <w:rPr>
          <w:rFonts w:hint="eastAsia" w:ascii="仿宋_GB2312" w:hAnsi="仿宋_GB2312" w:eastAsia="仿宋_GB2312" w:cs="仿宋_GB2312"/>
          <w:sz w:val="32"/>
          <w:szCs w:val="32"/>
        </w:rPr>
        <w:t xml:space="preserve">。对巡察人员的选拔任用、轮岗交流、奖惩向领导小组或有关部门提出建议。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委巡察机构党组织建设，严格党的组织生活，强化纪律作风建设。支持党组织开展工作，为完成中心工作提供政治保障。</w:t>
      </w:r>
      <w:r>
        <w:rPr>
          <w:rFonts w:hint="eastAsia" w:ascii="黑体" w:hAnsi="黑体" w:eastAsia="黑体"/>
          <w:sz w:val="32"/>
          <w:szCs w:val="32"/>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根据上述职责，东乡县</w:t>
      </w:r>
      <w:r>
        <w:rPr>
          <w:rFonts w:hint="eastAsia" w:ascii="仿宋" w:hAnsi="仿宋" w:eastAsia="仿宋" w:cs="仿宋"/>
          <w:sz w:val="32"/>
          <w:szCs w:val="32"/>
          <w:lang w:val="en-US" w:eastAsia="zh-CN"/>
        </w:rPr>
        <w:t>委巡察办</w:t>
      </w:r>
      <w:r>
        <w:rPr>
          <w:rFonts w:hint="eastAsia" w:ascii="仿宋" w:hAnsi="仿宋" w:eastAsia="仿宋" w:cs="仿宋"/>
          <w:sz w:val="32"/>
          <w:szCs w:val="32"/>
        </w:rPr>
        <w:t>内设</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val="en-US" w:eastAsia="zh-CN"/>
        </w:rPr>
        <w:t>行政</w:t>
      </w:r>
      <w:r>
        <w:rPr>
          <w:rFonts w:hint="eastAsia" w:ascii="仿宋" w:hAnsi="仿宋" w:eastAsia="仿宋" w:cs="仿宋"/>
          <w:sz w:val="32"/>
          <w:szCs w:val="32"/>
        </w:rPr>
        <w:t>股室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1个事业股室</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1.综合股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（1）负责日常文电处理、会务、档案、保密和信访工作；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（2）负责起草有关文件文稿，编发通报和信息等工作；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（3）负责县委各巡察组的联络、保障和服务工作；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（4）配合做好巡察机构工作人员的培训、考核、管理工作；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（5）负责与州委巡察办、县直各单位的联络协调工作；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（6）负责县委巡察工作领导小组决定事项的督办工作。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2.业务股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（1）负责巡察工作规划、计划、方案和制度的研究制定；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（2）负责巡察业务的指导检查，协调县委巡察组开展巡察工作；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（3）汇总、分析和上报巡察工作情况，为巡察成果运用提供依据；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（4）督促做好意见反馈、整改落实、公开公布、线索移交核查等工作。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3.整改督查股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（1）做实做细巡察“后半篇”文章，谋划推进县级巡察整改工作；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（2）研究制定各级巡视巡察整改工作制度和整改督查工作方案；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（3）移交督办县委巡察工作领导小组决定的处置事项；总结提炼、分析研判巡察发现问题中的薄弱领域，对下轮巡察整改工作提出意见；</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（4）指导督导县委巡察整改落实督查组有效开展工作。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4.信息中心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（1）推进巡察信息化建设，及时维护巡视巡察工作数据管理系统，确保每轮巡察数据录入工作按期高质量完成；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（2）及时向县委巡察组和巡察整改落实督查组提供相关信息或资料，做好信息联络和后勤保障工作；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（3）联系协调被巡察单位做好进驻动员会、巡察反馈会和整改测评会等准备工作；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（4）健全与纪检、组织、政法、审计、信访等部门的联系机制，负责与其进行沟通衔接。</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第二部分</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rPr>
        <w:t>202</w:t>
      </w:r>
      <w:r>
        <w:rPr>
          <w:rFonts w:hint="eastAsia" w:ascii="黑体" w:hAnsi="黑体" w:eastAsia="黑体" w:cs="黑体"/>
          <w:b w:val="0"/>
          <w:bCs w:val="0"/>
          <w:color w:val="000000"/>
          <w:spacing w:val="0"/>
          <w:w w:val="100"/>
          <w:position w:val="0"/>
          <w:sz w:val="32"/>
          <w:szCs w:val="32"/>
          <w:lang w:val="en-US" w:eastAsia="zh-CN"/>
        </w:rPr>
        <w:t>1</w:t>
      </w:r>
      <w:r>
        <w:rPr>
          <w:rFonts w:hint="eastAsia" w:ascii="黑体" w:hAnsi="黑体" w:eastAsia="黑体" w:cs="黑体"/>
          <w:b w:val="0"/>
          <w:bCs w:val="0"/>
          <w:color w:val="000000"/>
          <w:spacing w:val="0"/>
          <w:w w:val="100"/>
          <w:position w:val="0"/>
          <w:sz w:val="32"/>
          <w:szCs w:val="32"/>
        </w:rPr>
        <w:t>年度部门</w:t>
      </w:r>
      <w:r>
        <w:rPr>
          <w:rFonts w:hint="eastAsia" w:ascii="黑体" w:hAnsi="黑体" w:eastAsia="黑体" w:cs="黑体"/>
          <w:b w:val="0"/>
          <w:bCs w:val="0"/>
          <w:color w:val="000000"/>
          <w:spacing w:val="0"/>
          <w:w w:val="100"/>
          <w:position w:val="0"/>
          <w:sz w:val="32"/>
          <w:szCs w:val="32"/>
          <w:lang w:eastAsia="zh-CN"/>
        </w:rPr>
        <w:t>（本单位）</w:t>
      </w:r>
      <w:r>
        <w:rPr>
          <w:rFonts w:hint="eastAsia" w:ascii="黑体" w:hAnsi="黑体" w:eastAsia="黑体" w:cs="黑体"/>
          <w:b w:val="0"/>
          <w:bCs w:val="0"/>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0" w:name="bookmark5"/>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6"/>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7"/>
      <w:r>
        <w:rPr>
          <w:rFonts w:hint="eastAsia" w:ascii="仿宋_GB2312" w:hAnsi="仿宋_GB2312" w:eastAsia="仿宋_GB2312" w:cs="仿宋_GB2312"/>
          <w:color w:val="000000"/>
          <w:spacing w:val="0"/>
          <w:w w:val="100"/>
          <w:position w:val="0"/>
          <w:sz w:val="32"/>
          <w:szCs w:val="32"/>
        </w:rPr>
        <w:t>三</w:t>
      </w:r>
      <w:bookmarkEnd w:id="2"/>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8"/>
      <w:r>
        <w:rPr>
          <w:rFonts w:hint="eastAsia" w:ascii="仿宋_GB2312" w:hAnsi="仿宋_GB2312" w:eastAsia="仿宋_GB2312" w:cs="仿宋_GB2312"/>
          <w:color w:val="000000"/>
          <w:spacing w:val="0"/>
          <w:w w:val="100"/>
          <w:position w:val="0"/>
          <w:sz w:val="32"/>
          <w:szCs w:val="32"/>
        </w:rPr>
        <w:t>四</w:t>
      </w:r>
      <w:bookmarkEnd w:id="3"/>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9"/>
      <w:r>
        <w:rPr>
          <w:rFonts w:hint="eastAsia" w:ascii="仿宋_GB2312" w:hAnsi="仿宋_GB2312" w:eastAsia="仿宋_GB2312" w:cs="仿宋_GB2312"/>
          <w:color w:val="000000"/>
          <w:spacing w:val="0"/>
          <w:w w:val="100"/>
          <w:position w:val="0"/>
          <w:sz w:val="32"/>
          <w:szCs w:val="32"/>
        </w:rPr>
        <w:t>五</w:t>
      </w:r>
      <w:bookmarkEnd w:id="4"/>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5" w:name="bookmark10"/>
      <w:r>
        <w:rPr>
          <w:rFonts w:hint="eastAsia" w:ascii="仿宋_GB2312" w:hAnsi="仿宋_GB2312" w:eastAsia="仿宋_GB2312" w:cs="仿宋_GB2312"/>
          <w:color w:val="000000"/>
          <w:spacing w:val="0"/>
          <w:w w:val="100"/>
          <w:position w:val="0"/>
          <w:sz w:val="32"/>
          <w:szCs w:val="32"/>
        </w:rPr>
        <w:t>六</w:t>
      </w:r>
      <w:bookmarkEnd w:id="5"/>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11"/>
      <w:r>
        <w:rPr>
          <w:rFonts w:hint="eastAsia" w:ascii="仿宋_GB2312" w:hAnsi="仿宋_GB2312" w:eastAsia="仿宋_GB2312" w:cs="仿宋_GB2312"/>
          <w:color w:val="000000"/>
          <w:spacing w:val="0"/>
          <w:w w:val="100"/>
          <w:position w:val="0"/>
          <w:sz w:val="32"/>
          <w:szCs w:val="32"/>
        </w:rPr>
        <w:t>七</w:t>
      </w:r>
      <w:bookmarkEnd w:id="6"/>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12"/>
      <w:r>
        <w:rPr>
          <w:rFonts w:hint="eastAsia" w:ascii="仿宋_GB2312" w:hAnsi="仿宋_GB2312" w:eastAsia="仿宋_GB2312" w:cs="仿宋_GB2312"/>
          <w:color w:val="000000"/>
          <w:spacing w:val="0"/>
          <w:w w:val="100"/>
          <w:position w:val="0"/>
          <w:sz w:val="32"/>
          <w:szCs w:val="32"/>
        </w:rPr>
        <w:t>八</w:t>
      </w:r>
      <w:bookmarkEnd w:id="7"/>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3"/>
      <w:r>
        <w:rPr>
          <w:rFonts w:hint="eastAsia" w:ascii="仿宋_GB2312" w:hAnsi="仿宋_GB2312" w:eastAsia="仿宋_GB2312" w:cs="仿宋_GB2312"/>
          <w:color w:val="000000"/>
          <w:spacing w:val="0"/>
          <w:w w:val="100"/>
          <w:position w:val="0"/>
          <w:sz w:val="32"/>
          <w:szCs w:val="32"/>
        </w:rPr>
        <w:t>九</w:t>
      </w:r>
      <w:bookmarkEnd w:id="8"/>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第三部分</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lang w:eastAsia="zh-CN"/>
        </w:rPr>
        <w:t>2021</w:t>
      </w:r>
      <w:r>
        <w:rPr>
          <w:rFonts w:hint="eastAsia" w:ascii="黑体" w:hAnsi="黑体" w:eastAsia="黑体" w:cs="黑体"/>
          <w:b w:val="0"/>
          <w:bCs w:val="0"/>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黑体" w:hAnsi="黑体" w:eastAsia="黑体" w:cs="黑体"/>
          <w:b w:val="0"/>
          <w:bCs w:val="0"/>
          <w:color w:val="000000"/>
          <w:spacing w:val="0"/>
          <w:w w:val="100"/>
          <w:position w:val="0"/>
          <w:sz w:val="32"/>
          <w:szCs w:val="32"/>
          <w:lang w:eastAsia="zh-CN"/>
        </w:rPr>
      </w:pPr>
      <w:bookmarkStart w:id="9" w:name="bookmark14"/>
      <w:r>
        <w:rPr>
          <w:rFonts w:hint="eastAsia" w:ascii="黑体" w:hAnsi="黑体" w:eastAsia="黑体" w:cs="黑体"/>
          <w:b w:val="0"/>
          <w:bCs w:val="0"/>
          <w:color w:val="000000"/>
          <w:spacing w:val="0"/>
          <w:w w:val="100"/>
          <w:position w:val="0"/>
          <w:sz w:val="32"/>
          <w:szCs w:val="32"/>
          <w:lang w:eastAsia="zh-CN"/>
        </w:rPr>
        <w:t>一</w:t>
      </w:r>
      <w:bookmarkEnd w:id="9"/>
      <w:r>
        <w:rPr>
          <w:rFonts w:hint="eastAsia" w:ascii="黑体" w:hAnsi="黑体" w:eastAsia="黑体" w:cs="黑体"/>
          <w:b w:val="0"/>
          <w:bCs w:val="0"/>
          <w:color w:val="000000"/>
          <w:spacing w:val="0"/>
          <w:w w:val="100"/>
          <w:position w:val="0"/>
          <w:sz w:val="32"/>
          <w:szCs w:val="32"/>
          <w:lang w:eastAsia="zh-CN"/>
        </w:rPr>
        <w:t>、收入支出决算总体情况说明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本部门2021年度收入总计1916983.76元，支出总计1916983.76元。与2020年决算数相比，收入增加</w:t>
      </w:r>
      <w:r>
        <w:rPr>
          <w:rFonts w:hint="eastAsia" w:ascii="仿宋_GB2312" w:hAnsi="仿宋_GB2312" w:eastAsia="仿宋_GB2312" w:cs="仿宋_GB2312"/>
          <w:b w:val="0"/>
          <w:bCs w:val="0"/>
          <w:color w:val="000000"/>
          <w:spacing w:val="0"/>
          <w:w w:val="100"/>
          <w:position w:val="0"/>
          <w:sz w:val="32"/>
          <w:szCs w:val="32"/>
          <w:lang w:val="en-US" w:eastAsia="zh-CN"/>
        </w:rPr>
        <w:t>1156865.16</w:t>
      </w:r>
      <w:r>
        <w:rPr>
          <w:rFonts w:hint="eastAsia" w:ascii="仿宋_GB2312" w:hAnsi="仿宋_GB2312" w:eastAsia="仿宋_GB2312" w:cs="仿宋_GB2312"/>
          <w:b w:val="0"/>
          <w:bCs w:val="0"/>
          <w:color w:val="000000"/>
          <w:spacing w:val="0"/>
          <w:w w:val="100"/>
          <w:position w:val="0"/>
          <w:sz w:val="32"/>
          <w:szCs w:val="32"/>
          <w:lang w:eastAsia="zh-CN"/>
        </w:rPr>
        <w:t>元，增长</w:t>
      </w:r>
      <w:r>
        <w:rPr>
          <w:rFonts w:hint="eastAsia" w:ascii="仿宋_GB2312" w:hAnsi="仿宋_GB2312" w:eastAsia="仿宋_GB2312" w:cs="仿宋_GB2312"/>
          <w:b w:val="0"/>
          <w:bCs w:val="0"/>
          <w:color w:val="000000"/>
          <w:spacing w:val="0"/>
          <w:w w:val="100"/>
          <w:position w:val="0"/>
          <w:sz w:val="32"/>
          <w:szCs w:val="32"/>
          <w:lang w:val="en-US" w:eastAsia="zh-CN"/>
        </w:rPr>
        <w:t>152.1</w:t>
      </w:r>
      <w:r>
        <w:rPr>
          <w:rFonts w:hint="eastAsia" w:ascii="仿宋_GB2312" w:hAnsi="仿宋_GB2312" w:eastAsia="仿宋_GB2312" w:cs="仿宋_GB2312"/>
          <w:b w:val="0"/>
          <w:bCs w:val="0"/>
          <w:color w:val="000000"/>
          <w:spacing w:val="0"/>
          <w:w w:val="100"/>
          <w:position w:val="0"/>
          <w:sz w:val="32"/>
          <w:szCs w:val="32"/>
          <w:lang w:eastAsia="zh-CN"/>
        </w:rPr>
        <w:t>%；支出较上年决算数增加</w:t>
      </w:r>
      <w:r>
        <w:rPr>
          <w:rFonts w:hint="eastAsia" w:ascii="仿宋_GB2312" w:hAnsi="仿宋_GB2312" w:eastAsia="仿宋_GB2312" w:cs="仿宋_GB2312"/>
          <w:b w:val="0"/>
          <w:bCs w:val="0"/>
          <w:color w:val="000000"/>
          <w:spacing w:val="0"/>
          <w:w w:val="100"/>
          <w:position w:val="0"/>
          <w:sz w:val="32"/>
          <w:szCs w:val="32"/>
          <w:lang w:val="en-US" w:eastAsia="zh-CN"/>
        </w:rPr>
        <w:t>1156865.16</w:t>
      </w:r>
      <w:r>
        <w:rPr>
          <w:rFonts w:hint="eastAsia" w:ascii="仿宋_GB2312" w:hAnsi="仿宋_GB2312" w:eastAsia="仿宋_GB2312" w:cs="仿宋_GB2312"/>
          <w:b w:val="0"/>
          <w:bCs w:val="0"/>
          <w:color w:val="000000"/>
          <w:spacing w:val="0"/>
          <w:w w:val="100"/>
          <w:position w:val="0"/>
          <w:sz w:val="32"/>
          <w:szCs w:val="32"/>
          <w:lang w:eastAsia="zh-CN"/>
        </w:rPr>
        <w:t>元，增长</w:t>
      </w:r>
      <w:r>
        <w:rPr>
          <w:rFonts w:hint="eastAsia" w:ascii="仿宋_GB2312" w:hAnsi="仿宋_GB2312" w:eastAsia="仿宋_GB2312" w:cs="仿宋_GB2312"/>
          <w:b w:val="0"/>
          <w:bCs w:val="0"/>
          <w:color w:val="000000"/>
          <w:spacing w:val="0"/>
          <w:w w:val="100"/>
          <w:position w:val="0"/>
          <w:sz w:val="32"/>
          <w:szCs w:val="32"/>
          <w:lang w:val="en-US" w:eastAsia="zh-CN"/>
        </w:rPr>
        <w:t>152.1</w:t>
      </w:r>
      <w:r>
        <w:rPr>
          <w:rFonts w:hint="eastAsia" w:ascii="仿宋_GB2312" w:hAnsi="仿宋_GB2312" w:eastAsia="仿宋_GB2312" w:cs="仿宋_GB2312"/>
          <w:b w:val="0"/>
          <w:bCs w:val="0"/>
          <w:color w:val="000000"/>
          <w:spacing w:val="0"/>
          <w:w w:val="100"/>
          <w:position w:val="0"/>
          <w:sz w:val="32"/>
          <w:szCs w:val="32"/>
          <w:lang w:eastAsia="zh-CN"/>
        </w:rPr>
        <w:t>%。主要原因是2021年</w:t>
      </w:r>
      <w:r>
        <w:rPr>
          <w:rFonts w:hint="eastAsia" w:ascii="仿宋_GB2312" w:hAnsi="仿宋_GB2312" w:eastAsia="仿宋_GB2312" w:cs="仿宋_GB2312"/>
          <w:b w:val="0"/>
          <w:bCs w:val="0"/>
          <w:color w:val="000000"/>
          <w:spacing w:val="0"/>
          <w:w w:val="100"/>
          <w:position w:val="0"/>
          <w:sz w:val="32"/>
          <w:szCs w:val="32"/>
          <w:lang w:val="en-US" w:eastAsia="zh-CN"/>
        </w:rPr>
        <w:t>独立核算工资、养老保险、住房公积金</w:t>
      </w:r>
      <w:r>
        <w:rPr>
          <w:rFonts w:hint="eastAsia" w:ascii="仿宋_GB2312" w:hAnsi="仿宋_GB2312" w:eastAsia="仿宋_GB2312" w:cs="仿宋_GB2312"/>
          <w:b w:val="0"/>
          <w:bCs w:val="0"/>
          <w:color w:val="000000"/>
          <w:spacing w:val="0"/>
          <w:w w:val="100"/>
          <w:position w:val="0"/>
          <w:sz w:val="32"/>
          <w:szCs w:val="32"/>
          <w:lang w:eastAsia="zh-CN"/>
        </w:rPr>
        <w:t>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黑体" w:hAnsi="黑体" w:eastAsia="黑体" w:cs="黑体"/>
          <w:b w:val="0"/>
          <w:bCs w:val="0"/>
          <w:color w:val="000000"/>
          <w:spacing w:val="0"/>
          <w:w w:val="100"/>
          <w:position w:val="0"/>
          <w:sz w:val="32"/>
          <w:szCs w:val="32"/>
          <w:lang w:eastAsia="zh-CN"/>
        </w:rPr>
      </w:pPr>
      <w:r>
        <w:rPr>
          <w:rFonts w:hint="eastAsia" w:ascii="黑体" w:hAnsi="黑体" w:eastAsia="黑体" w:cs="黑体"/>
          <w:b w:val="0"/>
          <w:bCs w:val="0"/>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黑体" w:hAnsi="黑体" w:eastAsia="黑体" w:cs="黑体"/>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本部门2021年度收入合计1916983.76元，其中：财政拨款收入1916983.76元，占</w:t>
      </w:r>
      <w:r>
        <w:rPr>
          <w:rFonts w:hint="eastAsia" w:ascii="仿宋_GB2312" w:hAnsi="仿宋_GB2312" w:eastAsia="仿宋_GB2312" w:cs="仿宋_GB2312"/>
          <w:b w:val="0"/>
          <w:bCs w:val="0"/>
          <w:color w:val="000000"/>
          <w:spacing w:val="0"/>
          <w:w w:val="100"/>
          <w:position w:val="0"/>
          <w:sz w:val="32"/>
          <w:szCs w:val="32"/>
          <w:lang w:val="en-US" w:eastAsia="zh-CN"/>
        </w:rPr>
        <w:t>100</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eastAsia="zh-CN"/>
        </w:rPr>
        <w:t>三、</w:t>
      </w:r>
      <w:r>
        <w:rPr>
          <w:rFonts w:hint="eastAsia" w:ascii="黑体" w:hAnsi="黑体" w:eastAsia="黑体" w:cs="黑体"/>
          <w:b w:val="0"/>
          <w:bCs w:val="0"/>
          <w:color w:val="000000"/>
          <w:spacing w:val="0"/>
          <w:w w:val="100"/>
          <w:position w:val="0"/>
          <w:sz w:val="32"/>
          <w:szCs w:val="32"/>
          <w:lang w:val="en-US" w:eastAsia="zh-CN"/>
        </w:rPr>
        <w:t>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黑体" w:hAnsi="黑体" w:eastAsia="黑体" w:cs="黑体"/>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本部门2021年度支出合计11916983.76元，其中：基本支出1665549.08元，占</w:t>
      </w:r>
      <w:r>
        <w:rPr>
          <w:rFonts w:hint="eastAsia" w:ascii="仿宋_GB2312" w:hAnsi="仿宋_GB2312" w:eastAsia="仿宋_GB2312" w:cs="仿宋_GB2312"/>
          <w:b w:val="0"/>
          <w:bCs w:val="0"/>
          <w:color w:val="000000"/>
          <w:spacing w:val="0"/>
          <w:w w:val="100"/>
          <w:position w:val="0"/>
          <w:sz w:val="32"/>
          <w:szCs w:val="32"/>
          <w:lang w:val="en-US" w:eastAsia="zh-CN"/>
        </w:rPr>
        <w:t>100</w:t>
      </w:r>
      <w:r>
        <w:rPr>
          <w:rFonts w:hint="eastAsia" w:ascii="仿宋_GB2312" w:hAnsi="仿宋_GB2312" w:eastAsia="仿宋_GB2312" w:cs="仿宋_GB2312"/>
          <w:b w:val="0"/>
          <w:bCs w:val="0"/>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四、财政拨款收入支出决算总体情况说明</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本部门2021年度财政拨款收入</w:t>
      </w:r>
      <w:r>
        <w:rPr>
          <w:rFonts w:hint="eastAsia" w:ascii="仿宋_GB2312" w:hAnsi="仿宋_GB2312" w:eastAsia="仿宋_GB2312" w:cs="仿宋_GB2312"/>
          <w:b w:val="0"/>
          <w:bCs w:val="0"/>
          <w:color w:val="000000"/>
          <w:spacing w:val="0"/>
          <w:w w:val="100"/>
          <w:position w:val="0"/>
          <w:sz w:val="32"/>
          <w:szCs w:val="32"/>
          <w:lang w:eastAsia="zh-CN"/>
        </w:rPr>
        <w:t>1916983.76元</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，较上年决算数</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增加</w:t>
      </w:r>
      <w:r>
        <w:rPr>
          <w:rFonts w:hint="eastAsia" w:ascii="仿宋_GB2312" w:hAnsi="仿宋_GB2312" w:eastAsia="仿宋_GB2312" w:cs="仿宋_GB2312"/>
          <w:b w:val="0"/>
          <w:bCs w:val="0"/>
          <w:color w:val="000000"/>
          <w:spacing w:val="0"/>
          <w:w w:val="100"/>
          <w:position w:val="0"/>
          <w:sz w:val="32"/>
          <w:szCs w:val="32"/>
          <w:lang w:val="en-US" w:eastAsia="zh-CN"/>
        </w:rPr>
        <w:t>1156865.16</w:t>
      </w:r>
      <w:r>
        <w:rPr>
          <w:rFonts w:hint="eastAsia" w:ascii="仿宋_GB2312" w:hAnsi="仿宋_GB2312" w:eastAsia="仿宋_GB2312" w:cs="仿宋_GB2312"/>
          <w:b w:val="0"/>
          <w:bCs w:val="0"/>
          <w:color w:val="000000"/>
          <w:spacing w:val="0"/>
          <w:w w:val="100"/>
          <w:position w:val="0"/>
          <w:sz w:val="32"/>
          <w:szCs w:val="32"/>
          <w:lang w:eastAsia="zh-CN"/>
        </w:rPr>
        <w:t>元，增长</w:t>
      </w:r>
      <w:r>
        <w:rPr>
          <w:rFonts w:hint="eastAsia" w:ascii="仿宋_GB2312" w:hAnsi="仿宋_GB2312" w:eastAsia="仿宋_GB2312" w:cs="仿宋_GB2312"/>
          <w:b w:val="0"/>
          <w:bCs w:val="0"/>
          <w:color w:val="000000"/>
          <w:spacing w:val="0"/>
          <w:w w:val="100"/>
          <w:position w:val="0"/>
          <w:sz w:val="32"/>
          <w:szCs w:val="32"/>
          <w:lang w:val="en-US" w:eastAsia="zh-CN"/>
        </w:rPr>
        <w:t>152.1</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。主要原因是</w:t>
      </w:r>
      <w:r>
        <w:rPr>
          <w:rFonts w:hint="eastAsia" w:ascii="仿宋_GB2312" w:hAnsi="仿宋_GB2312" w:eastAsia="仿宋_GB2312" w:cs="仿宋_GB2312"/>
          <w:b w:val="0"/>
          <w:bCs w:val="0"/>
          <w:color w:val="000000"/>
          <w:spacing w:val="0"/>
          <w:w w:val="100"/>
          <w:position w:val="0"/>
          <w:sz w:val="32"/>
          <w:szCs w:val="32"/>
          <w:lang w:eastAsia="zh-CN"/>
        </w:rPr>
        <w:t>2021年</w:t>
      </w:r>
      <w:r>
        <w:rPr>
          <w:rFonts w:hint="eastAsia" w:ascii="仿宋_GB2312" w:hAnsi="仿宋_GB2312" w:eastAsia="仿宋_GB2312" w:cs="仿宋_GB2312"/>
          <w:b w:val="0"/>
          <w:bCs w:val="0"/>
          <w:color w:val="000000"/>
          <w:spacing w:val="0"/>
          <w:w w:val="100"/>
          <w:position w:val="0"/>
          <w:sz w:val="32"/>
          <w:szCs w:val="32"/>
          <w:lang w:val="en-US" w:eastAsia="zh-CN"/>
        </w:rPr>
        <w:t>独立核算工资、养老保险、住房公积金</w:t>
      </w:r>
      <w:r>
        <w:rPr>
          <w:rFonts w:hint="eastAsia" w:ascii="仿宋_GB2312" w:hAnsi="仿宋_GB2312" w:eastAsia="仿宋_GB2312" w:cs="仿宋_GB2312"/>
          <w:b w:val="0"/>
          <w:bCs w:val="0"/>
          <w:color w:val="000000"/>
          <w:spacing w:val="0"/>
          <w:w w:val="100"/>
          <w:position w:val="0"/>
          <w:sz w:val="32"/>
          <w:szCs w:val="32"/>
          <w:lang w:eastAsia="zh-CN"/>
        </w:rPr>
        <w:t>等</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本部门2021年度财政拨款支出</w:t>
      </w:r>
      <w:r>
        <w:rPr>
          <w:rFonts w:hint="eastAsia" w:ascii="仿宋_GB2312" w:hAnsi="仿宋_GB2312" w:eastAsia="仿宋_GB2312" w:cs="仿宋_GB2312"/>
          <w:b w:val="0"/>
          <w:bCs w:val="0"/>
          <w:color w:val="000000"/>
          <w:spacing w:val="0"/>
          <w:w w:val="100"/>
          <w:position w:val="0"/>
          <w:sz w:val="32"/>
          <w:szCs w:val="32"/>
          <w:lang w:eastAsia="zh-CN"/>
        </w:rPr>
        <w:t>1916983.76元</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，较上年决算数</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增加</w:t>
      </w:r>
      <w:r>
        <w:rPr>
          <w:rFonts w:hint="eastAsia" w:ascii="仿宋_GB2312" w:hAnsi="仿宋_GB2312" w:eastAsia="仿宋_GB2312" w:cs="仿宋_GB2312"/>
          <w:b w:val="0"/>
          <w:bCs w:val="0"/>
          <w:color w:val="000000"/>
          <w:spacing w:val="0"/>
          <w:w w:val="100"/>
          <w:position w:val="0"/>
          <w:sz w:val="32"/>
          <w:szCs w:val="32"/>
          <w:lang w:val="en-US" w:eastAsia="zh-CN"/>
        </w:rPr>
        <w:t>1156865.16</w:t>
      </w:r>
      <w:r>
        <w:rPr>
          <w:rFonts w:hint="eastAsia" w:ascii="仿宋_GB2312" w:hAnsi="仿宋_GB2312" w:eastAsia="仿宋_GB2312" w:cs="仿宋_GB2312"/>
          <w:b w:val="0"/>
          <w:bCs w:val="0"/>
          <w:color w:val="000000"/>
          <w:spacing w:val="0"/>
          <w:w w:val="100"/>
          <w:position w:val="0"/>
          <w:sz w:val="32"/>
          <w:szCs w:val="32"/>
          <w:lang w:eastAsia="zh-CN"/>
        </w:rPr>
        <w:t>元，增长</w:t>
      </w:r>
      <w:r>
        <w:rPr>
          <w:rFonts w:hint="eastAsia" w:ascii="仿宋_GB2312" w:hAnsi="仿宋_GB2312" w:eastAsia="仿宋_GB2312" w:cs="仿宋_GB2312"/>
          <w:b w:val="0"/>
          <w:bCs w:val="0"/>
          <w:color w:val="000000"/>
          <w:spacing w:val="0"/>
          <w:w w:val="100"/>
          <w:position w:val="0"/>
          <w:sz w:val="32"/>
          <w:szCs w:val="32"/>
          <w:lang w:val="en-US" w:eastAsia="zh-CN"/>
        </w:rPr>
        <w:t>152.1</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。主要原因是</w:t>
      </w:r>
      <w:r>
        <w:rPr>
          <w:rFonts w:hint="eastAsia" w:ascii="仿宋_GB2312" w:hAnsi="仿宋_GB2312" w:eastAsia="仿宋_GB2312" w:cs="仿宋_GB2312"/>
          <w:b w:val="0"/>
          <w:bCs w:val="0"/>
          <w:color w:val="000000"/>
          <w:spacing w:val="0"/>
          <w:w w:val="100"/>
          <w:position w:val="0"/>
          <w:sz w:val="32"/>
          <w:szCs w:val="32"/>
          <w:lang w:eastAsia="zh-CN"/>
        </w:rPr>
        <w:t>2021年</w:t>
      </w:r>
      <w:r>
        <w:rPr>
          <w:rFonts w:hint="eastAsia" w:ascii="仿宋_GB2312" w:hAnsi="仿宋_GB2312" w:eastAsia="仿宋_GB2312" w:cs="仿宋_GB2312"/>
          <w:b w:val="0"/>
          <w:bCs w:val="0"/>
          <w:color w:val="000000"/>
          <w:spacing w:val="0"/>
          <w:w w:val="100"/>
          <w:position w:val="0"/>
          <w:sz w:val="32"/>
          <w:szCs w:val="32"/>
          <w:lang w:val="en-US" w:eastAsia="zh-CN"/>
        </w:rPr>
        <w:t>独立核算工资、养老保险、住房公积金</w:t>
      </w:r>
      <w:r>
        <w:rPr>
          <w:rFonts w:hint="eastAsia" w:ascii="仿宋_GB2312" w:hAnsi="仿宋_GB2312" w:eastAsia="仿宋_GB2312" w:cs="仿宋_GB2312"/>
          <w:b w:val="0"/>
          <w:bCs w:val="0"/>
          <w:color w:val="000000"/>
          <w:spacing w:val="0"/>
          <w:w w:val="100"/>
          <w:position w:val="0"/>
          <w:sz w:val="32"/>
          <w:szCs w:val="32"/>
          <w:lang w:eastAsia="zh-CN"/>
        </w:rPr>
        <w:t>等</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五、一般公共预算财政拨款支出决算情况说明</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本部门2021年度财政拨款支出主要用于以下方面：</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一般公共服务支出1665549.08元，占86.88%；</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社会保障和就业支出178109.44元，占9.29%；</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卫生健康支出62325.24元，占3.25%；</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both"/>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农林水支出11000.00元，占0.57%。</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0" w:leftChars="0" w:right="0" w:rightChars="0" w:firstLine="720" w:firstLineChars="225"/>
        <w:jc w:val="left"/>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六、一般公共预算财政拨款基本支出决算情况说明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rPr>
      </w:pPr>
      <w:r>
        <w:rPr>
          <w:rFonts w:hint="eastAsia" w:ascii="仿宋_GB2312" w:hAnsi="仿宋_GB2312" w:eastAsia="仿宋_GB2312" w:cs="仿宋_GB2312"/>
          <w:b w:val="0"/>
          <w:bCs w:val="0"/>
          <w:color w:val="000000"/>
          <w:spacing w:val="0"/>
          <w:w w:val="100"/>
          <w:position w:val="0"/>
          <w:sz w:val="32"/>
          <w:szCs w:val="32"/>
          <w:lang w:val="zh-CN" w:eastAsia="zh-CN"/>
        </w:rPr>
        <w:t>本部门2021年度一般公共财政拨款基本支出5587342.27元。其中：</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rPr>
      </w:pPr>
      <w:r>
        <w:rPr>
          <w:rFonts w:hint="eastAsia" w:ascii="仿宋_GB2312" w:hAnsi="仿宋_GB2312" w:eastAsia="仿宋_GB2312" w:cs="仿宋_GB2312"/>
          <w:b w:val="0"/>
          <w:bCs w:val="0"/>
          <w:color w:val="000000"/>
          <w:spacing w:val="0"/>
          <w:w w:val="100"/>
          <w:position w:val="0"/>
          <w:sz w:val="32"/>
          <w:szCs w:val="32"/>
          <w:lang w:val="zh-CN" w:eastAsia="zh-CN"/>
        </w:rPr>
        <w:t>人员经费1519178.68元，较上年</w:t>
      </w:r>
      <w:r>
        <w:rPr>
          <w:rFonts w:hint="eastAsia" w:ascii="仿宋_GB2312" w:hAnsi="仿宋_GB2312" w:eastAsia="仿宋_GB2312" w:cs="仿宋_GB2312"/>
          <w:b w:val="0"/>
          <w:bCs w:val="0"/>
          <w:color w:val="000000"/>
          <w:spacing w:val="0"/>
          <w:w w:val="100"/>
          <w:position w:val="0"/>
          <w:sz w:val="32"/>
          <w:szCs w:val="32"/>
          <w:lang w:val="en-US" w:eastAsia="zh-CN"/>
        </w:rPr>
        <w:t>增加1220843.08</w:t>
      </w:r>
      <w:r>
        <w:rPr>
          <w:rFonts w:hint="eastAsia" w:ascii="仿宋_GB2312" w:hAnsi="仿宋_GB2312" w:eastAsia="仿宋_GB2312" w:cs="仿宋_GB2312"/>
          <w:b w:val="0"/>
          <w:bCs w:val="0"/>
          <w:color w:val="000000"/>
          <w:spacing w:val="0"/>
          <w:w w:val="100"/>
          <w:position w:val="0"/>
          <w:sz w:val="32"/>
          <w:szCs w:val="32"/>
          <w:lang w:val="zh-CN" w:eastAsia="zh-CN"/>
        </w:rPr>
        <w:t>元，主要原因是</w:t>
      </w:r>
      <w:r>
        <w:rPr>
          <w:rFonts w:hint="eastAsia" w:ascii="仿宋_GB2312" w:hAnsi="仿宋_GB2312" w:eastAsia="仿宋_GB2312" w:cs="仿宋_GB2312"/>
          <w:b w:val="0"/>
          <w:bCs w:val="0"/>
          <w:color w:val="000000"/>
          <w:spacing w:val="0"/>
          <w:w w:val="100"/>
          <w:position w:val="0"/>
          <w:sz w:val="32"/>
          <w:szCs w:val="32"/>
          <w:lang w:eastAsia="zh-CN"/>
        </w:rPr>
        <w:t>2021年</w:t>
      </w:r>
      <w:r>
        <w:rPr>
          <w:rFonts w:hint="eastAsia" w:ascii="仿宋_GB2312" w:hAnsi="仿宋_GB2312" w:eastAsia="仿宋_GB2312" w:cs="仿宋_GB2312"/>
          <w:b w:val="0"/>
          <w:bCs w:val="0"/>
          <w:color w:val="000000"/>
          <w:spacing w:val="0"/>
          <w:w w:val="100"/>
          <w:position w:val="0"/>
          <w:sz w:val="32"/>
          <w:szCs w:val="32"/>
          <w:lang w:val="en-US" w:eastAsia="zh-CN"/>
        </w:rPr>
        <w:t>独立核算工资、养老保险、住房公积金</w:t>
      </w:r>
      <w:r>
        <w:rPr>
          <w:rFonts w:hint="eastAsia" w:ascii="仿宋_GB2312" w:hAnsi="仿宋_GB2312" w:eastAsia="仿宋_GB2312" w:cs="仿宋_GB2312"/>
          <w:b w:val="0"/>
          <w:bCs w:val="0"/>
          <w:color w:val="000000"/>
          <w:spacing w:val="0"/>
          <w:w w:val="100"/>
          <w:position w:val="0"/>
          <w:sz w:val="32"/>
          <w:szCs w:val="32"/>
          <w:lang w:eastAsia="zh-CN"/>
        </w:rPr>
        <w:t>等</w:t>
      </w:r>
      <w:r>
        <w:rPr>
          <w:rFonts w:hint="eastAsia" w:ascii="仿宋_GB2312" w:hAnsi="仿宋_GB2312" w:eastAsia="仿宋_GB2312" w:cs="仿宋_GB2312"/>
          <w:b w:val="0"/>
          <w:bCs w:val="0"/>
          <w:color w:val="000000"/>
          <w:spacing w:val="0"/>
          <w:w w:val="100"/>
          <w:position w:val="0"/>
          <w:sz w:val="32"/>
          <w:szCs w:val="32"/>
          <w:lang w:val="zh-CN" w:eastAsia="zh-CN"/>
        </w:rPr>
        <w:t>。人员经费用途主要包括基本工资、津贴补贴、奖金、社会保障缴费等。</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pacing w:val="0"/>
          <w:w w:val="100"/>
          <w:position w:val="0"/>
          <w:sz w:val="32"/>
          <w:szCs w:val="32"/>
          <w:lang w:val="zh-CN" w:eastAsia="zh-CN"/>
        </w:rPr>
        <w:t>公用经费397805.08元，较上年</w:t>
      </w:r>
      <w:r>
        <w:rPr>
          <w:rFonts w:hint="eastAsia" w:ascii="仿宋_GB2312" w:hAnsi="仿宋_GB2312" w:eastAsia="仿宋_GB2312" w:cs="仿宋_GB2312"/>
          <w:b w:val="0"/>
          <w:bCs w:val="0"/>
          <w:color w:val="000000"/>
          <w:spacing w:val="0"/>
          <w:w w:val="100"/>
          <w:position w:val="0"/>
          <w:sz w:val="32"/>
          <w:szCs w:val="32"/>
          <w:lang w:val="en-US" w:eastAsia="zh-CN"/>
        </w:rPr>
        <w:t>减少63977.92</w:t>
      </w:r>
      <w:r>
        <w:rPr>
          <w:rFonts w:hint="eastAsia" w:ascii="仿宋_GB2312" w:hAnsi="仿宋_GB2312" w:eastAsia="仿宋_GB2312" w:cs="仿宋_GB2312"/>
          <w:b w:val="0"/>
          <w:bCs w:val="0"/>
          <w:color w:val="000000"/>
          <w:spacing w:val="0"/>
          <w:w w:val="100"/>
          <w:position w:val="0"/>
          <w:sz w:val="32"/>
          <w:szCs w:val="32"/>
          <w:lang w:val="zh-CN" w:eastAsia="zh-CN"/>
        </w:rPr>
        <w:t>元。公用经费用途主要包括办公费、印刷费、邮电费、电费等。</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638" w:leftChars="266" w:right="0" w:firstLine="0" w:firstLineChars="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lang w:val="en-US" w:eastAsia="zh-CN"/>
        </w:rPr>
        <w:t>七、一般公共预算财政拨款“三公”经费支出决算情况说明</w:t>
      </w:r>
      <w:r>
        <w:rPr>
          <w:rFonts w:hint="eastAsia" w:ascii="楷体_GB2312" w:hAnsi="楷体_GB2312" w:eastAsia="楷体_GB2312" w:cs="楷体_GB2312"/>
          <w:b/>
          <w:bCs/>
          <w:i w:val="0"/>
          <w:iCs w:val="0"/>
          <w:smallCaps w:val="0"/>
          <w:strike w:val="0"/>
          <w:color w:val="000000"/>
          <w:spacing w:val="0"/>
          <w:w w:val="100"/>
          <w:position w:val="0"/>
          <w:sz w:val="32"/>
          <w:szCs w:val="32"/>
        </w:rPr>
        <w:t>（一）“三公”经费财政拨款支出总体情况说明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rPr>
        <w:t>年度本部门“三公”经费支出共计</w:t>
      </w:r>
      <w:r>
        <w:rPr>
          <w:rFonts w:hint="eastAsia" w:ascii="仿宋_GB2312" w:eastAsia="仿宋_GB2312"/>
          <w:sz w:val="32"/>
          <w:szCs w:val="32"/>
          <w:lang w:val="en-US" w:eastAsia="zh-CN"/>
        </w:rPr>
        <w:t>0</w:t>
      </w:r>
      <w:r>
        <w:rPr>
          <w:rFonts w:hint="eastAsia" w:ascii="仿宋_GB2312" w:eastAsia="仿宋_GB2312"/>
          <w:sz w:val="32"/>
          <w:szCs w:val="32"/>
          <w:lang w:eastAsia="zh-CN"/>
        </w:rPr>
        <w:t>元</w:t>
      </w:r>
      <w:r>
        <w:rPr>
          <w:rFonts w:hint="eastAsia" w:ascii="仿宋_GB2312" w:eastAsia="仿宋_GB2312"/>
          <w:sz w:val="32"/>
          <w:szCs w:val="32"/>
        </w:rPr>
        <w:t>，较年初预算数增加</w:t>
      </w:r>
      <w:r>
        <w:rPr>
          <w:rFonts w:hint="eastAsia" w:ascii="仿宋_GB2312" w:eastAsia="仿宋_GB2312"/>
          <w:sz w:val="32"/>
          <w:szCs w:val="32"/>
          <w:lang w:val="en-US" w:eastAsia="zh-CN"/>
        </w:rPr>
        <w:t>0</w:t>
      </w:r>
      <w:r>
        <w:rPr>
          <w:rFonts w:hint="eastAsia" w:ascii="仿宋_GB2312" w:eastAsia="仿宋_GB2312"/>
          <w:sz w:val="32"/>
          <w:szCs w:val="32"/>
          <w:lang w:eastAsia="zh-CN"/>
        </w:rPr>
        <w:t>元</w:t>
      </w:r>
      <w:r>
        <w:rPr>
          <w:rFonts w:hint="eastAsia" w:ascii="仿宋_GB2312" w:eastAsia="仿宋_GB2312"/>
          <w:sz w:val="32"/>
          <w:szCs w:val="32"/>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hint="eastAsia" w:ascii="楷体_GB2312" w:hAnsi="楷体_GB2312" w:eastAsia="楷体_GB2312" w:cs="楷体_GB2312"/>
          <w:b/>
          <w:bCs/>
          <w:i w:val="0"/>
          <w:iCs w:val="0"/>
          <w:smallCaps w:val="0"/>
          <w:strike w:val="0"/>
          <w:color w:val="000000"/>
          <w:spacing w:val="0"/>
          <w:w w:val="100"/>
          <w:position w:val="0"/>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w:t>
      </w:r>
      <w:r>
        <w:rPr>
          <w:rFonts w:hint="eastAsia" w:ascii="仿宋_GB2312" w:eastAsia="仿宋_GB2312"/>
          <w:sz w:val="32"/>
          <w:szCs w:val="32"/>
        </w:rPr>
        <w:t>度本部门因公出国（境）费用</w:t>
      </w:r>
      <w:r>
        <w:rPr>
          <w:rFonts w:hint="eastAsia" w:ascii="仿宋_GB2312" w:eastAsia="仿宋_GB2312"/>
          <w:sz w:val="32"/>
          <w:szCs w:val="32"/>
          <w:lang w:val="en-US" w:eastAsia="zh-CN"/>
        </w:rPr>
        <w:t>0</w:t>
      </w:r>
      <w:r>
        <w:rPr>
          <w:rFonts w:hint="eastAsia" w:ascii="仿宋_GB2312" w:eastAsia="仿宋_GB2312"/>
          <w:sz w:val="32"/>
          <w:szCs w:val="32"/>
          <w:lang w:eastAsia="zh-CN"/>
        </w:rPr>
        <w:t>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rPr>
        <w:t>公务车购置费</w:t>
      </w:r>
      <w:r>
        <w:rPr>
          <w:rFonts w:hint="eastAsia" w:ascii="仿宋_GB2312" w:eastAsia="仿宋_GB2312"/>
          <w:sz w:val="32"/>
          <w:szCs w:val="32"/>
          <w:lang w:val="en-US" w:eastAsia="zh-CN"/>
        </w:rPr>
        <w:t>0</w:t>
      </w:r>
      <w:r>
        <w:rPr>
          <w:rFonts w:hint="eastAsia" w:ascii="仿宋_GB2312" w:eastAsia="仿宋_GB2312"/>
          <w:sz w:val="32"/>
          <w:szCs w:val="32"/>
          <w:lang w:eastAsia="zh-CN"/>
        </w:rPr>
        <w:t>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rPr>
        <w:t>公务车运行维护费</w:t>
      </w:r>
      <w:r>
        <w:rPr>
          <w:rFonts w:hint="eastAsia" w:ascii="仿宋_GB2312" w:eastAsia="仿宋_GB2312"/>
          <w:sz w:val="32"/>
          <w:szCs w:val="32"/>
          <w:lang w:val="en-US" w:eastAsia="zh-CN"/>
        </w:rPr>
        <w:t>0</w:t>
      </w:r>
      <w:r>
        <w:rPr>
          <w:rFonts w:hint="eastAsia" w:ascii="仿宋_GB2312" w:eastAsia="仿宋_GB2312"/>
          <w:sz w:val="32"/>
          <w:szCs w:val="32"/>
          <w:lang w:eastAsia="zh-CN"/>
        </w:rPr>
        <w:t>元</w:t>
      </w:r>
      <w:r>
        <w:rPr>
          <w:rFonts w:hint="eastAsia" w:ascii="仿宋_GB2312" w:eastAsia="仿宋_GB2312"/>
          <w:sz w:val="32"/>
          <w:szCs w:val="32"/>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公务接待费</w:t>
      </w:r>
      <w:r>
        <w:rPr>
          <w:rFonts w:hint="eastAsia" w:ascii="仿宋_GB2312" w:eastAsia="仿宋_GB2312"/>
          <w:sz w:val="32"/>
          <w:szCs w:val="32"/>
          <w:lang w:val="en-US" w:eastAsia="zh-CN"/>
        </w:rPr>
        <w:t>0</w:t>
      </w:r>
      <w:r>
        <w:rPr>
          <w:rFonts w:hint="eastAsia" w:ascii="仿宋_GB2312" w:eastAsia="仿宋_GB2312"/>
          <w:sz w:val="32"/>
          <w:szCs w:val="32"/>
          <w:lang w:eastAsia="zh-CN"/>
        </w:rPr>
        <w:t>元</w:t>
      </w:r>
      <w:r>
        <w:rPr>
          <w:rFonts w:hint="eastAsia" w:ascii="仿宋_GB2312" w:eastAsia="仿宋_GB2312"/>
          <w:sz w:val="32"/>
          <w:szCs w:val="32"/>
        </w:rPr>
        <w:t>。</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r>
        <w:rPr>
          <w:rFonts w:hint="eastAsia" w:ascii="楷体_GB2312" w:hAnsi="楷体_GB2312" w:eastAsia="楷体_GB2312" w:cs="楷体_GB2312"/>
          <w:b/>
          <w:bCs/>
          <w:i w:val="0"/>
          <w:iCs w:val="0"/>
          <w:smallCaps w:val="0"/>
          <w:strike w:val="0"/>
          <w:color w:val="000000"/>
          <w:spacing w:val="0"/>
          <w:w w:val="100"/>
          <w:position w:val="0"/>
          <w:sz w:val="32"/>
          <w:szCs w:val="32"/>
        </w:rPr>
        <w:t>三）</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hint="eastAsia" w:ascii="楷体_GB2312" w:hAnsi="楷体_GB2312" w:eastAsia="楷体_GB2312" w:cs="楷体_GB2312"/>
          <w:b/>
          <w:bCs/>
          <w:i w:val="0"/>
          <w:iCs w:val="0"/>
          <w:smallCaps w:val="0"/>
          <w:strike w:val="0"/>
          <w:color w:val="000000"/>
          <w:spacing w:val="0"/>
          <w:w w:val="100"/>
          <w:position w:val="0"/>
          <w:sz w:val="32"/>
          <w:szCs w:val="32"/>
        </w:rPr>
        <w:t>三公”经费财政拨款支出决算实物量情况</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rPr>
        <w:t>2021年度本部门公务车保有量为</w:t>
      </w:r>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0</w:t>
      </w:r>
      <w:r>
        <w:rPr>
          <w:rFonts w:hint="eastAsia" w:ascii="仿宋_GB2312" w:hAnsi="仿宋_GB2312" w:eastAsia="仿宋_GB2312" w:cs="仿宋_GB2312"/>
          <w:b w:val="0"/>
          <w:bCs w:val="0"/>
          <w:i w:val="0"/>
          <w:iCs w:val="0"/>
          <w:smallCaps w:val="0"/>
          <w:strike w:val="0"/>
          <w:color w:val="000000"/>
          <w:spacing w:val="0"/>
          <w:w w:val="100"/>
          <w:position w:val="0"/>
          <w:sz w:val="32"/>
          <w:szCs w:val="32"/>
        </w:rPr>
        <w:t>辆。</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638" w:leftChars="266" w:right="0" w:firstLine="0" w:firstLineChars="0"/>
        <w:jc w:val="both"/>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八、机关运行经费支出情况说明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2021年本部门机关运行经费支出</w:t>
      </w:r>
      <w:r>
        <w:rPr>
          <w:rFonts w:hint="eastAsia" w:ascii="仿宋_GB2312" w:hAnsi="仿宋_GB2312" w:eastAsia="仿宋_GB2312" w:cs="仿宋_GB2312"/>
          <w:b w:val="0"/>
          <w:bCs w:val="0"/>
          <w:color w:val="000000"/>
          <w:spacing w:val="0"/>
          <w:w w:val="100"/>
          <w:position w:val="0"/>
          <w:sz w:val="32"/>
          <w:szCs w:val="32"/>
          <w:lang w:val="zh-CN" w:eastAsia="zh-CN"/>
        </w:rPr>
        <w:t>397805.08元，较上年</w:t>
      </w:r>
      <w:r>
        <w:rPr>
          <w:rFonts w:hint="eastAsia" w:ascii="仿宋_GB2312" w:hAnsi="仿宋_GB2312" w:eastAsia="仿宋_GB2312" w:cs="仿宋_GB2312"/>
          <w:b w:val="0"/>
          <w:bCs w:val="0"/>
          <w:color w:val="000000"/>
          <w:spacing w:val="0"/>
          <w:w w:val="100"/>
          <w:position w:val="0"/>
          <w:sz w:val="32"/>
          <w:szCs w:val="32"/>
          <w:lang w:val="en-US" w:eastAsia="zh-CN"/>
        </w:rPr>
        <w:t>减少63977.92</w:t>
      </w:r>
      <w:r>
        <w:rPr>
          <w:rFonts w:hint="eastAsia" w:ascii="仿宋_GB2312" w:hAnsi="仿宋_GB2312" w:eastAsia="仿宋_GB2312" w:cs="仿宋_GB2312"/>
          <w:b w:val="0"/>
          <w:bCs w:val="0"/>
          <w:color w:val="000000"/>
          <w:spacing w:val="0"/>
          <w:w w:val="100"/>
          <w:position w:val="0"/>
          <w:sz w:val="32"/>
          <w:szCs w:val="32"/>
          <w:lang w:val="zh-CN" w:eastAsia="zh-CN"/>
        </w:rPr>
        <w:t>元。公用经费用途主要包括办公费、印刷费、邮电费、电费等。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九、国有资产占用情况说明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仿宋_GB2312" w:eastAsia="仿宋_GB2312"/>
          <w:sz w:val="32"/>
          <w:szCs w:val="32"/>
        </w:rPr>
        <w:t>截至</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w:t>
      </w:r>
      <w:r>
        <w:rPr>
          <w:rFonts w:hint="eastAsia" w:ascii="仿宋_GB2312" w:eastAsia="仿宋_GB2312"/>
          <w:sz w:val="32"/>
          <w:szCs w:val="32"/>
        </w:rPr>
        <w:t>12月31日，本部门共有车辆</w:t>
      </w:r>
      <w:r>
        <w:rPr>
          <w:rFonts w:hint="eastAsia" w:ascii="仿宋_GB2312" w:eastAsia="仿宋_GB2312"/>
          <w:sz w:val="32"/>
          <w:szCs w:val="32"/>
          <w:lang w:val="en-US" w:eastAsia="zh-CN"/>
        </w:rPr>
        <w:t>0</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color w:val="000000"/>
          <w:spacing w:val="0"/>
          <w:w w:val="100"/>
          <w:position w:val="0"/>
          <w:sz w:val="32"/>
          <w:szCs w:val="32"/>
          <w:u w:val="none"/>
          <w:shd w:val="clear" w:color="auto" w:fill="auto"/>
          <w:lang w:val="en-US" w:eastAsia="zh-CN" w:bidi="en-US"/>
        </w:rPr>
      </w:pPr>
      <w:r>
        <w:rPr>
          <w:rFonts w:hint="eastAsia" w:ascii="黑体" w:hAnsi="黑体" w:eastAsia="黑体" w:cs="黑体"/>
          <w:b w:val="0"/>
          <w:bCs w:val="0"/>
          <w:color w:val="000000"/>
          <w:spacing w:val="0"/>
          <w:w w:val="100"/>
          <w:position w:val="0"/>
          <w:sz w:val="32"/>
          <w:szCs w:val="32"/>
          <w:u w:val="none"/>
          <w:shd w:val="clear" w:color="auto" w:fill="auto"/>
          <w:lang w:val="en-US" w:eastAsia="zh-CN" w:bidi="en-US"/>
        </w:rPr>
        <w:t>十、</w:t>
      </w:r>
      <w:r>
        <w:rPr>
          <w:rFonts w:hint="eastAsia" w:ascii="黑体" w:hAnsi="黑体" w:eastAsia="黑体" w:cs="黑体"/>
          <w:b w:val="0"/>
          <w:bCs w:val="0"/>
          <w:color w:val="000000"/>
          <w:spacing w:val="0"/>
          <w:w w:val="100"/>
          <w:position w:val="0"/>
          <w:sz w:val="32"/>
          <w:szCs w:val="32"/>
          <w:u w:val="none"/>
          <w:shd w:val="clear" w:color="auto" w:fill="auto"/>
          <w:lang w:val="en-US" w:eastAsia="zh-CN" w:bidi="en-US"/>
        </w:rPr>
        <w:tab/>
      </w:r>
      <w:r>
        <w:rPr>
          <w:rFonts w:hint="eastAsia" w:ascii="黑体" w:hAnsi="黑体" w:eastAsia="黑体" w:cs="黑体"/>
          <w:b w:val="0"/>
          <w:bCs w:val="0"/>
          <w:color w:val="000000"/>
          <w:spacing w:val="0"/>
          <w:w w:val="100"/>
          <w:position w:val="0"/>
          <w:sz w:val="32"/>
          <w:szCs w:val="32"/>
          <w:u w:val="none"/>
          <w:shd w:val="clear" w:color="auto" w:fill="auto"/>
          <w:lang w:val="en-US" w:eastAsia="zh-CN" w:bidi="en-US"/>
        </w:rPr>
        <w:t>政府采购支出情况说明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color w:val="000000"/>
          <w:spacing w:val="0"/>
          <w:w w:val="100"/>
          <w:position w:val="0"/>
          <w:sz w:val="32"/>
          <w:szCs w:val="32"/>
          <w:u w:val="none"/>
          <w:shd w:val="clear" w:color="auto" w:fill="auto"/>
          <w:lang w:val="en-US" w:eastAsia="zh-CN" w:bidi="en-US"/>
        </w:rPr>
      </w:pPr>
      <w:r>
        <w:rPr>
          <w:rFonts w:hint="eastAsia" w:ascii="黑体" w:hAnsi="黑体" w:eastAsia="黑体" w:cs="黑体"/>
          <w:b w:val="0"/>
          <w:bCs w:val="0"/>
          <w:color w:val="000000"/>
          <w:spacing w:val="0"/>
          <w:w w:val="100"/>
          <w:position w:val="0"/>
          <w:sz w:val="32"/>
          <w:szCs w:val="32"/>
          <w:u w:val="none"/>
          <w:shd w:val="clear" w:color="auto" w:fill="auto"/>
          <w:lang w:val="en-US" w:eastAsia="zh-CN" w:bidi="en-US"/>
        </w:rPr>
        <w:t>十一、政府性基金预算财政拨款收支决算情况说明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color w:val="000000"/>
          <w:spacing w:val="0"/>
          <w:w w:val="100"/>
          <w:position w:val="0"/>
          <w:sz w:val="32"/>
          <w:szCs w:val="32"/>
          <w:u w:val="none"/>
          <w:shd w:val="clear" w:color="auto" w:fill="auto"/>
          <w:lang w:val="en-US" w:eastAsia="zh-CN" w:bidi="en-US"/>
        </w:rPr>
      </w:pPr>
      <w:r>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t>202</w:t>
      </w:r>
      <w:r>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t>1年度政府性基金预算财政拨款收入0元，</w:t>
      </w:r>
      <w:r>
        <w:rPr>
          <w:rFonts w:hint="eastAsia" w:ascii="仿宋_GB2312" w:hAnsi="Times New Roman" w:eastAsia="仿宋_GB2312" w:cs="Times New Roman"/>
          <w:color w:val="000000"/>
          <w:spacing w:val="0"/>
          <w:w w:val="100"/>
          <w:position w:val="0"/>
          <w:sz w:val="32"/>
          <w:szCs w:val="32"/>
          <w:u w:val="none"/>
          <w:shd w:val="clear" w:color="auto" w:fill="auto"/>
          <w:lang w:val="zh-CN" w:eastAsia="zh-CN" w:bidi="en-US"/>
        </w:rPr>
        <w:t>支出</w:t>
      </w:r>
      <w:r>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t>0元。</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color w:val="000000"/>
          <w:spacing w:val="0"/>
          <w:w w:val="100"/>
          <w:position w:val="0"/>
          <w:sz w:val="32"/>
          <w:szCs w:val="32"/>
          <w:u w:val="none"/>
          <w:shd w:val="clear" w:color="auto" w:fill="auto"/>
          <w:lang w:val="en-US" w:eastAsia="zh-CN" w:bidi="en-US"/>
        </w:rPr>
      </w:pPr>
      <w:r>
        <w:rPr>
          <w:rFonts w:hint="eastAsia" w:ascii="黑体" w:hAnsi="黑体" w:eastAsia="黑体" w:cs="黑体"/>
          <w:b w:val="0"/>
          <w:bCs w:val="0"/>
          <w:color w:val="000000"/>
          <w:spacing w:val="0"/>
          <w:w w:val="100"/>
          <w:position w:val="0"/>
          <w:sz w:val="32"/>
          <w:szCs w:val="32"/>
          <w:u w:val="none"/>
          <w:shd w:val="clear" w:color="auto" w:fill="auto"/>
          <w:lang w:val="en-US" w:eastAsia="zh-CN" w:bidi="en-US"/>
        </w:rPr>
        <w:t>十二、国有资本经营预算财政拨款支出情况说明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color w:val="000000"/>
          <w:spacing w:val="0"/>
          <w:w w:val="100"/>
          <w:position w:val="0"/>
          <w:sz w:val="32"/>
          <w:szCs w:val="32"/>
          <w:u w:val="none"/>
          <w:shd w:val="clear" w:color="auto" w:fill="auto"/>
          <w:lang w:val="en-US" w:eastAsia="zh-CN" w:bidi="en-US"/>
        </w:rPr>
      </w:pPr>
      <w:r>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t>2</w:t>
      </w:r>
      <w:r>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t>021年度国有资本经营预算财政拨款本年支出0元。</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color w:val="000000"/>
          <w:spacing w:val="0"/>
          <w:w w:val="100"/>
          <w:position w:val="0"/>
          <w:sz w:val="32"/>
          <w:szCs w:val="32"/>
          <w:u w:val="none"/>
          <w:shd w:val="clear" w:color="auto" w:fill="auto"/>
          <w:lang w:val="en-US" w:eastAsia="zh-CN" w:bidi="en-US"/>
        </w:rPr>
      </w:pPr>
      <w:r>
        <w:rPr>
          <w:rFonts w:hint="eastAsia" w:ascii="黑体" w:hAnsi="黑体" w:eastAsia="黑体" w:cs="黑体"/>
          <w:b w:val="0"/>
          <w:bCs w:val="0"/>
          <w:color w:val="000000"/>
          <w:spacing w:val="0"/>
          <w:w w:val="100"/>
          <w:position w:val="0"/>
          <w:sz w:val="32"/>
          <w:szCs w:val="32"/>
          <w:u w:val="none"/>
          <w:shd w:val="clear" w:color="auto" w:fill="auto"/>
          <w:lang w:val="en-US" w:eastAsia="zh-CN" w:bidi="en-US"/>
        </w:rPr>
        <w:t>十三、预算绩效情况说明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pP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（一）</w:t>
      </w: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ab/>
      </w: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预算绩效管理工作开展情况</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pPr>
      <w:r>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t>本部门未组织实施2021年度预算绩效评价工作。</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pP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ab/>
      </w: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绩效自评结果</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pPr>
      <w:r>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t>无</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pP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（三）</w:t>
      </w: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ab/>
      </w:r>
      <w:r>
        <w:rPr>
          <w:rFonts w:hint="eastAsia" w:ascii="楷体_GB2312" w:hAnsi="楷体_GB2312" w:eastAsia="楷体_GB2312" w:cs="楷体_GB2312"/>
          <w:b/>
          <w:bCs/>
          <w:i w:val="0"/>
          <w:iCs w:val="0"/>
          <w:smallCaps w:val="0"/>
          <w:strike w:val="0"/>
          <w:color w:val="000000"/>
          <w:spacing w:val="0"/>
          <w:w w:val="100"/>
          <w:position w:val="0"/>
          <w:sz w:val="32"/>
          <w:szCs w:val="32"/>
          <w:lang w:val="en-US" w:eastAsia="zh-CN"/>
        </w:rPr>
        <w:t>重点绩效评价结果</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color w:val="000000"/>
          <w:spacing w:val="0"/>
          <w:w w:val="100"/>
          <w:position w:val="0"/>
          <w:sz w:val="32"/>
          <w:szCs w:val="32"/>
          <w:u w:val="none"/>
          <w:shd w:val="clear" w:color="auto" w:fill="auto"/>
          <w:lang w:val="en-US" w:eastAsia="zh-CN" w:bidi="en-US"/>
        </w:rPr>
        <w:t>无</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val="0"/>
          <w:bCs w:val="0"/>
          <w:color w:val="000000"/>
          <w:spacing w:val="0"/>
          <w:w w:val="100"/>
          <w:position w:val="0"/>
          <w:sz w:val="32"/>
          <w:szCs w:val="32"/>
          <w:u w:val="none"/>
          <w:shd w:val="clear" w:color="auto" w:fill="auto"/>
          <w:lang w:val="en-US" w:eastAsia="zh-CN" w:bidi="en-US"/>
        </w:rPr>
      </w:pPr>
      <w:r>
        <w:rPr>
          <w:rFonts w:hint="eastAsia" w:ascii="黑体" w:hAnsi="黑体" w:eastAsia="黑体" w:cs="黑体"/>
          <w:b w:val="0"/>
          <w:bCs w:val="0"/>
          <w:color w:val="000000"/>
          <w:spacing w:val="0"/>
          <w:w w:val="100"/>
          <w:position w:val="0"/>
          <w:sz w:val="32"/>
          <w:szCs w:val="32"/>
          <w:u w:val="none"/>
          <w:shd w:val="clear" w:color="auto" w:fill="auto"/>
          <w:lang w:val="en-US" w:eastAsia="zh-CN" w:bidi="en-US"/>
        </w:rPr>
        <w:t>第四部分  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GM1YTIxYWVkNjQ5YTBjZjMzMzkzZjExN2QxMzdkMzAifQ=="/>
  </w:docVars>
  <w:rsids>
    <w:rsidRoot w:val="00000000"/>
    <w:rsid w:val="0511788F"/>
    <w:rsid w:val="06AA1511"/>
    <w:rsid w:val="0A4C6688"/>
    <w:rsid w:val="1739327C"/>
    <w:rsid w:val="19BA4320"/>
    <w:rsid w:val="1B205130"/>
    <w:rsid w:val="1E712589"/>
    <w:rsid w:val="1F523B54"/>
    <w:rsid w:val="20B771AF"/>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afterLines="0" w:line="480" w:lineRule="auto"/>
      <w:ind w:left="420" w:leftChars="20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4314</Words>
  <Characters>4644</Characters>
  <TotalTime>3</TotalTime>
  <ScaleCrop>false</ScaleCrop>
  <LinksUpToDate>false</LinksUpToDate>
  <CharactersWithSpaces>4888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灵儿的太阳</cp:lastModifiedBy>
  <cp:lastPrinted>2022-08-31T08:40:00Z</cp:lastPrinted>
  <dcterms:modified xsi:type="dcterms:W3CDTF">2022-09-20T04:06:51Z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134978B1C2A24B92AE743654523CEBC2</vt:lpwstr>
  </property>
</Properties>
</file>