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4"/>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2"/>
      <w:bookmarkStart w:id="1" w:name="bookmark1"/>
      <w:bookmarkStart w:id="2" w:name="bookmark0"/>
      <w:r>
        <w:rPr>
          <w:rFonts w:hint="eastAsia" w:ascii="方正小标宋_GBK" w:hAnsi="方正小标宋_GBK" w:eastAsia="方正小标宋_GBK" w:cs="方正小标宋_GBK"/>
          <w:sz w:val="40"/>
          <w:szCs w:val="40"/>
          <w:lang w:eastAsia="zh-CN"/>
        </w:rPr>
        <w:t>信访</w:t>
      </w:r>
      <w:r>
        <w:rPr>
          <w:rFonts w:hint="eastAsia" w:ascii="方正小标宋_GBK" w:hAnsi="方正小标宋_GBK" w:eastAsia="方正小标宋_GBK" w:cs="方正小标宋_GBK"/>
          <w:sz w:val="40"/>
          <w:szCs w:val="40"/>
        </w:rPr>
        <w:t>部门（</w:t>
      </w:r>
      <w:r>
        <w:rPr>
          <w:rFonts w:hint="eastAsia" w:ascii="方正小标宋_GBK" w:hAnsi="方正小标宋_GBK" w:eastAsia="方正小标宋_GBK" w:cs="方正小标宋_GBK"/>
          <w:sz w:val="40"/>
          <w:szCs w:val="40"/>
          <w:lang w:eastAsia="zh-CN"/>
        </w:rPr>
        <w:t>本</w:t>
      </w:r>
      <w:r>
        <w:rPr>
          <w:rFonts w:hint="eastAsia" w:ascii="方正小标宋_GBK" w:hAnsi="方正小标宋_GBK" w:eastAsia="方正小标宋_GBK" w:cs="方正小标宋_GBK"/>
          <w:sz w:val="40"/>
          <w:szCs w:val="40"/>
        </w:rPr>
        <w:t>单位）202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val="0"/>
          <w:bCs w:val="0"/>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bookmarkStart w:id="16" w:name="bookmark24"/>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rPr>
        <w:t>(一)接待和处理人民群众给县委、县政府的来信和来访，保证信访渠道畅通；为群众提 供政策、法律咨询服务。   (二)承办并反馈县委、县政府领导和上级机关批转及交办的重要 信访事项，督查领导批示件的落实情况；向乡(镇)和县直部门交办信访案件，督促检查重要 信访事项的处理和落实；通报全县重大突出的信访问题；直接调查或参与有关部门需共同处理 的信访事项。  (三)协调处理跨乡(镇)、跨部门的重要信访问题；协调处理群众到县上访 和异常、突发信访事件；依法及时化解疏导和处理各种信访矛盾与纠纷，维护全县的社会稳定 。   (四)调查研究，了解社情民意，及时分析提供信访信息，为县委、县政府领导提供科学 决策服务，发挥参谋助手作用。   (五)布置、检查、协调和指导全县信访工作；研究、草拟 全县有关信访工作的政策和规章制度草案；总结推广各乡(镇)、县直各部门信访工作经验  ，提出改进和加强信访工作的意见和建议。   (六)了解掌握全县信访工作机构和队伍建设情 况，组织信访干部培训。</w:t>
      </w:r>
      <w:r>
        <w:rPr>
          <w:rFonts w:hint="eastAsia" w:ascii="仿宋_GB2312" w:hAnsi="仿宋_GB2312" w:eastAsia="仿宋_GB2312" w:cs="仿宋_GB2312"/>
          <w:b w:val="0"/>
          <w:bCs w:val="0"/>
          <w:color w:val="000000"/>
          <w:spacing w:val="0"/>
          <w:w w:val="100"/>
          <w:position w:val="0"/>
          <w:sz w:val="32"/>
          <w:szCs w:val="32"/>
          <w:lang w:val="en-US" w:eastAsia="zh-CN"/>
        </w:rPr>
        <w:t xml:space="preserve">  </w:t>
      </w:r>
      <w:r>
        <w:rPr>
          <w:rFonts w:hint="eastAsia" w:ascii="仿宋_GB2312" w:hAnsi="仿宋_GB2312" w:eastAsia="仿宋_GB2312" w:cs="仿宋_GB2312"/>
          <w:b w:val="0"/>
          <w:bCs w:val="0"/>
          <w:color w:val="000000"/>
          <w:spacing w:val="0"/>
          <w:w w:val="100"/>
          <w:position w:val="0"/>
          <w:sz w:val="32"/>
          <w:szCs w:val="32"/>
        </w:rPr>
        <w:t>(七)办理县委、县政府及上级主管部门交办的其他事项。</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二）机构设置</w:t>
      </w:r>
    </w:p>
    <w:p>
      <w:pPr>
        <w:spacing w:before="92" w:line="241" w:lineRule="auto"/>
        <w:ind w:left="694" w:firstLine="316" w:firstLineChars="100"/>
        <w:rPr>
          <w:rFonts w:ascii="仿宋" w:hAnsi="仿宋" w:eastAsia="仿宋" w:cs="仿宋"/>
          <w:sz w:val="32"/>
          <w:szCs w:val="32"/>
        </w:rPr>
      </w:pPr>
      <w:r>
        <w:rPr>
          <w:rFonts w:ascii="仿宋" w:hAnsi="仿宋" w:eastAsia="仿宋" w:cs="仿宋"/>
          <w:spacing w:val="-2"/>
          <w:sz w:val="32"/>
          <w:szCs w:val="32"/>
        </w:rPr>
        <w:t>1.综合办公室</w:t>
      </w:r>
      <w:r>
        <w:rPr>
          <w:rFonts w:ascii="仿宋" w:hAnsi="仿宋" w:eastAsia="仿宋" w:cs="仿宋"/>
          <w:spacing w:val="-1"/>
          <w:sz w:val="32"/>
          <w:szCs w:val="32"/>
        </w:rPr>
        <w:t xml:space="preserve">  2.办信接访股  3.驻外地信访联络股</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4"/>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2021年度收入总计3103495.92元，支出总计3103495.92元，与2020年决算数相比，收入</w:t>
      </w:r>
      <w:r>
        <w:rPr>
          <w:rFonts w:hint="eastAsia" w:ascii="仿宋_GB2312" w:hAnsi="仿宋_GB2312" w:eastAsia="仿宋_GB2312" w:cs="仿宋_GB2312"/>
          <w:color w:val="000000"/>
          <w:spacing w:val="0"/>
          <w:w w:val="100"/>
          <w:position w:val="0"/>
          <w:sz w:val="32"/>
          <w:szCs w:val="32"/>
          <w:lang w:val="zh-CN" w:eastAsia="zh-CN"/>
        </w:rPr>
        <w:t>减少</w:t>
      </w:r>
      <w:r>
        <w:rPr>
          <w:rFonts w:hint="eastAsia" w:ascii="仿宋_GB2312" w:hAnsi="仿宋_GB2312" w:eastAsia="仿宋_GB2312" w:cs="仿宋_GB2312"/>
          <w:color w:val="000000"/>
          <w:spacing w:val="0"/>
          <w:w w:val="100"/>
          <w:position w:val="0"/>
          <w:sz w:val="32"/>
          <w:szCs w:val="32"/>
          <w:lang w:val="en-US" w:eastAsia="en-US"/>
        </w:rPr>
        <w:t>179260.33</w:t>
      </w:r>
      <w:r>
        <w:rPr>
          <w:rFonts w:hint="eastAsia" w:ascii="仿宋_GB2312" w:hAnsi="仿宋_GB2312" w:eastAsia="仿宋_GB2312" w:cs="仿宋_GB2312"/>
          <w:color w:val="000000"/>
          <w:spacing w:val="0"/>
          <w:w w:val="100"/>
          <w:position w:val="0"/>
          <w:sz w:val="32"/>
          <w:szCs w:val="32"/>
        </w:rPr>
        <w:t>元，降低</w:t>
      </w:r>
      <w:r>
        <w:rPr>
          <w:rFonts w:hint="eastAsia" w:ascii="仿宋_GB2312" w:hAnsi="仿宋_GB2312" w:eastAsia="仿宋_GB2312" w:cs="仿宋_GB2312"/>
          <w:color w:val="000000"/>
          <w:spacing w:val="0"/>
          <w:w w:val="100"/>
          <w:position w:val="0"/>
          <w:sz w:val="32"/>
          <w:szCs w:val="32"/>
          <w:lang w:val="en-US" w:eastAsia="zh-CN"/>
        </w:rPr>
        <w:t>5.46</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办公费用变动</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en-US" w:bidi="en-US"/>
        </w:rPr>
        <w:t>3103495.92</w:t>
      </w:r>
      <w:r>
        <w:rPr>
          <w:rFonts w:hint="eastAsia" w:ascii="仿宋_GB2312" w:hAnsi="仿宋_GB2312" w:eastAsia="仿宋_GB2312" w:cs="仿宋_GB2312"/>
          <w:color w:val="000000"/>
          <w:spacing w:val="0"/>
          <w:w w:val="100"/>
          <w:position w:val="0"/>
          <w:sz w:val="32"/>
          <w:szCs w:val="32"/>
        </w:rPr>
        <w:t>元，其中：财政拨款收入3103495.92元，占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年度支出合计3103495.92元，其中：基本支出</w:t>
      </w:r>
      <w:r>
        <w:rPr>
          <w:rFonts w:hint="eastAsia" w:ascii="仿宋_GB2312" w:hAnsi="仿宋_GB2312" w:eastAsia="仿宋_GB2312" w:cs="仿宋_GB2312"/>
          <w:color w:val="000000"/>
          <w:spacing w:val="0"/>
          <w:w w:val="100"/>
          <w:position w:val="0"/>
          <w:sz w:val="32"/>
          <w:szCs w:val="32"/>
          <w:lang w:val="en-US" w:eastAsia="en-US" w:bidi="en-US"/>
        </w:rPr>
        <w:t>3103495.92</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4"/>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en-US" w:bidi="en-US"/>
        </w:rPr>
        <w:t>3103495.92</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zh-CN" w:eastAsia="zh-CN"/>
        </w:rPr>
        <w:t>减少</w:t>
      </w:r>
      <w:r>
        <w:rPr>
          <w:rFonts w:hint="eastAsia" w:ascii="仿宋_GB2312" w:hAnsi="仿宋_GB2312" w:eastAsia="仿宋_GB2312" w:cs="仿宋_GB2312"/>
          <w:color w:val="000000"/>
          <w:spacing w:val="0"/>
          <w:w w:val="100"/>
          <w:position w:val="0"/>
          <w:sz w:val="32"/>
          <w:szCs w:val="32"/>
          <w:lang w:val="en-US" w:eastAsia="en-US"/>
        </w:rPr>
        <w:t>179260.33</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降低</w:t>
      </w:r>
      <w:r>
        <w:rPr>
          <w:rFonts w:hint="eastAsia" w:ascii="仿宋_GB2312" w:hAnsi="仿宋_GB2312" w:eastAsia="仿宋_GB2312" w:cs="仿宋_GB2312"/>
          <w:color w:val="000000"/>
          <w:spacing w:val="0"/>
          <w:w w:val="100"/>
          <w:position w:val="0"/>
          <w:sz w:val="32"/>
          <w:szCs w:val="32"/>
          <w:lang w:val="en-US" w:eastAsia="zh-CN"/>
        </w:rPr>
        <w:t>5.46</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办公费用变动</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101604.92</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3.38</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办公费用变动</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en-US" w:bidi="en-US"/>
        </w:rPr>
        <w:t>3103495.92</w:t>
      </w:r>
      <w:r>
        <w:rPr>
          <w:rFonts w:hint="eastAsia" w:ascii="仿宋_GB2312" w:hAnsi="仿宋_GB2312" w:eastAsia="仿宋_GB2312" w:cs="仿宋_GB2312"/>
          <w:color w:val="000000"/>
          <w:spacing w:val="0"/>
          <w:w w:val="100"/>
          <w:position w:val="0"/>
          <w:sz w:val="32"/>
          <w:szCs w:val="32"/>
        </w:rPr>
        <w:t>元，较上年决算数减少179260.33元，降低</w:t>
      </w:r>
      <w:r>
        <w:rPr>
          <w:rFonts w:hint="eastAsia" w:ascii="仿宋_GB2312" w:hAnsi="仿宋_GB2312" w:eastAsia="仿宋_GB2312" w:cs="仿宋_GB2312"/>
          <w:color w:val="000000"/>
          <w:spacing w:val="0"/>
          <w:w w:val="100"/>
          <w:position w:val="0"/>
          <w:sz w:val="32"/>
          <w:szCs w:val="32"/>
          <w:lang w:val="en-US" w:eastAsia="zh-CN"/>
        </w:rPr>
        <w:t>5.46</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办公费用变动</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101604.92</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3.38</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办公费用变动。</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w:t>
      </w:r>
      <w:r>
        <w:rPr>
          <w:rFonts w:hint="eastAsia" w:ascii="仿宋_GB2312" w:hAnsi="仿宋_GB2312" w:eastAsia="仿宋_GB2312" w:cs="仿宋_GB2312"/>
          <w:color w:val="000000"/>
          <w:spacing w:val="0"/>
          <w:w w:val="100"/>
          <w:position w:val="0"/>
          <w:sz w:val="32"/>
          <w:szCs w:val="32"/>
          <w:lang w:val="en-US" w:eastAsia="en-US" w:bidi="en-US"/>
        </w:rPr>
        <w:t>3103495.92</w:t>
      </w:r>
      <w:r>
        <w:rPr>
          <w:rFonts w:hint="eastAsia" w:ascii="仿宋_GB2312" w:hAnsi="仿宋_GB2312" w:eastAsia="仿宋_GB2312" w:cs="仿宋_GB2312"/>
          <w:color w:val="000000"/>
          <w:spacing w:val="0"/>
          <w:w w:val="100"/>
          <w:position w:val="0"/>
          <w:sz w:val="32"/>
          <w:szCs w:val="32"/>
          <w:lang w:val="en-US" w:eastAsia="zh-CN"/>
        </w:rPr>
        <w:t>元，占本年支出的100%，</w:t>
      </w:r>
      <w:r>
        <w:rPr>
          <w:rFonts w:hint="eastAsia" w:ascii="仿宋_GB2312" w:hAnsi="仿宋_GB2312" w:eastAsia="仿宋_GB2312" w:cs="仿宋_GB2312"/>
          <w:color w:val="000000"/>
          <w:spacing w:val="0"/>
          <w:w w:val="100"/>
          <w:position w:val="0"/>
          <w:sz w:val="32"/>
          <w:szCs w:val="32"/>
        </w:rPr>
        <w:t>减少179260.33元，降低</w:t>
      </w:r>
      <w:r>
        <w:rPr>
          <w:rFonts w:hint="eastAsia" w:ascii="仿宋_GB2312" w:hAnsi="仿宋_GB2312" w:eastAsia="仿宋_GB2312" w:cs="仿宋_GB2312"/>
          <w:color w:val="000000"/>
          <w:spacing w:val="0"/>
          <w:w w:val="100"/>
          <w:position w:val="0"/>
          <w:sz w:val="32"/>
          <w:szCs w:val="32"/>
          <w:lang w:val="en-US" w:eastAsia="zh-CN"/>
        </w:rPr>
        <w:t>5.46</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101604.92</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3.38</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4"/>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en-US" w:bidi="en-US"/>
        </w:rPr>
        <w:t>2582407.2</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83.2</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减少</w:t>
      </w:r>
      <w:r>
        <w:rPr>
          <w:rFonts w:hint="eastAsia" w:ascii="仿宋_GB2312" w:hAnsi="仿宋_GB2312" w:eastAsia="仿宋_GB2312" w:cs="仿宋_GB2312"/>
          <w:color w:val="000000"/>
          <w:spacing w:val="0"/>
          <w:w w:val="100"/>
          <w:position w:val="0"/>
          <w:sz w:val="32"/>
          <w:szCs w:val="32"/>
        </w:rPr>
        <w:t>115379.8元，主要原因是</w:t>
      </w:r>
      <w:r>
        <w:rPr>
          <w:rFonts w:hint="eastAsia" w:ascii="仿宋_GB2312" w:hAnsi="仿宋_GB2312" w:eastAsia="仿宋_GB2312" w:cs="仿宋_GB2312"/>
          <w:color w:val="000000"/>
          <w:spacing w:val="0"/>
          <w:w w:val="100"/>
          <w:position w:val="0"/>
          <w:sz w:val="32"/>
          <w:szCs w:val="32"/>
          <w:lang w:eastAsia="zh-CN"/>
        </w:rPr>
        <w:t>信访事务</w:t>
      </w:r>
      <w:r>
        <w:rPr>
          <w:rFonts w:hint="eastAsia" w:ascii="仿宋_GB2312" w:hAnsi="仿宋_GB2312" w:eastAsia="仿宋_GB2312" w:cs="仿宋_GB2312"/>
          <w:color w:val="000000"/>
          <w:spacing w:val="0"/>
          <w:w w:val="100"/>
          <w:position w:val="0"/>
          <w:sz w:val="32"/>
          <w:szCs w:val="32"/>
          <w:lang w:val="en-US" w:eastAsia="zh-CN"/>
        </w:rPr>
        <w:t>费用变动</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tabs>
          <w:tab w:val="left" w:leader="dot" w:pos="3914"/>
        </w:tabs>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en-US" w:bidi="en-US"/>
        </w:rPr>
        <w:t>303122.28</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9.8</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减少981.72</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单位人员变动</w:t>
      </w:r>
      <w:r>
        <w:rPr>
          <w:rFonts w:hint="eastAsia" w:ascii="仿宋_GB2312" w:hAnsi="仿宋_GB2312" w:eastAsia="仿宋_GB2312" w:cs="仿宋_GB2312"/>
          <w:color w:val="000000"/>
          <w:spacing w:val="0"/>
          <w:w w:val="100"/>
          <w:position w:val="0"/>
          <w:sz w:val="32"/>
          <w:szCs w:val="32"/>
        </w:rPr>
        <w:t>;</w:t>
      </w:r>
      <w:bookmarkStart w:id="20" w:name="_GoBack"/>
      <w:bookmarkEnd w:id="20"/>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卫生健康支出118,966.44元，占</w:t>
      </w:r>
      <w:r>
        <w:rPr>
          <w:rFonts w:hint="eastAsia" w:ascii="仿宋_GB2312" w:hAnsi="仿宋_GB2312" w:eastAsia="仿宋_GB2312" w:cs="仿宋_GB2312"/>
          <w:color w:val="000000"/>
          <w:spacing w:val="0"/>
          <w:w w:val="100"/>
          <w:position w:val="0"/>
          <w:sz w:val="32"/>
          <w:szCs w:val="32"/>
          <w:lang w:val="en-US" w:eastAsia="zh-CN"/>
        </w:rPr>
        <w:t>3.8</w:t>
      </w:r>
      <w:r>
        <w:rPr>
          <w:rFonts w:hint="eastAsia" w:ascii="仿宋_GB2312" w:hAnsi="仿宋_GB2312" w:eastAsia="仿宋_GB2312" w:cs="仿宋_GB2312"/>
          <w:color w:val="000000"/>
          <w:spacing w:val="0"/>
          <w:w w:val="100"/>
          <w:position w:val="0"/>
          <w:sz w:val="32"/>
          <w:szCs w:val="32"/>
        </w:rPr>
        <w:t>%,较年初预算数增加118,966.44元，主要原因是</w:t>
      </w:r>
      <w:r>
        <w:rPr>
          <w:rFonts w:hint="eastAsia" w:ascii="仿宋_GB2312" w:eastAsia="仿宋_GB2312"/>
          <w:color w:val="000000" w:themeColor="text1"/>
          <w:sz w:val="30"/>
          <w:szCs w:val="30"/>
          <w14:textFill>
            <w14:solidFill>
              <w14:schemeClr w14:val="tx1"/>
            </w14:solidFill>
          </w14:textFill>
        </w:rPr>
        <w:t>财政对职工基本医疗保险基金的补助</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农林水支出99,000.00元，占</w:t>
      </w:r>
      <w:r>
        <w:rPr>
          <w:rFonts w:hint="eastAsia" w:ascii="仿宋_GB2312" w:hAnsi="仿宋_GB2312" w:eastAsia="仿宋_GB2312" w:cs="仿宋_GB2312"/>
          <w:color w:val="000000"/>
          <w:spacing w:val="0"/>
          <w:w w:val="100"/>
          <w:position w:val="0"/>
          <w:sz w:val="32"/>
          <w:szCs w:val="32"/>
          <w:lang w:val="en-US" w:eastAsia="zh-CN"/>
        </w:rPr>
        <w:t>3.2</w:t>
      </w:r>
      <w:r>
        <w:rPr>
          <w:rFonts w:hint="eastAsia" w:ascii="仿宋_GB2312" w:hAnsi="仿宋_GB2312" w:eastAsia="仿宋_GB2312" w:cs="仿宋_GB2312"/>
          <w:color w:val="000000"/>
          <w:spacing w:val="0"/>
          <w:w w:val="100"/>
          <w:position w:val="0"/>
          <w:sz w:val="32"/>
          <w:szCs w:val="32"/>
        </w:rPr>
        <w:t>%,较年初预算数增加99,000.00元，主要原因是</w:t>
      </w:r>
      <w:r>
        <w:rPr>
          <w:rFonts w:hint="eastAsia" w:ascii="仿宋_GB2312" w:hAnsi="仿宋_GB2312" w:eastAsia="仿宋_GB2312" w:cs="仿宋_GB2312"/>
          <w:color w:val="000000"/>
          <w:spacing w:val="0"/>
          <w:w w:val="100"/>
          <w:position w:val="0"/>
          <w:sz w:val="32"/>
          <w:szCs w:val="32"/>
          <w:lang w:val="en-US" w:eastAsia="zh-CN"/>
        </w:rPr>
        <w:t>驻村补助变动</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sz w:val="32"/>
          <w:szCs w:val="32"/>
        </w:rPr>
        <w:fldChar w:fldCharType="end"/>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4"/>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en-US" w:bidi="en-US"/>
        </w:rPr>
        <w:t>3103495.92</w:t>
      </w:r>
      <w:r>
        <w:rPr>
          <w:rFonts w:hint="eastAsia" w:ascii="仿宋_GB2312" w:hAnsi="仿宋_GB2312" w:eastAsia="仿宋_GB2312" w:cs="仿宋_GB2312"/>
          <w:color w:val="000000"/>
          <w:spacing w:val="0"/>
          <w:w w:val="100"/>
          <w:position w:val="0"/>
          <w:sz w:val="32"/>
          <w:szCs w:val="32"/>
        </w:rPr>
        <w:t>元。其中：人员经费2775925.22元，较上年减少281439.94元，主要原因是</w:t>
      </w:r>
      <w:r>
        <w:rPr>
          <w:rFonts w:hint="eastAsia" w:ascii="仿宋_GB2312" w:hAnsi="仿宋_GB2312" w:eastAsia="仿宋_GB2312" w:cs="仿宋_GB2312"/>
          <w:color w:val="000000"/>
          <w:spacing w:val="0"/>
          <w:w w:val="100"/>
          <w:position w:val="0"/>
          <w:sz w:val="32"/>
          <w:szCs w:val="32"/>
          <w:lang w:val="en-US" w:eastAsia="zh-CN"/>
        </w:rPr>
        <w:t>人员变动</w:t>
      </w:r>
      <w:r>
        <w:rPr>
          <w:rFonts w:hint="eastAsia" w:ascii="仿宋_GB2312" w:hAnsi="仿宋_GB2312" w:eastAsia="仿宋_GB2312" w:cs="仿宋_GB2312"/>
          <w:color w:val="000000"/>
          <w:spacing w:val="0"/>
          <w:w w:val="100"/>
          <w:position w:val="0"/>
          <w:sz w:val="32"/>
          <w:szCs w:val="32"/>
        </w:rPr>
        <w:t>。人员经费用途主要包括基本工资、津贴补贴、奖金、社会保障缴费等</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公用经费327570.7元，较上年增加102179.61元，主要原因是</w:t>
      </w:r>
      <w:r>
        <w:rPr>
          <w:rFonts w:hint="eastAsia" w:ascii="仿宋_GB2312" w:hAnsi="仿宋_GB2312" w:eastAsia="仿宋_GB2312" w:cs="仿宋_GB2312"/>
          <w:color w:val="000000"/>
          <w:spacing w:val="0"/>
          <w:w w:val="100"/>
          <w:position w:val="0"/>
          <w:sz w:val="32"/>
          <w:szCs w:val="32"/>
          <w:lang w:val="en-US" w:eastAsia="zh-CN"/>
        </w:rPr>
        <w:t>办公费用增加</w:t>
      </w:r>
      <w:r>
        <w:rPr>
          <w:rFonts w:hint="eastAsia" w:ascii="仿宋_GB2312" w:hAnsi="仿宋_GB2312" w:eastAsia="仿宋_GB2312" w:cs="仿宋_GB2312"/>
          <w:color w:val="000000"/>
          <w:spacing w:val="0"/>
          <w:w w:val="100"/>
          <w:position w:val="0"/>
          <w:sz w:val="32"/>
          <w:szCs w:val="32"/>
        </w:rPr>
        <w:t>，公用经费用途主要包括办公费、</w:t>
      </w:r>
      <w:r>
        <w:rPr>
          <w:rFonts w:hint="eastAsia" w:ascii="仿宋_GB2312" w:hAnsi="仿宋_GB2312" w:eastAsia="仿宋_GB2312" w:cs="仿宋_GB2312"/>
          <w:color w:val="000000"/>
          <w:spacing w:val="0"/>
          <w:w w:val="100"/>
          <w:position w:val="0"/>
          <w:sz w:val="32"/>
          <w:szCs w:val="32"/>
          <w:lang w:val="en-US" w:eastAsia="zh-CN"/>
        </w:rPr>
        <w:t>电费</w:t>
      </w:r>
      <w:r>
        <w:rPr>
          <w:rFonts w:hint="eastAsia" w:ascii="仿宋_GB2312" w:hAnsi="仿宋_GB2312" w:eastAsia="仿宋_GB2312" w:cs="仿宋_GB2312"/>
          <w:color w:val="000000"/>
          <w:spacing w:val="0"/>
          <w:w w:val="100"/>
          <w:position w:val="0"/>
          <w:sz w:val="32"/>
          <w:szCs w:val="32"/>
        </w:rPr>
        <w:t>、咨询费、  差旅费等）。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ind w:firstLine="600" w:firstLineChars="200"/>
        <w:rPr>
          <w:rFonts w:hint="eastAsia" w:ascii="仿宋_GB2312" w:eastAsia="仿宋_GB2312"/>
          <w:sz w:val="30"/>
          <w:szCs w:val="30"/>
          <w:lang w:eastAsia="zh-CN"/>
        </w:rPr>
      </w:pPr>
    </w:p>
    <w:p>
      <w:pPr>
        <w:pStyle w:val="14"/>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4"/>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年本部门（本单位）机关运行经费支出327,570.70元，机关运行经费主要用于开支办公费、</w:t>
      </w:r>
      <w:r>
        <w:rPr>
          <w:rFonts w:hint="eastAsia" w:ascii="仿宋_GB2312" w:hAnsi="仿宋_GB2312" w:eastAsia="仿宋_GB2312" w:cs="仿宋_GB2312"/>
          <w:color w:val="000000"/>
          <w:spacing w:val="0"/>
          <w:w w:val="100"/>
          <w:position w:val="0"/>
          <w:sz w:val="32"/>
          <w:szCs w:val="32"/>
          <w:lang w:val="en-US" w:eastAsia="zh-CN"/>
        </w:rPr>
        <w:t>差旅费</w:t>
      </w:r>
      <w:r>
        <w:rPr>
          <w:rFonts w:hint="eastAsia" w:ascii="仿宋_GB2312" w:hAnsi="仿宋_GB2312" w:eastAsia="仿宋_GB2312" w:cs="仿宋_GB2312"/>
          <w:color w:val="000000"/>
          <w:spacing w:val="0"/>
          <w:w w:val="100"/>
          <w:position w:val="0"/>
          <w:sz w:val="32"/>
          <w:szCs w:val="32"/>
        </w:rPr>
        <w:t>等。机关运行经费较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en-US" w:bidi="en-US"/>
        </w:rPr>
        <w:t>102179.61</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45.3</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办公费用增加</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4"/>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4"/>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en-US" w:bidi="en-US"/>
        </w:rPr>
        <w:t>3103495.92</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9"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YTQ0NTE2MTM3ZDQzNzRiMzZlYWJkMmY1MjU2NmI5YmEifQ=="/>
  </w:docVars>
  <w:rsids>
    <w:rsidRoot w:val="00000000"/>
    <w:rsid w:val="016A347B"/>
    <w:rsid w:val="0511788F"/>
    <w:rsid w:val="06AA1511"/>
    <w:rsid w:val="0A4C6688"/>
    <w:rsid w:val="110E1D1E"/>
    <w:rsid w:val="1739327C"/>
    <w:rsid w:val="19BA4320"/>
    <w:rsid w:val="1B205130"/>
    <w:rsid w:val="1E712589"/>
    <w:rsid w:val="1F523B54"/>
    <w:rsid w:val="25FD0C5D"/>
    <w:rsid w:val="29C05E6C"/>
    <w:rsid w:val="2C755D26"/>
    <w:rsid w:val="2F990904"/>
    <w:rsid w:val="303E14AB"/>
    <w:rsid w:val="39F46F0A"/>
    <w:rsid w:val="3ABD5DEE"/>
    <w:rsid w:val="3BD710AD"/>
    <w:rsid w:val="3FC03C8B"/>
    <w:rsid w:val="41670196"/>
    <w:rsid w:val="42736B67"/>
    <w:rsid w:val="43D445BB"/>
    <w:rsid w:val="45090A8A"/>
    <w:rsid w:val="4B60103E"/>
    <w:rsid w:val="4F1428B3"/>
    <w:rsid w:val="537062B7"/>
    <w:rsid w:val="57D535F7"/>
    <w:rsid w:val="58806626"/>
    <w:rsid w:val="5DF47E43"/>
    <w:rsid w:val="60D720E0"/>
    <w:rsid w:val="62922058"/>
    <w:rsid w:val="687E00BB"/>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line="480" w:lineRule="auto"/>
      <w:ind w:left="420" w:leftChars="200"/>
    </w:pPr>
    <w:rPr>
      <w:rFonts w:ascii="Times New Roman" w:hAnsi="Times New Roman" w:eastAsia="宋体" w:cs="Times New Roman"/>
    </w:rPr>
  </w:style>
  <w:style w:type="paragraph" w:styleId="3">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qFormat/>
    <w:uiPriority w:val="0"/>
    <w:rPr>
      <w:color w:val="333333"/>
      <w:u w:val="none"/>
    </w:rPr>
  </w:style>
  <w:style w:type="character" w:styleId="8">
    <w:name w:val="HTML Definition"/>
    <w:basedOn w:val="5"/>
    <w:uiPriority w:val="0"/>
    <w:rPr>
      <w:i/>
      <w:iCs/>
    </w:rPr>
  </w:style>
  <w:style w:type="character" w:styleId="9">
    <w:name w:val="Hyperlink"/>
    <w:basedOn w:val="5"/>
    <w:qFormat/>
    <w:uiPriority w:val="0"/>
    <w:rPr>
      <w:color w:val="333333"/>
      <w:u w:val="none"/>
    </w:rPr>
  </w:style>
  <w:style w:type="character" w:styleId="10">
    <w:name w:val="HTML Code"/>
    <w:basedOn w:val="5"/>
    <w:uiPriority w:val="0"/>
    <w:rPr>
      <w:rFonts w:ascii="Consolas" w:hAnsi="Consolas" w:eastAsia="Consolas" w:cs="Consolas"/>
      <w:color w:val="C7254E"/>
      <w:sz w:val="21"/>
      <w:szCs w:val="21"/>
      <w:shd w:val="clear" w:fill="F9F2F4"/>
    </w:rPr>
  </w:style>
  <w:style w:type="character" w:styleId="11">
    <w:name w:val="HTML Keyboard"/>
    <w:basedOn w:val="5"/>
    <w:qFormat/>
    <w:uiPriority w:val="0"/>
    <w:rPr>
      <w:rFonts w:hint="default" w:ascii="Consolas" w:hAnsi="Consolas" w:eastAsia="Consolas" w:cs="Consolas"/>
      <w:color w:val="FFFFFF"/>
      <w:sz w:val="21"/>
      <w:szCs w:val="21"/>
      <w:shd w:val="clear" w:fill="333333"/>
    </w:rPr>
  </w:style>
  <w:style w:type="character" w:styleId="12">
    <w:name w:val="HTML Sample"/>
    <w:basedOn w:val="5"/>
    <w:qFormat/>
    <w:uiPriority w:val="0"/>
    <w:rPr>
      <w:rFonts w:hint="default" w:ascii="Consolas" w:hAnsi="Consolas" w:eastAsia="Consolas" w:cs="Consolas"/>
      <w:sz w:val="21"/>
      <w:szCs w:val="21"/>
    </w:rPr>
  </w:style>
  <w:style w:type="character" w:customStyle="1" w:styleId="13">
    <w:name w:val="Body text|1_"/>
    <w:basedOn w:val="5"/>
    <w:link w:val="14"/>
    <w:qFormat/>
    <w:uiPriority w:val="0"/>
    <w:rPr>
      <w:rFonts w:ascii="宋体" w:hAnsi="宋体" w:eastAsia="宋体" w:cs="宋体"/>
      <w:sz w:val="30"/>
      <w:szCs w:val="30"/>
      <w:u w:val="none"/>
      <w:shd w:val="clear" w:color="auto" w:fill="auto"/>
      <w:lang w:val="zh-TW" w:eastAsia="zh-TW" w:bidi="zh-TW"/>
    </w:rPr>
  </w:style>
  <w:style w:type="paragraph" w:customStyle="1" w:styleId="14">
    <w:name w:val="Body text|1"/>
    <w:basedOn w:val="1"/>
    <w:link w:val="13"/>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5">
    <w:name w:val="Header or footer|2_"/>
    <w:basedOn w:val="5"/>
    <w:link w:val="16"/>
    <w:qFormat/>
    <w:uiPriority w:val="0"/>
    <w:rPr>
      <w:sz w:val="20"/>
      <w:szCs w:val="20"/>
      <w:u w:val="none"/>
      <w:shd w:val="clear" w:color="auto" w:fill="auto"/>
      <w:lang w:val="zh-TW" w:eastAsia="zh-TW" w:bidi="zh-TW"/>
    </w:rPr>
  </w:style>
  <w:style w:type="paragraph" w:customStyle="1" w:styleId="16">
    <w:name w:val="Header or footer|2"/>
    <w:basedOn w:val="1"/>
    <w:link w:val="15"/>
    <w:qFormat/>
    <w:uiPriority w:val="0"/>
    <w:pPr>
      <w:widowControl w:val="0"/>
      <w:shd w:val="clear" w:color="auto" w:fill="auto"/>
    </w:pPr>
    <w:rPr>
      <w:sz w:val="20"/>
      <w:szCs w:val="20"/>
      <w:u w:val="none"/>
      <w:shd w:val="clear" w:color="auto" w:fill="auto"/>
      <w:lang w:val="zh-TW" w:eastAsia="zh-TW" w:bidi="zh-TW"/>
    </w:rPr>
  </w:style>
  <w:style w:type="character" w:customStyle="1" w:styleId="17">
    <w:name w:val="Heading #1|1_"/>
    <w:basedOn w:val="5"/>
    <w:link w:val="18"/>
    <w:qFormat/>
    <w:uiPriority w:val="0"/>
    <w:rPr>
      <w:rFonts w:ascii="宋体" w:hAnsi="宋体" w:eastAsia="宋体" w:cs="宋体"/>
      <w:sz w:val="34"/>
      <w:szCs w:val="34"/>
      <w:u w:val="none"/>
      <w:shd w:val="clear" w:color="auto" w:fill="FFFFFF"/>
      <w:lang w:val="zh-TW" w:eastAsia="zh-TW" w:bidi="zh-TW"/>
    </w:rPr>
  </w:style>
  <w:style w:type="paragraph" w:customStyle="1" w:styleId="18">
    <w:name w:val="Heading #1|1"/>
    <w:basedOn w:val="1"/>
    <w:link w:val="17"/>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9">
    <w:name w:val="Header or footer|1_"/>
    <w:basedOn w:val="5"/>
    <w:link w:val="20"/>
    <w:qFormat/>
    <w:uiPriority w:val="0"/>
    <w:rPr>
      <w:sz w:val="17"/>
      <w:szCs w:val="17"/>
      <w:u w:val="none"/>
      <w:shd w:val="clear" w:color="auto" w:fill="auto"/>
      <w:lang w:val="zh-TW" w:eastAsia="zh-TW" w:bidi="zh-TW"/>
    </w:rPr>
  </w:style>
  <w:style w:type="paragraph" w:customStyle="1" w:styleId="20">
    <w:name w:val="Header or footer|1"/>
    <w:basedOn w:val="1"/>
    <w:link w:val="19"/>
    <w:qFormat/>
    <w:uiPriority w:val="0"/>
    <w:pPr>
      <w:widowControl w:val="0"/>
      <w:shd w:val="clear" w:color="auto" w:fill="auto"/>
    </w:pPr>
    <w:rPr>
      <w:sz w:val="17"/>
      <w:szCs w:val="17"/>
      <w:u w:val="none"/>
      <w:shd w:val="clear" w:color="auto" w:fill="auto"/>
      <w:lang w:val="zh-TW" w:eastAsia="zh-TW" w:bidi="zh-TW"/>
    </w:rPr>
  </w:style>
  <w:style w:type="character" w:customStyle="1" w:styleId="21">
    <w:name w:val="Table of contents|1_"/>
    <w:basedOn w:val="5"/>
    <w:link w:val="22"/>
    <w:qFormat/>
    <w:uiPriority w:val="0"/>
    <w:rPr>
      <w:rFonts w:ascii="宋体" w:hAnsi="宋体" w:eastAsia="宋体" w:cs="宋体"/>
      <w:sz w:val="30"/>
      <w:szCs w:val="30"/>
      <w:u w:val="none"/>
      <w:shd w:val="clear" w:color="auto" w:fill="auto"/>
      <w:lang w:val="zh-TW" w:eastAsia="zh-TW" w:bidi="zh-TW"/>
    </w:rPr>
  </w:style>
  <w:style w:type="paragraph" w:customStyle="1" w:styleId="22">
    <w:name w:val="Table of contents|1"/>
    <w:basedOn w:val="1"/>
    <w:link w:val="21"/>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3">
    <w:name w:val="zwxxgk_bnt6"/>
    <w:basedOn w:val="5"/>
    <w:qFormat/>
    <w:uiPriority w:val="0"/>
  </w:style>
  <w:style w:type="character" w:customStyle="1" w:styleId="24">
    <w:name w:val="zwxxgk_bnt61"/>
    <w:basedOn w:val="5"/>
    <w:qFormat/>
    <w:uiPriority w:val="0"/>
  </w:style>
  <w:style w:type="character" w:customStyle="1" w:styleId="25">
    <w:name w:val="zwxxgk_bnt62"/>
    <w:basedOn w:val="5"/>
    <w:qFormat/>
    <w:uiPriority w:val="0"/>
  </w:style>
  <w:style w:type="character" w:customStyle="1" w:styleId="26">
    <w:name w:val="zwxxgk_bnt5"/>
    <w:basedOn w:val="5"/>
    <w:qFormat/>
    <w:uiPriority w:val="0"/>
  </w:style>
  <w:style w:type="character" w:customStyle="1" w:styleId="27">
    <w:name w:val="zwxxgk_bnt51"/>
    <w:basedOn w:val="5"/>
    <w:qFormat/>
    <w:uiPriority w:val="0"/>
  </w:style>
  <w:style w:type="character" w:customStyle="1" w:styleId="28">
    <w:name w:val="zwxxgk_bnt52"/>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4126</Words>
  <Characters>4534</Characters>
  <TotalTime>2</TotalTime>
  <ScaleCrop>false</ScaleCrop>
  <LinksUpToDate>false</LinksUpToDate>
  <CharactersWithSpaces>5235</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2022-09-18T05:17:15Z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CC4B7A31645B4A068A60A26CCFFE3F23</vt:lpwstr>
  </property>
</Properties>
</file>