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tabs>
          <w:tab w:val="left" w:pos="1623"/>
          <w:tab w:val="center" w:pos="4236"/>
        </w:tabs>
        <w:bidi w:val="0"/>
        <w:ind w:firstLine="800" w:firstLineChars="200"/>
        <w:jc w:val="left"/>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eastAsia="zh-CN"/>
        </w:rPr>
        <w:t>伊斯兰教协会</w:t>
      </w:r>
      <w:r>
        <w:rPr>
          <w:rFonts w:hint="eastAsia" w:ascii="方正小标宋_GBK" w:hAnsi="方正小标宋_GBK" w:eastAsia="方正小标宋_GBK" w:cs="方正小标宋_GBK"/>
          <w:sz w:val="40"/>
          <w:szCs w:val="40"/>
          <w:lang w:eastAsia="zh-CN"/>
        </w:rPr>
        <w:tab/>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ind w:firstLine="640" w:firstLineChars="200"/>
        <w:rPr>
          <w:rFonts w:ascii="黑体" w:hAnsi="黑体" w:eastAsia="黑体"/>
          <w:sz w:val="32"/>
          <w:szCs w:val="32"/>
        </w:rPr>
      </w:pPr>
      <w:r>
        <w:rPr>
          <w:rFonts w:hint="eastAsia" w:ascii="黑体" w:hAnsi="黑体" w:eastAsia="黑体"/>
          <w:sz w:val="32"/>
          <w:szCs w:val="32"/>
        </w:rPr>
        <w:t>一、部门基本情况</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（一）基本情况。</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1.主要职能。</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1）、贯彻执行党和国家各级政府关于对宗教工作的方针、政策及法律、法规，协助县统战部、宗教局进行对伊斯兰教教职人员、伊斯兰教场所宗教活动的开展及有关业务进行指导和管理；切实做好党和政府与信教群众之间的桥梁纽带作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（2）、听取伊斯兰教教职人员的意见，反映他们的个人需求，维护伊斯兰教教职人员的利益，不断发扬伊斯兰教文化的精髓。</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（3）、加强伊斯兰教领域的团结和谐，积极支持伊斯兰教界人士的传承培养工作，积极同省州协会协调争取指标，有计划地安排伊斯兰教教职人员去授箓。</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（4）、弘扬伊斯兰教文化，严格民主管理原则，沟通政府、社会与伊斯兰教界之间的联系，积极引导宗教界发挥自身特有的社会地位，为社会的各项事业发展起到应有的作用。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 xml:space="preserve">（5）、大力开展宗教领域的精准扶贫、社会保障、社会服务工作，积极参与扶贫济困，道路建设等社会公益事业活动，为建设美好家乡添砖加瓦，出谋献策。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 xml:space="preserve">  2.机构情况。东乡县伊斯兰教协会核定机构数1个，实有机构1个(独立核算)。</w:t>
      </w:r>
    </w:p>
    <w:p>
      <w:pPr>
        <w:rPr>
          <w:rFonts w:ascii="楷体_GB2312" w:eastAsia="楷体_GB2312"/>
          <w:b/>
          <w:sz w:val="28"/>
          <w:szCs w:val="28"/>
        </w:rPr>
      </w:pPr>
      <w:r>
        <w:rPr>
          <w:rFonts w:hint="eastAsia" w:ascii="楷体_GB2312" w:eastAsia="楷体_GB2312"/>
          <w:b/>
          <w:sz w:val="28"/>
          <w:szCs w:val="28"/>
        </w:rPr>
        <w:t>（二）机构设置</w:t>
      </w:r>
    </w:p>
    <w:p>
      <w:pPr>
        <w:keepNext w:val="0"/>
        <w:keepLines w:val="0"/>
        <w:pageBreakBefore w:val="0"/>
        <w:widowControl w:val="0"/>
        <w:suppressLineNumbers w:val="0"/>
        <w:shd w:val="clear" w:color="auto" w:fill="auto"/>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正科级事业单位，核定人员编制18名，核定领导3名（其中：会长1名、副会长2名）现有干部职工15人。</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right="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right="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_GB2312" w:hAnsi="仿宋" w:eastAsia="仿宋_GB2312" w:cs="Times New Roman"/>
          <w:color w:val="000000"/>
          <w:sz w:val="32"/>
          <w:szCs w:val="32"/>
          <w:u w:val="single"/>
        </w:rPr>
        <w:t>1847124.5</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_GB2312" w:hAnsi="仿宋" w:eastAsia="仿宋_GB2312" w:cs="Times New Roman"/>
          <w:color w:val="000000"/>
          <w:sz w:val="32"/>
          <w:szCs w:val="32"/>
          <w:u w:val="single"/>
        </w:rPr>
        <w:t>1847124.5</w:t>
      </w:r>
      <w:r>
        <w:rPr>
          <w:rFonts w:hint="eastAsia" w:ascii="仿宋_GB2312" w:hAnsi="仿宋_GB2312" w:eastAsia="仿宋_GB2312" w:cs="仿宋_GB2312"/>
          <w:color w:val="000000"/>
          <w:spacing w:val="0"/>
          <w:w w:val="100"/>
          <w:position w:val="0"/>
          <w:sz w:val="32"/>
          <w:szCs w:val="32"/>
          <w:lang w:val="en-US" w:eastAsia="zh-CN"/>
        </w:rPr>
        <w:t>元，与2020年决算数相比，收入减少219989.54元,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11%，支出减少219989.54元,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11%。主要原因是部分经费调整到下年度.</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 w:eastAsia="仿宋_GB2312" w:cs="Times New Roman"/>
          <w:color w:val="000000"/>
          <w:sz w:val="32"/>
          <w:szCs w:val="32"/>
          <w:u w:val="single"/>
        </w:rPr>
        <w:t>1847124.5</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 w:eastAsia="仿宋_GB2312" w:cs="Times New Roman"/>
          <w:color w:val="000000"/>
          <w:sz w:val="32"/>
          <w:szCs w:val="32"/>
          <w:u w:val="single"/>
        </w:rPr>
        <w:t>1847124.5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 w:eastAsia="仿宋_GB2312" w:cs="Times New Roman"/>
          <w:color w:val="000000"/>
          <w:sz w:val="32"/>
          <w:szCs w:val="32"/>
          <w:u w:val="single"/>
        </w:rPr>
        <w:t>1847124.5</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 w:eastAsia="仿宋_GB2312" w:cs="Times New Roman"/>
          <w:color w:val="000000"/>
          <w:sz w:val="32"/>
          <w:szCs w:val="32"/>
          <w:u w:val="single"/>
        </w:rPr>
        <w:t>1847124.5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0" w:firstLineChars="200"/>
        <w:jc w:val="left"/>
        <w:textAlignment w:val="auto"/>
        <w:rPr>
          <w:rFonts w:hint="default"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部门（本单位）2021年度财政拨款收1847124.5元，较上年决算数</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收入减少</w:t>
      </w:r>
      <w:r>
        <w:rPr>
          <w:rFonts w:hint="eastAsia" w:ascii="仿宋_GB2312" w:hAnsi="仿宋_GB2312" w:eastAsia="仿宋_GB2312" w:cs="仿宋_GB2312"/>
          <w:color w:val="000000"/>
          <w:spacing w:val="0"/>
          <w:w w:val="100"/>
          <w:position w:val="0"/>
          <w:sz w:val="32"/>
          <w:szCs w:val="32"/>
          <w:lang w:val="en-US" w:eastAsia="zh-CN"/>
        </w:rPr>
        <w:t>219989.54元,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11%</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主要原因是部分经费调整到下年度.</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本部门（本单位）2021年度财政拨款支</w:t>
      </w:r>
      <w:r>
        <w:rPr>
          <w:rFonts w:hint="eastAsia" w:ascii="仿宋_GB2312" w:hAnsi="仿宋_GB2312" w:eastAsia="仿宋_GB2312" w:cs="仿宋_GB2312"/>
          <w:color w:val="000000"/>
          <w:spacing w:val="0"/>
          <w:w w:val="100"/>
          <w:position w:val="0"/>
          <w:sz w:val="32"/>
          <w:szCs w:val="32"/>
          <w:lang w:val="en-US" w:eastAsia="zh-CN"/>
        </w:rPr>
        <w:t>出</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1847124.5元，较上年决算数</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rPr>
        <w:t>219989.54元,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11%</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主要原因是部分经费调整到下年度</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。较年初预算数增加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318761.82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上升</w:t>
      </w:r>
      <w:r>
        <w:rPr>
          <w:rFonts w:hint="eastAsia" w:ascii="仿宋_GB2312" w:hAnsi="仿宋_GB2312" w:eastAsia="仿宋_GB2312" w:cs="仿宋_GB2312"/>
          <w:color w:val="000000"/>
          <w:spacing w:val="0"/>
          <w:w w:val="100"/>
          <w:position w:val="0"/>
          <w:sz w:val="32"/>
          <w:szCs w:val="32"/>
          <w:lang w:val="en-US" w:eastAsia="zh-CN"/>
        </w:rPr>
        <w:t>19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主要原因是部分经费</w:t>
      </w:r>
      <w:r>
        <w:rPr>
          <w:rFonts w:hint="eastAsia" w:ascii="仿宋_GB2312" w:hAnsi="仿宋_GB2312" w:eastAsia="仿宋_GB2312" w:cs="仿宋_GB2312"/>
          <w:color w:val="000000"/>
          <w:spacing w:val="0"/>
          <w:w w:val="100"/>
          <w:position w:val="0"/>
          <w:sz w:val="32"/>
          <w:szCs w:val="32"/>
          <w:lang w:eastAsia="zh-CN"/>
        </w:rPr>
        <w:t>年初未纳入预算</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w:t>
      </w:r>
      <w:r>
        <w:rPr>
          <w:rFonts w:hint="eastAsia" w:ascii="仿宋_GB2312" w:hAnsi="仿宋" w:eastAsia="仿宋_GB2312" w:cs="Times New Roman"/>
          <w:color w:val="000000"/>
          <w:sz w:val="32"/>
          <w:szCs w:val="32"/>
          <w:u w:val="single"/>
        </w:rPr>
        <w:t>1847124.5</w:t>
      </w:r>
      <w:r>
        <w:rPr>
          <w:rFonts w:hint="eastAsia" w:ascii="仿宋_GB2312" w:hAnsi="仿宋_GB2312" w:eastAsia="仿宋_GB2312" w:cs="仿宋_GB2312"/>
          <w:color w:val="000000"/>
          <w:spacing w:val="0"/>
          <w:w w:val="100"/>
          <w:position w:val="0"/>
          <w:sz w:val="32"/>
          <w:szCs w:val="32"/>
          <w:lang w:val="en-US" w:eastAsia="zh-CN"/>
        </w:rPr>
        <w:t>万元，占本年支出的100%，较上年决算数减少219989.54元,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11%。主要原因：部分经费调整到下年度。</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增加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318761.82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上升</w:t>
      </w:r>
      <w:r>
        <w:rPr>
          <w:rFonts w:hint="eastAsia" w:ascii="仿宋_GB2312" w:hAnsi="仿宋_GB2312" w:eastAsia="仿宋_GB2312" w:cs="仿宋_GB2312"/>
          <w:color w:val="000000"/>
          <w:spacing w:val="0"/>
          <w:w w:val="100"/>
          <w:position w:val="0"/>
          <w:sz w:val="32"/>
          <w:szCs w:val="32"/>
          <w:lang w:val="en-US" w:eastAsia="zh-CN"/>
        </w:rPr>
        <w:t>19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主要原因是部分经费</w:t>
      </w:r>
      <w:r>
        <w:rPr>
          <w:rFonts w:hint="eastAsia" w:ascii="仿宋_GB2312" w:hAnsi="仿宋_GB2312" w:eastAsia="仿宋_GB2312" w:cs="仿宋_GB2312"/>
          <w:color w:val="000000"/>
          <w:spacing w:val="0"/>
          <w:w w:val="100"/>
          <w:position w:val="0"/>
          <w:sz w:val="32"/>
          <w:szCs w:val="32"/>
          <w:lang w:eastAsia="zh-CN"/>
        </w:rPr>
        <w:t>年初未纳入预算</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一般公共服务支出</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1559472.26</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84</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%,较年初预算数增加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105009.26</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元，主要原因是</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工会补助经费增加</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fldChar w:fldCharType="begin"/>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instrText xml:space="preserve">TOC\o"1-5"\h\z</w:instrTex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fldChar w:fldCharType="separate"/>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社会保障与就业支出</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168455.29</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10</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%,较年初预算数减少</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23136.72</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元，主要原因是单位人员退休。</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卫生健康支出</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86196.96</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4</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%,较年初预算数增加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86196.96</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元，主要原因是</w:t>
      </w:r>
      <w:r>
        <w:rPr>
          <w:rFonts w:hint="eastAsia" w:ascii="仿宋_GB2312" w:hAnsi="仿宋_GB2312" w:eastAsia="仿宋_GB2312" w:cs="仿宋_GB2312"/>
          <w:color w:val="000000"/>
          <w:spacing w:val="0"/>
          <w:w w:val="100"/>
          <w:position w:val="0"/>
          <w:sz w:val="32"/>
          <w:szCs w:val="32"/>
          <w:lang w:eastAsia="zh-CN"/>
        </w:rPr>
        <w:t>年初未纳入预算</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农林水支出</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36000</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2</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%,较年初预算数增加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36000</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元，主要原因是</w:t>
      </w:r>
      <w:r>
        <w:rPr>
          <w:rFonts w:hint="eastAsia" w:ascii="仿宋_GB2312" w:hAnsi="仿宋_GB2312" w:eastAsia="仿宋_GB2312" w:cs="仿宋_GB2312"/>
          <w:color w:val="000000"/>
          <w:spacing w:val="0"/>
          <w:w w:val="100"/>
          <w:position w:val="0"/>
          <w:sz w:val="32"/>
          <w:szCs w:val="32"/>
          <w:lang w:eastAsia="zh-CN"/>
        </w:rPr>
        <w:t>年初未纳入预算</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fldChar w:fldCharType="end"/>
      </w: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 w:eastAsia="仿宋_GB2312" w:cs="Times New Roman"/>
          <w:color w:val="000000"/>
          <w:sz w:val="32"/>
          <w:szCs w:val="32"/>
          <w:u w:val="single"/>
        </w:rPr>
        <w:t>1847124.5</w:t>
      </w:r>
      <w:r>
        <w:rPr>
          <w:rFonts w:hint="eastAsia" w:ascii="仿宋_GB2312" w:hAnsi="仿宋_GB2312" w:eastAsia="仿宋_GB2312" w:cs="仿宋_GB2312"/>
          <w:color w:val="000000"/>
          <w:spacing w:val="0"/>
          <w:w w:val="100"/>
          <w:position w:val="0"/>
          <w:sz w:val="32"/>
          <w:szCs w:val="32"/>
        </w:rPr>
        <w:t>元。其中：人员经费1774175.24元，较上年减少</w:t>
      </w:r>
      <w:r>
        <w:rPr>
          <w:rFonts w:hint="eastAsia" w:ascii="仿宋_GB2312" w:hAnsi="仿宋_GB2312" w:eastAsia="仿宋_GB2312" w:cs="仿宋_GB2312"/>
          <w:color w:val="000000"/>
          <w:spacing w:val="0"/>
          <w:w w:val="100"/>
          <w:position w:val="0"/>
          <w:sz w:val="32"/>
          <w:szCs w:val="32"/>
          <w:lang w:val="en-US" w:eastAsia="zh-CN"/>
        </w:rPr>
        <w:t>98308.8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单位人员减少</w:t>
      </w:r>
      <w:r>
        <w:rPr>
          <w:rFonts w:hint="eastAsia" w:ascii="仿宋_GB2312" w:hAnsi="仿宋_GB2312" w:eastAsia="仿宋_GB2312" w:cs="仿宋_GB2312"/>
          <w:color w:val="000000"/>
          <w:spacing w:val="0"/>
          <w:w w:val="100"/>
          <w:position w:val="0"/>
          <w:sz w:val="32"/>
          <w:szCs w:val="32"/>
        </w:rPr>
        <w:t>。人员经费用途主要包括：基本工资、津贴补贴、奖金、</w:t>
      </w:r>
      <w:r>
        <w:rPr>
          <w:rFonts w:hint="eastAsia" w:ascii="仿宋_GB2312" w:hAnsi="仿宋_GB2312" w:eastAsia="仿宋_GB2312" w:cs="仿宋_GB2312"/>
          <w:color w:val="000000"/>
          <w:spacing w:val="0"/>
          <w:w w:val="100"/>
          <w:position w:val="0"/>
          <w:sz w:val="32"/>
          <w:szCs w:val="32"/>
          <w:lang w:eastAsia="zh-CN"/>
        </w:rPr>
        <w:t>个人和家庭的补助、生活补助、</w:t>
      </w:r>
      <w:r>
        <w:rPr>
          <w:rFonts w:hint="eastAsia" w:ascii="仿宋_GB2312" w:hAnsi="仿宋_GB2312" w:eastAsia="仿宋_GB2312" w:cs="仿宋_GB2312"/>
          <w:color w:val="000000"/>
          <w:spacing w:val="0"/>
          <w:w w:val="100"/>
          <w:position w:val="0"/>
          <w:sz w:val="32"/>
          <w:szCs w:val="32"/>
        </w:rPr>
        <w:t>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72949.26</w:t>
      </w:r>
      <w:r>
        <w:rPr>
          <w:rFonts w:hint="eastAsia" w:ascii="仿宋_GB2312" w:hAnsi="仿宋_GB2312" w:eastAsia="仿宋_GB2312" w:cs="仿宋_GB2312"/>
          <w:color w:val="000000"/>
          <w:spacing w:val="0"/>
          <w:w w:val="100"/>
          <w:position w:val="0"/>
          <w:sz w:val="32"/>
          <w:szCs w:val="32"/>
        </w:rPr>
        <w:t>元，较上年减少</w:t>
      </w:r>
      <w:r>
        <w:rPr>
          <w:rFonts w:hint="eastAsia" w:ascii="仿宋_GB2312" w:hAnsi="仿宋_GB2312" w:eastAsia="仿宋_GB2312" w:cs="仿宋_GB2312"/>
          <w:color w:val="000000"/>
          <w:spacing w:val="0"/>
          <w:w w:val="100"/>
          <w:position w:val="0"/>
          <w:sz w:val="32"/>
          <w:szCs w:val="32"/>
          <w:lang w:val="en-US" w:eastAsia="zh-CN"/>
        </w:rPr>
        <w:t>121680.74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部分经费调整到下年度</w:t>
      </w:r>
      <w:r>
        <w:rPr>
          <w:rFonts w:hint="eastAsia" w:ascii="仿宋_GB2312" w:hAnsi="仿宋_GB2312" w:eastAsia="仿宋_GB2312" w:cs="仿宋_GB2312"/>
          <w:color w:val="000000"/>
          <w:spacing w:val="0"/>
          <w:w w:val="100"/>
          <w:position w:val="0"/>
          <w:sz w:val="32"/>
          <w:szCs w:val="32"/>
        </w:rPr>
        <w:t>，公用经费用途主要包括办公费、印刷费、咨询费、手续费</w:t>
      </w:r>
      <w:r>
        <w:rPr>
          <w:rFonts w:hint="eastAsia" w:ascii="仿宋_GB2312" w:hAnsi="仿宋_GB2312" w:eastAsia="仿宋_GB2312" w:cs="仿宋_GB2312"/>
          <w:color w:val="000000"/>
          <w:spacing w:val="0"/>
          <w:w w:val="100"/>
          <w:position w:val="0"/>
          <w:sz w:val="32"/>
          <w:szCs w:val="32"/>
          <w:lang w:eastAsia="zh-CN"/>
        </w:rPr>
        <w:t>、水费</w:t>
      </w:r>
      <w:r>
        <w:rPr>
          <w:rFonts w:hint="eastAsia" w:ascii="仿宋_GB2312" w:hAnsi="仿宋_GB2312" w:eastAsia="仿宋_GB2312" w:cs="仿宋_GB2312"/>
          <w:color w:val="000000"/>
          <w:spacing w:val="0"/>
          <w:w w:val="100"/>
          <w:position w:val="0"/>
          <w:sz w:val="32"/>
          <w:szCs w:val="32"/>
        </w:rPr>
        <w:t>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ind w:firstLine="640" w:firstLineChars="200"/>
        <w:rPr>
          <w:rFonts w:ascii="仿宋_GB2312" w:eastAsia="仿宋_GB2312"/>
          <w:sz w:val="28"/>
          <w:szCs w:val="28"/>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eastAsia="仿宋_GB2312"/>
          <w:sz w:val="28"/>
          <w:szCs w:val="28"/>
        </w:rPr>
        <w:t>本部门</w:t>
      </w:r>
      <w:r>
        <w:rPr>
          <w:rFonts w:hint="eastAsia" w:ascii="仿宋_GB2312" w:eastAsia="仿宋_GB2312"/>
          <w:sz w:val="28"/>
          <w:szCs w:val="28"/>
          <w:lang w:val="en-US" w:eastAsia="zh-CN"/>
        </w:rPr>
        <w:t>无</w:t>
      </w:r>
      <w:r>
        <w:rPr>
          <w:rFonts w:hint="eastAsia" w:ascii="仿宋_GB2312" w:eastAsia="仿宋_GB2312"/>
          <w:sz w:val="28"/>
          <w:szCs w:val="28"/>
        </w:rPr>
        <w:t>“三公”经费支出</w:t>
      </w:r>
      <w:r>
        <w:rPr>
          <w:rFonts w:hint="eastAsia" w:ascii="仿宋_GB2312" w:eastAsia="仿宋_GB2312"/>
          <w:sz w:val="28"/>
          <w:szCs w:val="28"/>
          <w:lang w:eastAsia="zh-CN"/>
        </w:rPr>
        <w:t>。</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198630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w:t>
      </w:r>
    </w:p>
    <w:p>
      <w:pP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p>
    <w:p>
      <w:pP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机关运行经费主要用于用于开支办公费、</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差旅费、水电费、租赁费</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等。</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年减少</w:t>
      </w:r>
      <w:r>
        <w:rPr>
          <w:rFonts w:hint="eastAsia" w:ascii="仿宋_GB2312" w:hAnsi="仿宋_GB2312" w:eastAsia="仿宋_GB2312" w:cs="仿宋_GB2312"/>
          <w:color w:val="000000"/>
          <w:spacing w:val="0"/>
          <w:w w:val="100"/>
          <w:position w:val="0"/>
          <w:sz w:val="32"/>
          <w:szCs w:val="32"/>
          <w:lang w:val="en-US" w:eastAsia="zh-CN"/>
        </w:rPr>
        <w:t>125680.74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下降</w:t>
      </w:r>
      <w:r>
        <w:rPr>
          <w:rFonts w:hint="eastAsia" w:ascii="仿宋_GB2312" w:hAnsi="仿宋_GB2312" w:eastAsia="仿宋_GB2312" w:cs="仿宋_GB2312"/>
          <w:color w:val="000000"/>
          <w:spacing w:val="0"/>
          <w:w w:val="100"/>
          <w:position w:val="0"/>
          <w:sz w:val="32"/>
          <w:szCs w:val="32"/>
          <w:lang w:val="en-US" w:eastAsia="zh-CN"/>
        </w:rPr>
        <w:t>63</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部分经费调整到下年度.</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bookmarkStart w:id="18" w:name="_GoBack"/>
      <w:bookmarkEnd w:id="18"/>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 w:eastAsia="仿宋_GB2312" w:cs="Times New Roman"/>
          <w:color w:val="000000"/>
          <w:sz w:val="32"/>
          <w:szCs w:val="32"/>
          <w:u w:val="single"/>
        </w:rPr>
        <w:t>1847124.5</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人员经费</w:t>
      </w:r>
      <w:r>
        <w:rPr>
          <w:rFonts w:hint="eastAsia" w:ascii="仿宋_GB2312" w:hAnsi="仿宋_GB2312" w:eastAsia="仿宋_GB2312" w:cs="仿宋_GB2312"/>
          <w:color w:val="000000"/>
          <w:spacing w:val="0"/>
          <w:w w:val="100"/>
          <w:position w:val="0"/>
          <w:sz w:val="32"/>
          <w:szCs w:val="32"/>
        </w:rPr>
        <w:t>1881191.32</w:t>
      </w:r>
      <w:r>
        <w:rPr>
          <w:rFonts w:hint="eastAsia" w:ascii="仿宋_GB2312" w:hAnsi="仿宋_GB2312" w:eastAsia="仿宋_GB2312" w:cs="仿宋_GB2312"/>
          <w:color w:val="000000"/>
          <w:spacing w:val="0"/>
          <w:w w:val="100"/>
          <w:position w:val="0"/>
          <w:sz w:val="32"/>
          <w:szCs w:val="32"/>
          <w:lang w:val="en-US" w:eastAsia="zh-CN"/>
        </w:rPr>
        <w:t>元，公用经费80625.5元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我单位按照预算法和经费管理办法，加强预算、决算管理，较好地执行了预算，完成了决算，较好地完成了宗教各项工作，全县宗教形势进一步明显好转。</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mM4ZWEyNWNjZDVjNjhkNTQzOTg2YTZlZjgyOWYyOWIifQ=="/>
  </w:docVars>
  <w:rsids>
    <w:rsidRoot w:val="00000000"/>
    <w:rsid w:val="03DA724B"/>
    <w:rsid w:val="0511788F"/>
    <w:rsid w:val="06AA1511"/>
    <w:rsid w:val="06C35CEC"/>
    <w:rsid w:val="0A261C79"/>
    <w:rsid w:val="0A4C6688"/>
    <w:rsid w:val="0A8A0C3F"/>
    <w:rsid w:val="0E8650F2"/>
    <w:rsid w:val="0F737EAC"/>
    <w:rsid w:val="13AB3BAB"/>
    <w:rsid w:val="1739327C"/>
    <w:rsid w:val="19BA4320"/>
    <w:rsid w:val="1B205130"/>
    <w:rsid w:val="1E712589"/>
    <w:rsid w:val="1F523B54"/>
    <w:rsid w:val="1F797160"/>
    <w:rsid w:val="20041C8A"/>
    <w:rsid w:val="201E1B98"/>
    <w:rsid w:val="23811D10"/>
    <w:rsid w:val="25FD0C5D"/>
    <w:rsid w:val="28E35D7E"/>
    <w:rsid w:val="29C05E6C"/>
    <w:rsid w:val="2CFF5337"/>
    <w:rsid w:val="2DF65189"/>
    <w:rsid w:val="2E456581"/>
    <w:rsid w:val="2F990904"/>
    <w:rsid w:val="34390907"/>
    <w:rsid w:val="350D6970"/>
    <w:rsid w:val="36F851B0"/>
    <w:rsid w:val="39F46F0A"/>
    <w:rsid w:val="3ABD5DEE"/>
    <w:rsid w:val="3BAF6B93"/>
    <w:rsid w:val="3BD710AD"/>
    <w:rsid w:val="3C461BE3"/>
    <w:rsid w:val="3C8932EE"/>
    <w:rsid w:val="3EFA67D7"/>
    <w:rsid w:val="3F5E7474"/>
    <w:rsid w:val="3F834EA9"/>
    <w:rsid w:val="41670196"/>
    <w:rsid w:val="42186000"/>
    <w:rsid w:val="42736B67"/>
    <w:rsid w:val="43373A5D"/>
    <w:rsid w:val="43D445BB"/>
    <w:rsid w:val="454763C3"/>
    <w:rsid w:val="46A64B88"/>
    <w:rsid w:val="47FF17A3"/>
    <w:rsid w:val="4A8B7502"/>
    <w:rsid w:val="4AA448D5"/>
    <w:rsid w:val="4B417C9E"/>
    <w:rsid w:val="4B60103E"/>
    <w:rsid w:val="4F1428B3"/>
    <w:rsid w:val="537062B7"/>
    <w:rsid w:val="54376A8F"/>
    <w:rsid w:val="57D535F7"/>
    <w:rsid w:val="58300C23"/>
    <w:rsid w:val="58806626"/>
    <w:rsid w:val="58A5142C"/>
    <w:rsid w:val="5C0154E6"/>
    <w:rsid w:val="5C2F5FC8"/>
    <w:rsid w:val="5CF13B42"/>
    <w:rsid w:val="5ED66BCF"/>
    <w:rsid w:val="60C31C9F"/>
    <w:rsid w:val="60D720E0"/>
    <w:rsid w:val="62922058"/>
    <w:rsid w:val="67CF1B07"/>
    <w:rsid w:val="69452488"/>
    <w:rsid w:val="6C700921"/>
    <w:rsid w:val="6C761FA8"/>
    <w:rsid w:val="6E5040AB"/>
    <w:rsid w:val="6E676244"/>
    <w:rsid w:val="7088613C"/>
    <w:rsid w:val="70E14C54"/>
    <w:rsid w:val="720E4E8D"/>
    <w:rsid w:val="726D3C91"/>
    <w:rsid w:val="745D61E5"/>
    <w:rsid w:val="74DB7FD6"/>
    <w:rsid w:val="785A5C57"/>
    <w:rsid w:val="794C38BE"/>
    <w:rsid w:val="7A77630D"/>
    <w:rsid w:val="7C584EE5"/>
    <w:rsid w:val="7CDE6F23"/>
    <w:rsid w:val="7CF44998"/>
    <w:rsid w:val="7DDF02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line="480" w:lineRule="auto"/>
      <w:ind w:left="420" w:leftChars="200"/>
    </w:pPr>
    <w:rPr>
      <w:rFonts w:ascii="Times New Roman" w:hAnsi="Times New Roman" w:eastAsia="宋体" w:cs="Times New Roman"/>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4601</Words>
  <Characters>4985</Characters>
  <TotalTime>10</TotalTime>
  <ScaleCrop>false</ScaleCrop>
  <LinksUpToDate>false</LinksUpToDate>
  <CharactersWithSpaces>5030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2022-09-19T15:59:19Z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