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2"/>
      <w:bookmarkStart w:id="2" w:name="bookmark0"/>
      <w:r>
        <w:rPr>
          <w:rFonts w:hint="eastAsia" w:ascii="方正小标宋_GBK" w:hAnsi="方正小标宋_GBK" w:eastAsia="方正小标宋_GBK" w:cs="方正小标宋_GBK"/>
          <w:sz w:val="40"/>
          <w:szCs w:val="40"/>
          <w:lang w:val="en-US" w:eastAsia="zh-CN"/>
        </w:rPr>
        <w:t>东乡县运管分局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spacing w:line="560" w:lineRule="exact"/>
        <w:ind w:firstLine="640" w:firstLineChars="200"/>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、部门职责</w:t>
      </w:r>
    </w:p>
    <w:p>
      <w:pPr>
        <w:spacing w:line="560" w:lineRule="exact"/>
        <w:ind w:firstLine="640" w:firstLineChars="200"/>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rPr>
        <w:t>机构设置</w:t>
      </w:r>
    </w:p>
    <w:p>
      <w:pPr>
        <w:spacing w:line="560" w:lineRule="exact"/>
        <w:ind w:firstLine="640" w:firstLineChars="200"/>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7"/>
      <w:r>
        <w:rPr>
          <w:rFonts w:hint="eastAsia" w:ascii="仿宋_GB2312" w:hAnsi="仿宋_GB2312" w:eastAsia="仿宋_GB2312" w:cs="仿宋_GB2312"/>
          <w:color w:val="000000"/>
          <w:spacing w:val="0"/>
          <w:w w:val="100"/>
          <w:position w:val="0"/>
          <w:sz w:val="32"/>
          <w:szCs w:val="32"/>
        </w:rPr>
        <w:t>三</w:t>
      </w:r>
      <w:bookmarkEnd w:id="6"/>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8"/>
      <w:r>
        <w:rPr>
          <w:rFonts w:hint="eastAsia" w:ascii="仿宋_GB2312" w:hAnsi="仿宋_GB2312" w:eastAsia="仿宋_GB2312" w:cs="仿宋_GB2312"/>
          <w:color w:val="000000"/>
          <w:spacing w:val="0"/>
          <w:w w:val="100"/>
          <w:position w:val="0"/>
          <w:sz w:val="32"/>
          <w:szCs w:val="32"/>
        </w:rPr>
        <w:t>四</w:t>
      </w:r>
      <w:bookmarkEnd w:id="7"/>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9"/>
      <w:r>
        <w:rPr>
          <w:rFonts w:hint="eastAsia" w:ascii="仿宋_GB2312" w:hAnsi="仿宋_GB2312" w:eastAsia="仿宋_GB2312" w:cs="仿宋_GB2312"/>
          <w:color w:val="000000"/>
          <w:spacing w:val="0"/>
          <w:w w:val="100"/>
          <w:position w:val="0"/>
          <w:sz w:val="32"/>
          <w:szCs w:val="32"/>
        </w:rPr>
        <w:t>五</w:t>
      </w:r>
      <w:bookmarkEnd w:id="8"/>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9" w:name="bookmark10"/>
      <w:r>
        <w:rPr>
          <w:rFonts w:hint="eastAsia" w:ascii="仿宋_GB2312" w:hAnsi="仿宋_GB2312" w:eastAsia="仿宋_GB2312" w:cs="仿宋_GB2312"/>
          <w:color w:val="000000"/>
          <w:spacing w:val="0"/>
          <w:w w:val="100"/>
          <w:position w:val="0"/>
          <w:sz w:val="32"/>
          <w:szCs w:val="32"/>
        </w:rPr>
        <w:t>六</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1"/>
      <w:r>
        <w:rPr>
          <w:rFonts w:hint="eastAsia" w:ascii="仿宋_GB2312" w:hAnsi="仿宋_GB2312" w:eastAsia="仿宋_GB2312" w:cs="仿宋_GB2312"/>
          <w:color w:val="000000"/>
          <w:spacing w:val="0"/>
          <w:w w:val="100"/>
          <w:position w:val="0"/>
          <w:sz w:val="32"/>
          <w:szCs w:val="32"/>
        </w:rPr>
        <w:t>七</w:t>
      </w:r>
      <w:bookmarkEnd w:id="10"/>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2"/>
      <w:r>
        <w:rPr>
          <w:rFonts w:hint="eastAsia" w:ascii="仿宋_GB2312" w:hAnsi="仿宋_GB2312" w:eastAsia="仿宋_GB2312" w:cs="仿宋_GB2312"/>
          <w:color w:val="000000"/>
          <w:spacing w:val="0"/>
          <w:w w:val="100"/>
          <w:position w:val="0"/>
          <w:sz w:val="32"/>
          <w:szCs w:val="32"/>
        </w:rPr>
        <w:t>八</w:t>
      </w:r>
      <w:bookmarkEnd w:id="11"/>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3"/>
      <w:r>
        <w:rPr>
          <w:rFonts w:hint="eastAsia" w:ascii="仿宋_GB2312" w:hAnsi="仿宋_GB2312" w:eastAsia="仿宋_GB2312" w:cs="仿宋_GB2312"/>
          <w:color w:val="000000"/>
          <w:spacing w:val="0"/>
          <w:w w:val="100"/>
          <w:position w:val="0"/>
          <w:sz w:val="32"/>
          <w:szCs w:val="32"/>
        </w:rPr>
        <w:t>九</w:t>
      </w:r>
      <w:bookmarkEnd w:id="12"/>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3" w:name="bookmark14"/>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4" w:name="bookmark23"/>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spacing w:line="560" w:lineRule="exact"/>
        <w:ind w:firstLine="600" w:firstLineChars="200"/>
        <w:rPr>
          <w:rFonts w:ascii="仿宋_GB2312" w:eastAsia="仿宋_GB2312"/>
          <w:sz w:val="30"/>
          <w:szCs w:val="30"/>
        </w:rPr>
      </w:pPr>
      <w:bookmarkStart w:id="15" w:name="bookmark24"/>
      <w:r>
        <w:rPr>
          <w:rFonts w:hint="eastAsia" w:ascii="仿宋_GB2312" w:eastAsia="仿宋_GB2312"/>
          <w:sz w:val="30"/>
          <w:szCs w:val="30"/>
        </w:rPr>
        <w:t>临夏回族自治州道路运输管理局东乡县分局是东乡县交通运输局的二级局，协助交通局开展全县道路旅客运输、货物运输、运输场站、维修检测、驾驶员培训及相关业务管理工作；处理道路运输纠纷、矛盾，路政、道路运输执法。</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内设办公室、运输安全股、运政法规股、科技教育股、财务资产股、稽查股、信访维稳办七个部门。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r>
        <w:drawing>
          <wp:inline distT="0" distB="0" distL="114300" distR="114300">
            <wp:extent cx="5357495" cy="4227830"/>
            <wp:effectExtent l="0" t="0" r="14605"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357495" cy="422783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r>
        <w:drawing>
          <wp:inline distT="0" distB="0" distL="114300" distR="114300">
            <wp:extent cx="5355590" cy="2845435"/>
            <wp:effectExtent l="0" t="0" r="16510" b="1206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5355590" cy="284543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r>
        <w:drawing>
          <wp:inline distT="0" distB="0" distL="114300" distR="114300">
            <wp:extent cx="5355590" cy="3170555"/>
            <wp:effectExtent l="0" t="0" r="16510"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tretch>
                      <a:fillRect/>
                    </a:stretch>
                  </pic:blipFill>
                  <pic:spPr>
                    <a:xfrm>
                      <a:off x="0" y="0"/>
                      <a:ext cx="5355590" cy="317055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r>
        <w:drawing>
          <wp:inline distT="0" distB="0" distL="114300" distR="114300">
            <wp:extent cx="5356225" cy="3876040"/>
            <wp:effectExtent l="0" t="0" r="15875" b="1016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5356225" cy="387604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r>
        <w:drawing>
          <wp:inline distT="0" distB="0" distL="114300" distR="114300">
            <wp:extent cx="5357495" cy="4257040"/>
            <wp:effectExtent l="0" t="0" r="14605" b="1016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3"/>
                    <a:stretch>
                      <a:fillRect/>
                    </a:stretch>
                  </pic:blipFill>
                  <pic:spPr>
                    <a:xfrm>
                      <a:off x="0" y="0"/>
                      <a:ext cx="5357495" cy="425704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r>
        <w:drawing>
          <wp:inline distT="0" distB="0" distL="114300" distR="114300">
            <wp:extent cx="5361305" cy="3058160"/>
            <wp:effectExtent l="0" t="0" r="10795" b="889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4"/>
                    <a:stretch>
                      <a:fillRect/>
                    </a:stretch>
                  </pic:blipFill>
                  <pic:spPr>
                    <a:xfrm>
                      <a:off x="0" y="0"/>
                      <a:ext cx="5361305" cy="305816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r>
        <w:drawing>
          <wp:inline distT="0" distB="0" distL="114300" distR="114300">
            <wp:extent cx="5355590" cy="863600"/>
            <wp:effectExtent l="0" t="0" r="16510" b="1270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5"/>
                    <a:stretch>
                      <a:fillRect/>
                    </a:stretch>
                  </pic:blipFill>
                  <pic:spPr>
                    <a:xfrm>
                      <a:off x="0" y="0"/>
                      <a:ext cx="5355590" cy="86360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r>
        <w:drawing>
          <wp:inline distT="0" distB="0" distL="114300" distR="114300">
            <wp:extent cx="5358130" cy="1610995"/>
            <wp:effectExtent l="0" t="0" r="13970" b="825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6"/>
                    <a:stretch>
                      <a:fillRect/>
                    </a:stretch>
                  </pic:blipFill>
                  <pic:spPr>
                    <a:xfrm>
                      <a:off x="0" y="0"/>
                      <a:ext cx="5358130" cy="161099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r>
        <w:drawing>
          <wp:inline distT="0" distB="0" distL="114300" distR="114300">
            <wp:extent cx="5358765" cy="2425700"/>
            <wp:effectExtent l="0" t="0" r="13335" b="1270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7"/>
                    <a:stretch>
                      <a:fillRect/>
                    </a:stretch>
                  </pic:blipFill>
                  <pic:spPr>
                    <a:xfrm>
                      <a:off x="0" y="0"/>
                      <a:ext cx="5358765" cy="242570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2021年度收入总计9148694.07元，支出总计9162680.31元，与2020年决算数相比，收入增加1096876.32元，增长14%，支出增加1082890.08元，增长11.8%。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津补贴、社会保险补助资金、项目支出增加。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9148694.07</w:t>
      </w:r>
      <w:r>
        <w:rPr>
          <w:rFonts w:hint="eastAsia" w:ascii="仿宋_GB2312" w:hAnsi="仿宋_GB2312" w:eastAsia="仿宋_GB2312" w:cs="仿宋_GB2312"/>
          <w:color w:val="000000"/>
          <w:spacing w:val="0"/>
          <w:w w:val="100"/>
          <w:position w:val="0"/>
          <w:sz w:val="32"/>
          <w:szCs w:val="32"/>
        </w:rPr>
        <w:t>元，财政拨款收入</w:t>
      </w:r>
      <w:r>
        <w:rPr>
          <w:rFonts w:hint="eastAsia" w:ascii="仿宋_GB2312" w:hAnsi="仿宋_GB2312" w:eastAsia="仿宋_GB2312" w:cs="仿宋_GB2312"/>
          <w:color w:val="000000"/>
          <w:spacing w:val="0"/>
          <w:w w:val="100"/>
          <w:position w:val="0"/>
          <w:sz w:val="32"/>
          <w:szCs w:val="32"/>
          <w:lang w:val="en-US" w:eastAsia="zh-CN"/>
        </w:rPr>
        <w:t>9148694.07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9162680.31</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bidi="en-US"/>
        </w:rPr>
        <w:t>3598899.51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39.3</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5563780.8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60.7</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9148694.07</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1139335.76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12.5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津补贴、社会保险补助资金、项目支出增加。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6388107.07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70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津补贴、社会保险补助资金、项目支出增加。</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9148694.07</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1139335.76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12.5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津补贴、社会保险补助资金、项目支出增加。</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2021年度一般公共预算财政拨款支出9148694.07元，占本年支出的100%，</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上年决算数增加</w:t>
      </w:r>
      <w:r>
        <w:rPr>
          <w:rFonts w:hint="eastAsia" w:ascii="仿宋_GB2312" w:hAnsi="仿宋_GB2312" w:eastAsia="仿宋_GB2312" w:cs="仿宋_GB2312"/>
          <w:color w:val="000000"/>
          <w:spacing w:val="0"/>
          <w:w w:val="100"/>
          <w:position w:val="0"/>
          <w:sz w:val="32"/>
          <w:szCs w:val="32"/>
          <w:lang w:val="en-US" w:eastAsia="zh-CN"/>
        </w:rPr>
        <w:t>1139335.76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12.5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津补贴、社会保险补助资金、项目支出增加。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rPr>
        <w:t>16507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0.2</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1529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工会参会人员减少</w:t>
      </w:r>
      <w:r>
        <w:rPr>
          <w:rFonts w:hint="eastAsia" w:ascii="仿宋_GB2312" w:hAnsi="仿宋_GB2312" w:eastAsia="仿宋_GB2312" w:cs="仿宋_GB2312"/>
          <w:color w:val="000000"/>
          <w:spacing w:val="0"/>
          <w:w w:val="100"/>
          <w:position w:val="0"/>
          <w:sz w:val="32"/>
          <w:szCs w:val="32"/>
          <w:lang w:val="en-US" w:eastAsia="zh-CN"/>
        </w:rPr>
        <w:t xml:space="preserve">，财政配套资金减少            </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rPr>
        <w:t>366946.88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88534.88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基本养老保险缴费基数增加，聘用临聘及公益性岗位人员。</w:t>
      </w:r>
      <w:r>
        <w:rPr>
          <w:rFonts w:hint="eastAsia" w:ascii="仿宋_GB2312" w:hAnsi="仿宋_GB2312" w:eastAsia="仿宋_GB2312" w:cs="仿宋_GB2312"/>
          <w:color w:val="000000"/>
          <w:spacing w:val="0"/>
          <w:w w:val="100"/>
          <w:position w:val="0"/>
          <w:sz w:val="32"/>
          <w:szCs w:val="32"/>
          <w:lang w:val="en-US" w:eastAsia="zh-CN"/>
        </w:rPr>
        <w:t xml:space="preserve"> </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120114.54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19189.86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津补贴增加。</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38500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0.4</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38500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发放驻村工作队人员生活补助</w:t>
      </w:r>
      <w:r>
        <w:rPr>
          <w:rFonts w:hint="eastAsia" w:ascii="仿宋_GB2312" w:hAnsi="仿宋_GB2312" w:eastAsia="仿宋_GB2312" w:cs="仿宋_GB2312"/>
          <w:color w:val="000000"/>
          <w:spacing w:val="0"/>
          <w:w w:val="100"/>
          <w:position w:val="0"/>
          <w:sz w:val="32"/>
          <w:szCs w:val="32"/>
          <w:lang w:val="en-US" w:eastAsia="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rPr>
        <w:t>交通运输支出</w:t>
      </w:r>
      <w:r>
        <w:rPr>
          <w:rFonts w:hint="eastAsia" w:ascii="仿宋_GB2312" w:hAnsi="仿宋_GB2312" w:eastAsia="仿宋_GB2312" w:cs="仿宋_GB2312"/>
          <w:color w:val="000000"/>
          <w:spacing w:val="0"/>
          <w:w w:val="100"/>
          <w:position w:val="0"/>
          <w:sz w:val="32"/>
          <w:szCs w:val="32"/>
          <w:highlight w:val="none"/>
          <w:lang w:val="en-US" w:eastAsia="zh-CN"/>
        </w:rPr>
        <w:t>8606625.65</w:t>
      </w:r>
      <w:r>
        <w:rPr>
          <w:rFonts w:hint="eastAsia" w:ascii="仿宋_GB2312" w:hAnsi="仿宋_GB2312" w:eastAsia="仿宋_GB2312" w:cs="仿宋_GB2312"/>
          <w:color w:val="000000"/>
          <w:spacing w:val="0"/>
          <w:w w:val="100"/>
          <w:position w:val="0"/>
          <w:sz w:val="32"/>
          <w:szCs w:val="32"/>
          <w:highlight w:val="none"/>
        </w:rPr>
        <w:t>元，占</w:t>
      </w:r>
      <w:r>
        <w:rPr>
          <w:rFonts w:hint="eastAsia" w:ascii="仿宋_GB2312" w:hAnsi="仿宋_GB2312" w:eastAsia="仿宋_GB2312" w:cs="仿宋_GB2312"/>
          <w:color w:val="000000"/>
          <w:spacing w:val="0"/>
          <w:w w:val="100"/>
          <w:position w:val="0"/>
          <w:sz w:val="32"/>
          <w:szCs w:val="32"/>
          <w:highlight w:val="none"/>
          <w:lang w:val="en-US" w:eastAsia="zh-CN"/>
        </w:rPr>
        <w:t>94.1</w:t>
      </w:r>
      <w:r>
        <w:rPr>
          <w:rFonts w:hint="eastAsia" w:ascii="仿宋_GB2312" w:hAnsi="仿宋_GB2312" w:eastAsia="仿宋_GB2312" w:cs="仿宋_GB2312"/>
          <w:color w:val="000000"/>
          <w:spacing w:val="0"/>
          <w:w w:val="100"/>
          <w:position w:val="0"/>
          <w:sz w:val="32"/>
          <w:szCs w:val="32"/>
          <w:highlight w:val="none"/>
        </w:rPr>
        <w:t>%,较年初预算数增加</w:t>
      </w:r>
      <w:r>
        <w:rPr>
          <w:rFonts w:hint="eastAsia" w:ascii="仿宋_GB2312" w:hAnsi="仿宋_GB2312" w:eastAsia="仿宋_GB2312" w:cs="仿宋_GB2312"/>
          <w:color w:val="000000"/>
          <w:spacing w:val="0"/>
          <w:w w:val="100"/>
          <w:position w:val="0"/>
          <w:sz w:val="32"/>
          <w:szCs w:val="32"/>
          <w:highlight w:val="none"/>
          <w:lang w:val="en-US" w:eastAsia="zh-CN"/>
        </w:rPr>
        <w:t>6147713.65</w:t>
      </w:r>
      <w:r>
        <w:rPr>
          <w:rFonts w:hint="eastAsia" w:ascii="仿宋_GB2312" w:hAnsi="仿宋_GB2312" w:eastAsia="仿宋_GB2312" w:cs="仿宋_GB2312"/>
          <w:color w:val="000000"/>
          <w:spacing w:val="0"/>
          <w:w w:val="100"/>
          <w:position w:val="0"/>
          <w:sz w:val="32"/>
          <w:szCs w:val="32"/>
          <w:highlight w:val="none"/>
        </w:rPr>
        <w:t>元，主要原因</w:t>
      </w:r>
      <w:r>
        <w:rPr>
          <w:rFonts w:hint="eastAsia" w:ascii="仿宋_GB2312" w:hAnsi="仿宋_GB2312" w:eastAsia="仿宋_GB2312" w:cs="仿宋_GB2312"/>
          <w:color w:val="000000"/>
          <w:spacing w:val="0"/>
          <w:w w:val="100"/>
          <w:position w:val="0"/>
          <w:sz w:val="32"/>
          <w:szCs w:val="32"/>
          <w:highlight w:val="none"/>
          <w:lang w:eastAsia="zh-CN"/>
        </w:rPr>
        <w:t>油价补贴项目支出增加。</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3584913.51</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2392856.42</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158648.72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人员减少，</w:t>
      </w:r>
      <w:r>
        <w:rPr>
          <w:rFonts w:hint="eastAsia" w:ascii="仿宋_GB2312" w:hAnsi="仿宋_GB2312" w:eastAsia="仿宋_GB2312" w:cs="仿宋_GB2312"/>
          <w:color w:val="000000"/>
          <w:spacing w:val="0"/>
          <w:w w:val="100"/>
          <w:position w:val="0"/>
          <w:sz w:val="32"/>
          <w:szCs w:val="32"/>
        </w:rPr>
        <w:t>人员经费用途主要包括</w:t>
      </w:r>
      <w:r>
        <w:rPr>
          <w:rFonts w:hint="eastAsia" w:ascii="仿宋_GB2312" w:hAnsi="仿宋_GB2312" w:eastAsia="仿宋_GB2312" w:cs="仿宋_GB2312"/>
          <w:color w:val="000000"/>
          <w:spacing w:val="0"/>
          <w:w w:val="100"/>
          <w:position w:val="0"/>
          <w:sz w:val="32"/>
          <w:szCs w:val="32"/>
          <w:lang w:eastAsia="zh-CN"/>
        </w:rPr>
        <w:t>基本工资</w:t>
      </w:r>
      <w:r>
        <w:rPr>
          <w:rFonts w:hint="eastAsia" w:ascii="仿宋_GB2312" w:hAnsi="仿宋_GB2312" w:eastAsia="仿宋_GB2312" w:cs="仿宋_GB2312"/>
          <w:color w:val="000000"/>
          <w:spacing w:val="0"/>
          <w:w w:val="100"/>
          <w:position w:val="0"/>
          <w:sz w:val="32"/>
          <w:szCs w:val="32"/>
          <w:lang w:val="en-US" w:eastAsia="zh-CN"/>
        </w:rPr>
        <w:t>1143477元、津贴补贴676822元、奖金81496元、养老保险358946.88元，职工医疗保险120114.54元、对个人和家庭的补助12000元、退休费4000元、生活补助8000元</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1192056.85</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645092.88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eastAsia="zh-CN"/>
        </w:rPr>
        <w:t>工作人员下乡差旅费增加、建制村通客车经费支出、公益性岗位及临聘人员劳务报酬增加。</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办公费</w:t>
      </w:r>
      <w:r>
        <w:rPr>
          <w:rFonts w:hint="eastAsia" w:ascii="仿宋_GB2312" w:hAnsi="仿宋_GB2312" w:eastAsia="仿宋_GB2312" w:cs="仿宋_GB2312"/>
          <w:color w:val="000000"/>
          <w:spacing w:val="0"/>
          <w:w w:val="100"/>
          <w:position w:val="0"/>
          <w:sz w:val="32"/>
          <w:szCs w:val="32"/>
          <w:lang w:val="en-US" w:eastAsia="zh-CN"/>
        </w:rPr>
        <w:t>207980.29元、印刷费47460元、咨询费4000元、手续费5420元、水费6500元、电费61000元、邮电费10280元、差旅费146778元、维修（护）费291263.56元、租赁费37520元、劳务费143043元、委托业务费56422元、工会经费16507元、公务用车运行维护费70000元、其他交通费用87883元</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70000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70000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元，主要原因是主要原因是</w:t>
      </w:r>
      <w:r>
        <w:rPr>
          <w:rFonts w:hint="eastAsia" w:ascii="仿宋_GB2312" w:hAnsi="仿宋_GB2312" w:eastAsia="仿宋_GB2312" w:cs="仿宋_GB2312"/>
          <w:color w:val="000000"/>
          <w:spacing w:val="0"/>
          <w:w w:val="100"/>
          <w:position w:val="0"/>
          <w:sz w:val="32"/>
          <w:szCs w:val="32"/>
          <w:lang w:eastAsia="zh-CN"/>
        </w:rPr>
        <w:t>执法人员卡点执勤人数增加、执法装备购买。</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42400.31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执法人员卡点执勤人数增加、执法装备购买。</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70000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70000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较</w:t>
      </w:r>
      <w:r>
        <w:rPr>
          <w:rFonts w:hint="eastAsia" w:ascii="仿宋_GB2312" w:hAnsi="仿宋_GB2312" w:eastAsia="仿宋_GB2312" w:cs="仿宋_GB2312"/>
          <w:color w:val="000000"/>
          <w:spacing w:val="0"/>
          <w:w w:val="100"/>
          <w:position w:val="0"/>
          <w:sz w:val="32"/>
          <w:szCs w:val="32"/>
        </w:rPr>
        <w:t>上年支出数增加</w:t>
      </w:r>
      <w:r>
        <w:rPr>
          <w:rFonts w:hint="eastAsia" w:ascii="仿宋_GB2312" w:hAnsi="仿宋_GB2312" w:eastAsia="仿宋_GB2312" w:cs="仿宋_GB2312"/>
          <w:color w:val="000000"/>
          <w:spacing w:val="0"/>
          <w:w w:val="100"/>
          <w:position w:val="0"/>
          <w:sz w:val="32"/>
          <w:szCs w:val="32"/>
          <w:lang w:val="en-US" w:eastAsia="zh-CN"/>
        </w:rPr>
        <w:t>42400.31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执法人员卡点执勤人数增加、执法装备购买。</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公务用车运行维护费年初预算数年初预算数为</w:t>
      </w:r>
      <w:r>
        <w:rPr>
          <w:rFonts w:hint="eastAsia" w:ascii="仿宋_GB2312" w:hAnsi="仿宋_GB2312" w:eastAsia="仿宋_GB2312" w:cs="仿宋_GB2312"/>
          <w:color w:val="000000"/>
          <w:spacing w:val="0"/>
          <w:w w:val="100"/>
          <w:position w:val="0"/>
          <w:sz w:val="32"/>
          <w:szCs w:val="32"/>
          <w:lang w:val="en-US" w:eastAsia="zh-CN"/>
        </w:rPr>
        <w:t>70000</w:t>
      </w:r>
      <w:r>
        <w:rPr>
          <w:rFonts w:hint="eastAsia" w:ascii="仿宋_GB2312" w:hAnsi="仿宋_GB2312" w:eastAsia="仿宋_GB2312" w:cs="仿宋_GB2312"/>
          <w:color w:val="000000"/>
          <w:spacing w:val="0"/>
          <w:w w:val="100"/>
          <w:position w:val="0"/>
          <w:sz w:val="32"/>
          <w:szCs w:val="32"/>
          <w:lang w:eastAsia="zh-CN"/>
        </w:rPr>
        <w:t>元，支出决算数为</w:t>
      </w:r>
      <w:r>
        <w:rPr>
          <w:rFonts w:hint="eastAsia" w:ascii="仿宋_GB2312" w:hAnsi="仿宋_GB2312" w:eastAsia="仿宋_GB2312" w:cs="仿宋_GB2312"/>
          <w:color w:val="000000"/>
          <w:spacing w:val="0"/>
          <w:w w:val="100"/>
          <w:position w:val="0"/>
          <w:sz w:val="32"/>
          <w:szCs w:val="32"/>
          <w:lang w:val="en-US" w:eastAsia="zh-CN"/>
        </w:rPr>
        <w:t>70000</w:t>
      </w:r>
      <w:r>
        <w:rPr>
          <w:rFonts w:hint="eastAsia" w:ascii="仿宋_GB2312" w:hAnsi="仿宋_GB2312" w:eastAsia="仿宋_GB2312" w:cs="仿宋_GB2312"/>
          <w:color w:val="000000"/>
          <w:spacing w:val="0"/>
          <w:w w:val="100"/>
          <w:position w:val="0"/>
          <w:sz w:val="32"/>
          <w:szCs w:val="32"/>
          <w:lang w:eastAsia="zh-CN"/>
        </w:rPr>
        <w:t>元,主要用于所需车辆的燃料费、维修费、过桥过路费、保险费等，费用支出较上年支出数增加</w:t>
      </w:r>
      <w:r>
        <w:rPr>
          <w:rFonts w:hint="eastAsia" w:ascii="仿宋_GB2312" w:hAnsi="仿宋_GB2312" w:eastAsia="仿宋_GB2312" w:cs="仿宋_GB2312"/>
          <w:color w:val="000000"/>
          <w:spacing w:val="0"/>
          <w:w w:val="100"/>
          <w:position w:val="0"/>
          <w:sz w:val="32"/>
          <w:szCs w:val="32"/>
          <w:lang w:val="en-US" w:eastAsia="zh-CN"/>
        </w:rPr>
        <w:t>42400.31</w:t>
      </w:r>
      <w:r>
        <w:rPr>
          <w:rFonts w:hint="eastAsia" w:ascii="仿宋_GB2312" w:hAnsi="仿宋_GB2312" w:eastAsia="仿宋_GB2312" w:cs="仿宋_GB2312"/>
          <w:color w:val="000000"/>
          <w:spacing w:val="0"/>
          <w:w w:val="100"/>
          <w:position w:val="0"/>
          <w:sz w:val="32"/>
          <w:szCs w:val="32"/>
          <w:lang w:eastAsia="zh-CN"/>
        </w:rPr>
        <w:t>元，主要原因是执法次数频繁，车辆的燃料费上涨、维修费、过桥过路费、保险费等。</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645092.88</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lang w:eastAsia="zh-CN"/>
        </w:rPr>
        <w:t>办公费</w:t>
      </w:r>
      <w:r>
        <w:rPr>
          <w:rFonts w:hint="eastAsia" w:ascii="仿宋_GB2312" w:hAnsi="仿宋_GB2312" w:eastAsia="仿宋_GB2312" w:cs="仿宋_GB2312"/>
          <w:color w:val="000000"/>
          <w:spacing w:val="0"/>
          <w:w w:val="100"/>
          <w:position w:val="0"/>
          <w:sz w:val="32"/>
          <w:szCs w:val="32"/>
          <w:lang w:val="en-US" w:eastAsia="zh-CN"/>
        </w:rPr>
        <w:t>207980.29元、印刷费47460元、咨询费4000元、手续费5420元、水费6500元、电费61000元、邮电费10280元、差旅费146778元、维修（护）费291263.56元、租赁费37520元、劳务费143043元、委托业务费56422元、工会经费16507元、公务用车运行维护费70000元、其他交通费用87883元</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rPr>
        <w:t>97918.95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eastAsia="zh-CN"/>
        </w:rPr>
        <w:t>稽查执法人员较去年增多，执法次数频繁，下乡差旅费增加、建制村通客车经费支出、公益性岗位及临聘人员劳务报酬增加。</w:t>
      </w:r>
      <w:bookmarkStart w:id="19" w:name="_GoBack"/>
      <w:bookmarkEnd w:id="19"/>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年本部门政府采购支出合计</w:t>
      </w:r>
      <w:r>
        <w:rPr>
          <w:rFonts w:hint="eastAsia" w:ascii="仿宋_GB2312" w:hAnsi="仿宋_GB2312" w:eastAsia="仿宋_GB2312" w:cs="仿宋_GB2312"/>
          <w:color w:val="auto"/>
          <w:spacing w:val="0"/>
          <w:w w:val="100"/>
          <w:position w:val="0"/>
          <w:sz w:val="32"/>
          <w:szCs w:val="32"/>
          <w:lang w:val="en-US" w:eastAsia="zh-CN" w:bidi="en-US"/>
        </w:rPr>
        <w:t>31980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auto"/>
          <w:spacing w:val="0"/>
          <w:w w:val="100"/>
          <w:position w:val="0"/>
          <w:sz w:val="32"/>
          <w:szCs w:val="32"/>
          <w:lang w:val="en-US" w:eastAsia="zh-CN" w:bidi="en-US"/>
        </w:rPr>
        <w:t>31980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根据《临夏州州级预算绩效管理办法》，我部门</w:t>
      </w:r>
      <w:r>
        <w:rPr>
          <w:rFonts w:hint="eastAsia" w:ascii="仿宋_GB2312" w:hAnsi="仿宋_GB2312" w:eastAsia="仿宋_GB2312" w:cs="仿宋_GB2312"/>
          <w:color w:val="000000"/>
          <w:spacing w:val="0"/>
          <w:w w:val="100"/>
          <w:position w:val="0"/>
          <w:sz w:val="32"/>
          <w:szCs w:val="32"/>
          <w:lang w:eastAsia="zh-CN"/>
        </w:rPr>
        <w:t>（我单位）组织实施了</w:t>
      </w:r>
      <w:r>
        <w:rPr>
          <w:rFonts w:hint="eastAsia" w:ascii="仿宋_GB2312" w:hAnsi="仿宋_GB2312" w:eastAsia="仿宋_GB2312" w:cs="仿宋_GB2312"/>
          <w:color w:val="000000"/>
          <w:spacing w:val="0"/>
          <w:w w:val="100"/>
          <w:position w:val="0"/>
          <w:sz w:val="32"/>
          <w:szCs w:val="32"/>
          <w:lang w:val="en-US" w:eastAsia="zh-CN"/>
        </w:rPr>
        <w:t>2021年度预算绩效评价工作，共涉及资金0元。</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bookmarkStart w:id="18" w:name="bookmark33"/>
      <w:r>
        <w:rPr>
          <w:rFonts w:hint="eastAsia" w:ascii="仿宋_GB2312" w:hAnsi="仿宋_GB2312" w:eastAsia="仿宋_GB2312" w:cs="仿宋_GB2312"/>
          <w:color w:val="000000"/>
          <w:spacing w:val="0"/>
          <w:w w:val="100"/>
          <w:position w:val="0"/>
          <w:sz w:val="32"/>
          <w:szCs w:val="32"/>
          <w:lang w:val="en-US" w:eastAsia="zh-CN"/>
        </w:rPr>
        <w:t>1.项目目的：成品油价格改革财政补贴资金统筹用于公共交通发展、新能源汽车推广、农村道路客运发展等方面，推动农村道路客运、出租车行业节能减排和结构调整，促进农村道路客运、出租车、公交车等行业高质量发展。</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2.项目依据：根据甘肃省财政厅《关于下达2020年成品油价格改革财政补贴暂扣部分资金的通知》（甘财建【2020】315号）；《甘肃省交通运输厅、甘肃省财政厅关于统筹我省农村客运出租车等行业成品油价格补贴退坡资金支持建制村通客车的通知》（甘交运【2020】15号）</w:t>
      </w:r>
      <w:r>
        <w:rPr>
          <w:rFonts w:hint="eastAsia" w:ascii="仿宋_GB2312" w:hAnsi="仿宋_GB2312" w:eastAsia="仿宋_GB2312" w:cs="仿宋_GB2312"/>
          <w:color w:val="000000"/>
          <w:spacing w:val="0"/>
          <w:w w:val="100"/>
          <w:position w:val="0"/>
          <w:sz w:val="32"/>
          <w:szCs w:val="32"/>
          <w:lang w:eastAsia="zh-CN"/>
        </w:rPr>
        <w:t>等设立。</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3.项目实施：根据省州县、交通部门严格规范油价补贴资金的发放程序，制定资金分配方案，切实加强资金管理，及时足额兑付补助资金，提高财政资金使用效益。2020年度农村客运出租车成品油价格改革财政补贴资金</w:t>
      </w:r>
      <w:r>
        <w:rPr>
          <w:rFonts w:hint="eastAsia" w:ascii="仿宋_GB2312" w:hAnsi="仿宋_GB2312" w:eastAsia="仿宋_GB2312" w:cs="仿宋_GB2312"/>
          <w:color w:val="000000"/>
          <w:spacing w:val="0"/>
          <w:w w:val="100"/>
          <w:position w:val="0"/>
          <w:sz w:val="32"/>
          <w:szCs w:val="32"/>
        </w:rPr>
        <w:t>共涉及资金5563780.8元。具体情况：</w:t>
      </w:r>
      <w:r>
        <w:rPr>
          <w:rFonts w:hint="eastAsia" w:ascii="仿宋_GB2312" w:hAnsi="仿宋_GB2312" w:eastAsia="仿宋_GB2312" w:cs="仿宋_GB2312"/>
          <w:color w:val="000000"/>
          <w:spacing w:val="0"/>
          <w:w w:val="100"/>
          <w:position w:val="0"/>
          <w:sz w:val="32"/>
          <w:szCs w:val="32"/>
          <w:lang w:val="en-US" w:eastAsia="zh-CN"/>
        </w:rPr>
        <w:t>城乡公交补贴76500元，已全额发放到公交企业；农村客运补贴5289181.2元，出租车补贴198099.65元，资金也已全部发放到位。</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4.项目绩效：有效降低了企业成本，提升了基本公共服务水平，维护农村道路客运和出租车行业稳定，在可持续影响方面，项目适应未来一定时期内交通运输服务需求，促进按计划完成2020年度成品油价格改革财政补贴资金分配工作，发挥资金效益。</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AE54EE-D543-4D07-8A89-82900709BEF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embedRegular r:id="rId2" w:fontKey="{CF3A9254-DC5C-4B4E-A462-51810C010412}"/>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29C3AD8B-F3CC-4032-8071-A10176F9A78D}"/>
  </w:font>
  <w:font w:name="方正小标宋简体">
    <w:panose1 w:val="02000000000000000000"/>
    <w:charset w:val="86"/>
    <w:family w:val="auto"/>
    <w:pitch w:val="default"/>
    <w:sig w:usb0="00000001" w:usb1="08000000" w:usb2="00000000" w:usb3="00000000" w:csb0="00040000" w:csb1="00000000"/>
    <w:embedRegular r:id="rId4" w:fontKey="{B7A4F190-8FEF-4740-8E5C-92C805F00B75}"/>
  </w:font>
  <w:font w:name="楷体_GB2312">
    <w:altName w:val="楷体"/>
    <w:panose1 w:val="02010609030101010101"/>
    <w:charset w:val="86"/>
    <w:family w:val="auto"/>
    <w:pitch w:val="default"/>
    <w:sig w:usb0="00000000" w:usb1="00000000" w:usb2="00000000" w:usb3="00000000" w:csb0="00040000" w:csb1="00000000"/>
    <w:embedRegular r:id="rId5" w:fontKey="{540B97C8-EDED-490D-873B-2D6F093DC37D}"/>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WIwMTBhNmU4MDUwODYwNDkwZWM2M2Y4YzRlN2UxODUifQ=="/>
  </w:docVars>
  <w:rsids>
    <w:rsidRoot w:val="00000000"/>
    <w:rsid w:val="006403C6"/>
    <w:rsid w:val="019C7F9F"/>
    <w:rsid w:val="020D5853"/>
    <w:rsid w:val="038E3E66"/>
    <w:rsid w:val="03BE0A83"/>
    <w:rsid w:val="045B792D"/>
    <w:rsid w:val="0511788F"/>
    <w:rsid w:val="05A01219"/>
    <w:rsid w:val="06422A77"/>
    <w:rsid w:val="06AA1511"/>
    <w:rsid w:val="094E5A0C"/>
    <w:rsid w:val="09F0408A"/>
    <w:rsid w:val="0A4C6688"/>
    <w:rsid w:val="0C72576D"/>
    <w:rsid w:val="0DE7680D"/>
    <w:rsid w:val="0E8F2773"/>
    <w:rsid w:val="0EE05F1B"/>
    <w:rsid w:val="13482EF0"/>
    <w:rsid w:val="13880B53"/>
    <w:rsid w:val="14244B0D"/>
    <w:rsid w:val="1739327C"/>
    <w:rsid w:val="17446F27"/>
    <w:rsid w:val="17C35302"/>
    <w:rsid w:val="18DA0A8E"/>
    <w:rsid w:val="19736D1B"/>
    <w:rsid w:val="19BA4320"/>
    <w:rsid w:val="1A7E3C31"/>
    <w:rsid w:val="1B205130"/>
    <w:rsid w:val="1CF07F2B"/>
    <w:rsid w:val="1CFD6218"/>
    <w:rsid w:val="1E712589"/>
    <w:rsid w:val="1F523B54"/>
    <w:rsid w:val="22C65F1B"/>
    <w:rsid w:val="244450E9"/>
    <w:rsid w:val="25414148"/>
    <w:rsid w:val="25FD0C5D"/>
    <w:rsid w:val="27F356C9"/>
    <w:rsid w:val="29C05E6C"/>
    <w:rsid w:val="2A81520E"/>
    <w:rsid w:val="2C6941AB"/>
    <w:rsid w:val="2E6D7F83"/>
    <w:rsid w:val="2F990904"/>
    <w:rsid w:val="31CA697A"/>
    <w:rsid w:val="334301D8"/>
    <w:rsid w:val="37675B7A"/>
    <w:rsid w:val="3870436D"/>
    <w:rsid w:val="39C46EC5"/>
    <w:rsid w:val="39F46F0A"/>
    <w:rsid w:val="3ABD5DEE"/>
    <w:rsid w:val="3ADC46EA"/>
    <w:rsid w:val="3BD710AD"/>
    <w:rsid w:val="3BF07775"/>
    <w:rsid w:val="3DF84F5D"/>
    <w:rsid w:val="3E742C68"/>
    <w:rsid w:val="3FF43304"/>
    <w:rsid w:val="41354204"/>
    <w:rsid w:val="41670196"/>
    <w:rsid w:val="417D62DF"/>
    <w:rsid w:val="41EF076E"/>
    <w:rsid w:val="42463097"/>
    <w:rsid w:val="4273071F"/>
    <w:rsid w:val="42736B67"/>
    <w:rsid w:val="43D07B0F"/>
    <w:rsid w:val="43D445BB"/>
    <w:rsid w:val="466C691A"/>
    <w:rsid w:val="4A8119DE"/>
    <w:rsid w:val="4A8F0E29"/>
    <w:rsid w:val="4B60103E"/>
    <w:rsid w:val="4F1428B3"/>
    <w:rsid w:val="4F341D9E"/>
    <w:rsid w:val="4F3A20BD"/>
    <w:rsid w:val="537062B7"/>
    <w:rsid w:val="547A66A6"/>
    <w:rsid w:val="573B564B"/>
    <w:rsid w:val="57D535F7"/>
    <w:rsid w:val="58806626"/>
    <w:rsid w:val="59744640"/>
    <w:rsid w:val="59EF71EF"/>
    <w:rsid w:val="5ACC12DE"/>
    <w:rsid w:val="5CE27937"/>
    <w:rsid w:val="5FA80CBC"/>
    <w:rsid w:val="5FBF4AD2"/>
    <w:rsid w:val="60D720E0"/>
    <w:rsid w:val="623800EA"/>
    <w:rsid w:val="628A03FC"/>
    <w:rsid w:val="62922058"/>
    <w:rsid w:val="62C51434"/>
    <w:rsid w:val="64D1357B"/>
    <w:rsid w:val="67C95523"/>
    <w:rsid w:val="6B1524E9"/>
    <w:rsid w:val="6C496C32"/>
    <w:rsid w:val="6E1A0886"/>
    <w:rsid w:val="6E2031E0"/>
    <w:rsid w:val="6F345978"/>
    <w:rsid w:val="6F962FBC"/>
    <w:rsid w:val="720E4E8D"/>
    <w:rsid w:val="726D3C91"/>
    <w:rsid w:val="745D61E5"/>
    <w:rsid w:val="76027A38"/>
    <w:rsid w:val="764B64B4"/>
    <w:rsid w:val="774E59F4"/>
    <w:rsid w:val="78060380"/>
    <w:rsid w:val="782A0722"/>
    <w:rsid w:val="785A5C57"/>
    <w:rsid w:val="794C38BE"/>
    <w:rsid w:val="796375CD"/>
    <w:rsid w:val="79F521A7"/>
    <w:rsid w:val="7BC0508A"/>
    <w:rsid w:val="7BE97AEA"/>
    <w:rsid w:val="7C584EE5"/>
    <w:rsid w:val="7CF44998"/>
    <w:rsid w:val="7CFB1F56"/>
    <w:rsid w:val="7D7635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5417</Words>
  <Characters>6106</Characters>
  <TotalTime>262</TotalTime>
  <ScaleCrop>false</ScaleCrop>
  <LinksUpToDate>false</LinksUpToDate>
  <CharactersWithSpaces>6194</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2022-09-21T08:54:12Z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