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高山学区</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实施小学义务教育，促进基础教育发展，小学学历教育</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学区由</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所中心小学，</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所村小，其中</w:t>
      </w:r>
      <w:r>
        <w:rPr>
          <w:rFonts w:hint="eastAsia" w:ascii="仿宋_GB2312" w:hAnsi="仿宋_GB2312" w:eastAsia="仿宋_GB2312" w:cs="仿宋_GB2312"/>
          <w:color w:val="000000"/>
          <w:spacing w:val="0"/>
          <w:w w:val="100"/>
          <w:position w:val="0"/>
          <w:sz w:val="32"/>
          <w:szCs w:val="32"/>
          <w:lang w:val="en-US" w:eastAsia="zh-CN"/>
        </w:rPr>
        <w:t>2所完全小学，为岔巴学校、洒勒小学、1所教学点，为布楞沟小学</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所幼儿园，</w:t>
      </w:r>
      <w:r>
        <w:rPr>
          <w:rFonts w:hint="eastAsia" w:ascii="仿宋_GB2312" w:hAnsi="仿宋_GB2312" w:eastAsia="仿宋_GB2312" w:cs="仿宋_GB2312"/>
          <w:color w:val="000000"/>
          <w:spacing w:val="0"/>
          <w:w w:val="100"/>
          <w:position w:val="0"/>
          <w:sz w:val="32"/>
          <w:szCs w:val="32"/>
          <w:lang w:eastAsia="zh-CN"/>
        </w:rPr>
        <w:t>高山幼儿园、岔巴幼儿园、洒勒幼儿园、布楞沟幼儿园，</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rPr>
        <w:t>8</w:t>
      </w:r>
      <w:r>
        <w:rPr>
          <w:rFonts w:hint="eastAsia" w:ascii="仿宋_GB2312" w:hAnsi="仿宋_GB2312" w:eastAsia="仿宋_GB2312" w:cs="仿宋_GB2312"/>
          <w:color w:val="000000"/>
          <w:spacing w:val="0"/>
          <w:w w:val="100"/>
          <w:position w:val="0"/>
          <w:sz w:val="32"/>
          <w:szCs w:val="32"/>
        </w:rPr>
        <w:t>个机构。</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w:t>
      </w:r>
      <w:r>
        <w:rPr>
          <w:rFonts w:hint="eastAsia" w:ascii="黑体" w:hAnsi="黑体" w:eastAsia="黑体" w:cs="黑体"/>
          <w:b/>
          <w:bCs/>
          <w:i w:val="0"/>
          <w:iCs w:val="0"/>
          <w:smallCaps w:val="0"/>
          <w:strike w:val="0"/>
          <w:color w:val="000000"/>
          <w:spacing w:val="0"/>
          <w:w w:val="100"/>
          <w:position w:val="0"/>
          <w:sz w:val="32"/>
          <w:szCs w:val="32"/>
        </w:rPr>
        <w:t>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度收入总计6,300,252.05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，支出总计6,307,162.61</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。与</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lang w:val="zh-TW" w:eastAsia="zh-TW"/>
        </w:rPr>
        <w:t>年决算数相比，收入</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251927.53</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0.4</w:t>
      </w:r>
      <w:r>
        <w:rPr>
          <w:rFonts w:hint="eastAsia" w:ascii="仿宋_GB2312" w:hAnsi="仿宋_GB2312" w:eastAsia="仿宋_GB2312" w:cs="仿宋_GB2312"/>
          <w:color w:val="000000"/>
          <w:spacing w:val="0"/>
          <w:w w:val="100"/>
          <w:position w:val="0"/>
          <w:sz w:val="32"/>
          <w:szCs w:val="32"/>
          <w:lang w:val="zh-TW" w:eastAsia="zh-TW"/>
        </w:rPr>
        <w:t>%，支出</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240478.25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w:t>
      </w:r>
      <w:r>
        <w:rPr>
          <w:rFonts w:hint="eastAsia" w:ascii="仿宋_GB2312" w:hAnsi="仿宋_GB2312" w:eastAsia="仿宋_GB2312" w:cs="仿宋_GB2312"/>
          <w:color w:val="000000"/>
          <w:spacing w:val="0"/>
          <w:w w:val="100"/>
          <w:position w:val="0"/>
          <w:sz w:val="32"/>
          <w:szCs w:val="32"/>
          <w:lang w:val="zh-TW" w:eastAsia="zh-CN"/>
        </w:rPr>
        <w:t>增加</w:t>
      </w:r>
      <w:r>
        <w:rPr>
          <w:rFonts w:hint="eastAsia" w:ascii="仿宋_GB2312" w:hAnsi="仿宋_GB2312" w:eastAsia="仿宋_GB2312" w:cs="仿宋_GB2312"/>
          <w:color w:val="000000"/>
          <w:spacing w:val="0"/>
          <w:w w:val="100"/>
          <w:position w:val="0"/>
          <w:sz w:val="32"/>
          <w:szCs w:val="32"/>
          <w:lang w:val="en-US" w:eastAsia="zh-CN"/>
        </w:rPr>
        <w:t>0.4</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度收入合计6,300,252.05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，其中：财政拨款收入6,299,252.05</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，占</w:t>
      </w:r>
      <w:r>
        <w:rPr>
          <w:rFonts w:hint="eastAsia" w:ascii="仿宋_GB2312" w:hAnsi="仿宋_GB2312" w:eastAsia="仿宋_GB2312" w:cs="仿宋_GB2312"/>
          <w:color w:val="000000"/>
          <w:spacing w:val="0"/>
          <w:w w:val="100"/>
          <w:position w:val="0"/>
          <w:sz w:val="32"/>
          <w:szCs w:val="32"/>
          <w:lang w:val="en-US" w:eastAsia="zh-CN"/>
        </w:rPr>
        <w:t>99.99</w:t>
      </w:r>
      <w:r>
        <w:rPr>
          <w:rFonts w:hint="eastAsia" w:ascii="仿宋_GB2312" w:hAnsi="仿宋_GB2312" w:eastAsia="仿宋_GB2312" w:cs="仿宋_GB2312"/>
          <w:color w:val="000000"/>
          <w:spacing w:val="0"/>
          <w:w w:val="100"/>
          <w:position w:val="0"/>
          <w:sz w:val="32"/>
          <w:szCs w:val="32"/>
          <w:lang w:val="zh-TW" w:eastAsia="zh-TW"/>
        </w:rPr>
        <w:t>%；其他收入</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度支出合计6,307,162.61</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，其中：基本支出6,307,162.61</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本部门</w:t>
      </w:r>
      <w:r>
        <w:rPr>
          <w:rFonts w:hint="eastAsia" w:ascii="仿宋_GB2312" w:hAnsi="仿宋_GB2312" w:eastAsia="仿宋_GB2312" w:cs="仿宋_GB2312"/>
          <w:color w:val="000000"/>
          <w:spacing w:val="0"/>
          <w:w w:val="100"/>
          <w:position w:val="0"/>
          <w:sz w:val="32"/>
          <w:szCs w:val="32"/>
          <w:lang w:val="zh-TW" w:eastAsia="zh-CN"/>
        </w:rPr>
        <w:t>20</w:t>
      </w:r>
      <w:r>
        <w:rPr>
          <w:rFonts w:hint="eastAsia" w:ascii="仿宋_GB2312" w:hAnsi="仿宋_GB2312" w:eastAsia="仿宋_GB2312" w:cs="仿宋_GB2312"/>
          <w:color w:val="000000"/>
          <w:spacing w:val="0"/>
          <w:w w:val="100"/>
          <w:position w:val="0"/>
          <w:sz w:val="32"/>
          <w:szCs w:val="32"/>
          <w:lang w:val="en-US" w:eastAsia="zh-CN"/>
        </w:rPr>
        <w:t>21</w:t>
      </w:r>
      <w:r>
        <w:rPr>
          <w:rFonts w:hint="eastAsia" w:ascii="仿宋_GB2312" w:hAnsi="仿宋_GB2312" w:eastAsia="仿宋_GB2312" w:cs="仿宋_GB2312"/>
          <w:color w:val="000000"/>
          <w:spacing w:val="0"/>
          <w:w w:val="100"/>
          <w:position w:val="0"/>
          <w:sz w:val="32"/>
          <w:szCs w:val="32"/>
          <w:lang w:val="zh-TW" w:eastAsia="zh-CN"/>
        </w:rPr>
        <w:t>年</w:t>
      </w:r>
      <w:r>
        <w:rPr>
          <w:rFonts w:hint="eastAsia" w:ascii="仿宋_GB2312" w:hAnsi="仿宋_GB2312" w:eastAsia="仿宋_GB2312" w:cs="仿宋_GB2312"/>
          <w:color w:val="000000"/>
          <w:spacing w:val="0"/>
          <w:w w:val="100"/>
          <w:position w:val="0"/>
          <w:sz w:val="32"/>
          <w:szCs w:val="32"/>
          <w:lang w:val="zh-TW" w:eastAsia="zh-TW"/>
        </w:rPr>
        <w:t>度年末结转和结余</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，较上年</w:t>
      </w:r>
      <w:r>
        <w:rPr>
          <w:rFonts w:hint="eastAsia" w:ascii="仿宋_GB2312" w:hAnsi="仿宋_GB2312" w:eastAsia="仿宋_GB2312" w:cs="仿宋_GB2312"/>
          <w:color w:val="000000"/>
          <w:spacing w:val="0"/>
          <w:w w:val="100"/>
          <w:position w:val="0"/>
          <w:sz w:val="32"/>
          <w:szCs w:val="32"/>
          <w:lang w:val="zh-TW" w:eastAsia="zh-CN"/>
        </w:rPr>
        <w:t>减少</w:t>
      </w:r>
      <w:r>
        <w:rPr>
          <w:rFonts w:hint="eastAsia" w:ascii="仿宋_GB2312" w:hAnsi="仿宋_GB2312" w:eastAsia="仿宋_GB2312" w:cs="仿宋_GB2312"/>
          <w:color w:val="000000"/>
          <w:spacing w:val="0"/>
          <w:w w:val="100"/>
          <w:position w:val="0"/>
          <w:sz w:val="32"/>
          <w:szCs w:val="32"/>
          <w:lang w:val="en-US" w:eastAsia="zh-CN"/>
        </w:rPr>
        <w:t>6910.56</w:t>
      </w:r>
      <w:r>
        <w:rPr>
          <w:rFonts w:hint="eastAsia" w:ascii="仿宋_GB2312" w:hAnsi="仿宋_GB2312" w:eastAsia="仿宋_GB2312" w:cs="仿宋_GB2312"/>
          <w:color w:val="000000"/>
          <w:spacing w:val="0"/>
          <w:w w:val="100"/>
          <w:position w:val="0"/>
          <w:sz w:val="32"/>
          <w:szCs w:val="32"/>
          <w:lang w:val="zh-TW" w:eastAsia="zh-CN"/>
        </w:rPr>
        <w:t>元</w:t>
      </w:r>
      <w:r>
        <w:rPr>
          <w:rFonts w:hint="eastAsia" w:ascii="仿宋_GB2312" w:hAnsi="仿宋_GB2312" w:eastAsia="仿宋_GB2312" w:cs="仿宋_GB2312"/>
          <w:color w:val="000000"/>
          <w:spacing w:val="0"/>
          <w:w w:val="100"/>
          <w:position w:val="0"/>
          <w:sz w:val="32"/>
          <w:szCs w:val="32"/>
          <w:lang w:val="zh-TW" w:eastAsia="zh-TW"/>
        </w:rPr>
        <w:t>，主要原因是</w:t>
      </w:r>
      <w:r>
        <w:rPr>
          <w:rFonts w:hint="eastAsia" w:ascii="仿宋_GB2312" w:hAnsi="仿宋_GB2312" w:eastAsia="仿宋_GB2312" w:cs="仿宋_GB2312"/>
          <w:color w:val="000000"/>
          <w:spacing w:val="0"/>
          <w:w w:val="100"/>
          <w:position w:val="0"/>
          <w:sz w:val="32"/>
          <w:szCs w:val="32"/>
          <w:lang w:val="en-US" w:eastAsia="zh-CN"/>
        </w:rPr>
        <w:t>2021年末未及时支出各项经费</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hAnsi="仿宋_GB2312" w:eastAsia="仿宋_GB2312" w:cs="仿宋_GB2312"/>
          <w:color w:val="000000"/>
          <w:spacing w:val="0"/>
          <w:w w:val="100"/>
          <w:position w:val="0"/>
          <w:sz w:val="32"/>
          <w:szCs w:val="32"/>
          <w:lang w:val="zh-TW" w:eastAsia="zh-TW"/>
        </w:rPr>
        <w:t>6,300,252.05</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元，与2020年决算数相比，收入增加251927.53</w:t>
      </w:r>
      <w:r>
        <w:rPr>
          <w:rFonts w:hint="eastAsia" w:ascii="仿宋_GB2312" w:hAnsi="仿宋_GB2312" w:eastAsia="仿宋_GB2312" w:cs="仿宋_GB2312"/>
          <w:color w:val="000000"/>
          <w:spacing w:val="0"/>
          <w:w w:val="100"/>
          <w:position w:val="0"/>
          <w:sz w:val="32"/>
          <w:szCs w:val="32"/>
          <w:lang w:val="en-US" w:eastAsia="zh-CN"/>
        </w:rPr>
        <w:t>元，增长0.4%，支出增加240478.25</w:t>
      </w:r>
      <w:r>
        <w:rPr>
          <w:rFonts w:hint="eastAsia" w:ascii="仿宋_GB2312" w:hAnsi="仿宋_GB2312" w:eastAsia="仿宋_GB2312" w:cs="仿宋_GB2312"/>
          <w:color w:val="000000"/>
          <w:spacing w:val="0"/>
          <w:w w:val="100"/>
          <w:position w:val="0"/>
          <w:sz w:val="32"/>
          <w:szCs w:val="32"/>
          <w:lang w:val="en-US" w:eastAsia="zh-CN"/>
        </w:rPr>
        <w:t>元，增长0.4%。主要原因是</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720" w:leftChars="0" w:right="0" w:rightChars="0"/>
        <w:jc w:val="left"/>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en-US" w:eastAsia="zh-CN"/>
        </w:rPr>
        <w:t>本部门2021年度财政拨款收入6,299,252.05元，较上年决算数增加250927.53元，增加0.4%。</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本部门2021年度财政拨款支出</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元，较上年决算数增加240478.25，增加0.4%。主要原因是</w:t>
      </w:r>
      <w:r>
        <w:rPr>
          <w:rFonts w:hint="eastAsia" w:ascii="仿宋_GB2312" w:hAnsi="仿宋_GB2312" w:eastAsia="仿宋_GB2312" w:cs="仿宋_GB2312"/>
          <w:color w:val="000000"/>
          <w:spacing w:val="0"/>
          <w:w w:val="100"/>
          <w:position w:val="0"/>
          <w:sz w:val="32"/>
          <w:szCs w:val="32"/>
          <w:lang w:val="zh-TW" w:eastAsia="zh-CN"/>
        </w:rPr>
        <w:t>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本部门2021年度财政拨款支出主要用于以下方面：教育支出5663618.72元，占89.8%；社会保障与就业支出598890.84元，占9.5%。其他支出44653.05元，占0.7。较年初预算数增加0元，增长0%。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zh-TW" w:eastAsia="zh-TW"/>
        </w:rPr>
        <w:t>本部门（本单位）</w:t>
      </w:r>
      <w:r>
        <w:rPr>
          <w:rFonts w:hint="eastAsia" w:ascii="仿宋_GB2312" w:hAnsi="仿宋_GB2312" w:eastAsia="仿宋_GB2312" w:cs="仿宋_GB2312"/>
          <w:color w:val="000000"/>
          <w:spacing w:val="0"/>
          <w:w w:val="100"/>
          <w:position w:val="0"/>
          <w:sz w:val="32"/>
          <w:szCs w:val="32"/>
          <w:lang w:val="zh-TW" w:eastAsia="zh-CN"/>
        </w:rPr>
        <w:t>2021</w:t>
      </w:r>
      <w:r>
        <w:rPr>
          <w:rFonts w:hint="eastAsia" w:ascii="仿宋_GB2312" w:hAnsi="仿宋_GB2312" w:eastAsia="仿宋_GB2312" w:cs="仿宋_GB2312"/>
          <w:color w:val="000000"/>
          <w:spacing w:val="0"/>
          <w:w w:val="100"/>
          <w:position w:val="0"/>
          <w:sz w:val="32"/>
          <w:szCs w:val="32"/>
          <w:lang w:val="zh-TW" w:eastAsia="zh-TW"/>
        </w:rPr>
        <w:t>年度收入合计</w:t>
      </w:r>
      <w:r>
        <w:rPr>
          <w:rFonts w:hint="eastAsia" w:ascii="仿宋_GB2312" w:hAnsi="仿宋_GB2312" w:eastAsia="仿宋_GB2312" w:cs="仿宋_GB2312"/>
          <w:color w:val="000000"/>
          <w:spacing w:val="0"/>
          <w:w w:val="100"/>
          <w:position w:val="0"/>
          <w:sz w:val="32"/>
          <w:szCs w:val="32"/>
          <w:lang w:val="en-US" w:eastAsia="zh-CN"/>
        </w:rPr>
        <w:t>6,299,252.05</w:t>
      </w:r>
      <w:r>
        <w:rPr>
          <w:rFonts w:hint="eastAsia" w:ascii="仿宋_GB2312" w:hAnsi="仿宋_GB2312" w:eastAsia="仿宋_GB2312" w:cs="仿宋_GB2312"/>
          <w:color w:val="000000"/>
          <w:spacing w:val="0"/>
          <w:w w:val="100"/>
          <w:position w:val="0"/>
          <w:sz w:val="32"/>
          <w:szCs w:val="32"/>
          <w:lang w:val="zh-TW" w:eastAsia="zh-TW"/>
        </w:rPr>
        <w:t>元，其中：财政拨款收入</w:t>
      </w:r>
      <w:r>
        <w:rPr>
          <w:rFonts w:hint="eastAsia" w:ascii="仿宋_GB2312" w:hAnsi="仿宋_GB2312" w:eastAsia="仿宋_GB2312" w:cs="仿宋_GB2312"/>
          <w:color w:val="000000"/>
          <w:spacing w:val="0"/>
          <w:w w:val="100"/>
          <w:position w:val="0"/>
          <w:sz w:val="32"/>
          <w:szCs w:val="32"/>
          <w:lang w:val="en-US" w:eastAsia="zh-CN"/>
        </w:rPr>
        <w:t>6,299,252.05</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99.99</w:t>
      </w:r>
      <w:r>
        <w:rPr>
          <w:rFonts w:hint="eastAsia" w:ascii="仿宋_GB2312" w:hAnsi="仿宋_GB2312" w:eastAsia="仿宋_GB2312" w:cs="仿宋_GB2312"/>
          <w:color w:val="000000"/>
          <w:spacing w:val="0"/>
          <w:w w:val="100"/>
          <w:position w:val="0"/>
          <w:sz w:val="32"/>
          <w:szCs w:val="32"/>
          <w:lang w:val="zh-TW" w:eastAsia="zh-TW"/>
        </w:rPr>
        <w:t>%;其他收入</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lang w:val="zh-TW" w:eastAsia="zh-TW"/>
        </w:rPr>
        <w:t>元，占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lang w:val="zh-TW" w:eastAsia="zh-TW"/>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本部门（本单位）2021年度支出合计</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元，其中：基本支出</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元，占</w:t>
      </w:r>
      <w:r>
        <w:rPr>
          <w:rFonts w:hint="eastAsia" w:ascii="仿宋_GB2312" w:hAnsi="仿宋_GB2312" w:eastAsia="仿宋_GB2312" w:cs="仿宋_GB2312"/>
          <w:color w:val="000000"/>
          <w:spacing w:val="0"/>
          <w:w w:val="100"/>
          <w:position w:val="0"/>
          <w:sz w:val="32"/>
          <w:szCs w:val="32"/>
          <w:lang w:val="en-US" w:eastAsia="zh-CN"/>
        </w:rPr>
        <w:t>100%。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本部门（本单位）2021年度财政拨款收入</w:t>
      </w:r>
      <w:r>
        <w:rPr>
          <w:rFonts w:hint="eastAsia" w:ascii="仿宋_GB2312" w:hAnsi="仿宋_GB2312" w:eastAsia="仿宋_GB2312" w:cs="仿宋_GB2312"/>
          <w:color w:val="000000"/>
          <w:spacing w:val="0"/>
          <w:w w:val="100"/>
          <w:position w:val="0"/>
          <w:sz w:val="32"/>
          <w:szCs w:val="32"/>
          <w:lang w:val="zh-TW" w:eastAsia="zh-TW"/>
        </w:rPr>
        <w:t>6,299,252.05</w:t>
      </w:r>
      <w:r>
        <w:rPr>
          <w:rFonts w:hint="eastAsia" w:ascii="仿宋_GB2312" w:hAnsi="仿宋_GB2312" w:eastAsia="仿宋_GB2312" w:cs="仿宋_GB2312"/>
          <w:color w:val="000000"/>
          <w:spacing w:val="0"/>
          <w:w w:val="100"/>
          <w:position w:val="0"/>
          <w:sz w:val="32"/>
          <w:szCs w:val="32"/>
          <w:lang w:val="en-US" w:eastAsia="zh-CN"/>
        </w:rPr>
        <w:t>元，较上年决算数增加</w:t>
      </w:r>
      <w:r>
        <w:rPr>
          <w:rFonts w:hint="eastAsia" w:ascii="仿宋_GB2312" w:hAnsi="仿宋_GB2312" w:eastAsia="仿宋_GB2312" w:cs="仿宋_GB2312"/>
          <w:color w:val="000000"/>
          <w:spacing w:val="0"/>
          <w:w w:val="100"/>
          <w:position w:val="0"/>
          <w:sz w:val="32"/>
          <w:szCs w:val="32"/>
          <w:lang w:val="en-US" w:eastAsia="zh-CN"/>
        </w:rPr>
        <w:t>4.14元，增长</w:t>
      </w:r>
      <w:r>
        <w:rPr>
          <w:rFonts w:hint="eastAsia" w:ascii="仿宋_GB2312" w:hAnsi="仿宋_GB2312" w:eastAsia="仿宋_GB2312" w:cs="仿宋_GB2312"/>
          <w:color w:val="000000"/>
          <w:spacing w:val="0"/>
          <w:w w:val="100"/>
          <w:position w:val="0"/>
          <w:sz w:val="32"/>
          <w:szCs w:val="32"/>
          <w:lang w:val="en-US" w:eastAsia="zh-CN"/>
        </w:rPr>
        <w:t>260927.53%。</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。较年初预算数增加0元，增长</w:t>
      </w:r>
      <w:r>
        <w:rPr>
          <w:rFonts w:hint="eastAsia" w:ascii="仿宋_GB2312" w:hAnsi="仿宋_GB2312" w:eastAsia="仿宋_GB2312" w:cs="仿宋_GB2312"/>
          <w:color w:val="000000"/>
          <w:spacing w:val="0"/>
          <w:w w:val="100"/>
          <w:position w:val="0"/>
          <w:sz w:val="32"/>
          <w:szCs w:val="32"/>
          <w:lang w:val="en-US" w:eastAsia="zh-CN"/>
        </w:rPr>
        <w:t>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本部门（本单位）2021年度财政拨款支出630</w:t>
      </w:r>
      <w:r>
        <w:rPr>
          <w:rFonts w:hint="eastAsia" w:ascii="仿宋_GB2312" w:hAnsi="仿宋_GB2312" w:eastAsia="仿宋_GB2312" w:cs="仿宋_GB2312"/>
          <w:color w:val="000000"/>
          <w:spacing w:val="0"/>
          <w:w w:val="100"/>
          <w:position w:val="0"/>
          <w:sz w:val="32"/>
          <w:szCs w:val="32"/>
          <w:lang w:val="en-US" w:eastAsia="zh-CN"/>
        </w:rPr>
        <w:t>7162.61元，较上年决算数增加251927.53元，增长</w:t>
      </w:r>
      <w:r>
        <w:rPr>
          <w:rFonts w:hint="eastAsia" w:ascii="仿宋_GB2312" w:hAnsi="仿宋_GB2312" w:eastAsia="仿宋_GB2312" w:cs="仿宋_GB2312"/>
          <w:color w:val="000000"/>
          <w:spacing w:val="0"/>
          <w:w w:val="100"/>
          <w:position w:val="0"/>
          <w:sz w:val="32"/>
          <w:szCs w:val="32"/>
          <w:lang w:val="en-US" w:eastAsia="zh-CN"/>
        </w:rPr>
        <w:t>0.4%。</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val="zh-TW" w:eastAsia="zh-TW"/>
        </w:rPr>
        <w:t>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。较年初预算数增加</w:t>
      </w:r>
      <w:r>
        <w:rPr>
          <w:rFonts w:hint="eastAsia" w:ascii="仿宋_GB2312" w:hAnsi="仿宋_GB2312" w:eastAsia="仿宋_GB2312" w:cs="仿宋_GB2312"/>
          <w:color w:val="000000"/>
          <w:spacing w:val="0"/>
          <w:w w:val="100"/>
          <w:position w:val="0"/>
          <w:sz w:val="32"/>
          <w:szCs w:val="32"/>
          <w:lang w:val="en-US" w:eastAsia="zh-CN"/>
        </w:rPr>
        <w:t>0元，增长</w:t>
      </w:r>
      <w:r>
        <w:rPr>
          <w:rFonts w:hint="eastAsia" w:ascii="仿宋_GB2312" w:hAnsi="仿宋_GB2312" w:eastAsia="仿宋_GB2312" w:cs="仿宋_GB2312"/>
          <w:color w:val="000000"/>
          <w:spacing w:val="0"/>
          <w:w w:val="100"/>
          <w:position w:val="0"/>
          <w:sz w:val="32"/>
          <w:szCs w:val="32"/>
          <w:lang w:val="en-US" w:eastAsia="zh-CN"/>
        </w:rPr>
        <w:t>0%。</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630.72万元，占本年支出的 100%，较上年决算数增加25.19万元，增长0.4%。主要原因：</w:t>
      </w:r>
      <w:r>
        <w:rPr>
          <w:rFonts w:hint="eastAsia" w:ascii="仿宋_GB2312" w:hAnsi="仿宋_GB2312" w:eastAsia="仿宋_GB2312" w:cs="仿宋_GB2312"/>
          <w:color w:val="000000"/>
          <w:spacing w:val="0"/>
          <w:w w:val="100"/>
          <w:position w:val="0"/>
          <w:sz w:val="32"/>
          <w:szCs w:val="32"/>
          <w:lang w:val="zh-TW" w:eastAsia="zh-CN"/>
        </w:rPr>
        <w:t>是教师工资提高及学生营养餐标准提高</w:t>
      </w:r>
      <w:r>
        <w:rPr>
          <w:rFonts w:hint="eastAsia" w:ascii="仿宋_GB2312" w:hAnsi="仿宋_GB2312" w:eastAsia="仿宋_GB2312" w:cs="仿宋_GB2312"/>
          <w:color w:val="000000"/>
          <w:spacing w:val="0"/>
          <w:w w:val="100"/>
          <w:position w:val="0"/>
          <w:sz w:val="32"/>
          <w:szCs w:val="32"/>
          <w:lang w:val="en-US" w:eastAsia="zh-CN"/>
        </w:rPr>
        <w:t>。较年初预算数增加</w:t>
      </w:r>
      <w:r>
        <w:rPr>
          <w:rFonts w:hint="eastAsia" w:ascii="仿宋_GB2312" w:hAnsi="仿宋_GB2312" w:eastAsia="仿宋_GB2312" w:cs="仿宋_GB2312"/>
          <w:color w:val="000000"/>
          <w:spacing w:val="0"/>
          <w:w w:val="100"/>
          <w:position w:val="0"/>
          <w:sz w:val="32"/>
          <w:szCs w:val="32"/>
          <w:lang w:val="en-US" w:eastAsia="zh-CN"/>
        </w:rPr>
        <w:t>0元，增长</w:t>
      </w:r>
      <w:r>
        <w:rPr>
          <w:rFonts w:hint="eastAsia" w:ascii="仿宋_GB2312" w:hAnsi="仿宋_GB2312" w:eastAsia="仿宋_GB2312" w:cs="仿宋_GB2312"/>
          <w:color w:val="000000"/>
          <w:spacing w:val="0"/>
          <w:w w:val="100"/>
          <w:position w:val="0"/>
          <w:sz w:val="32"/>
          <w:szCs w:val="32"/>
          <w:lang w:val="en-US" w:eastAsia="zh-CN"/>
        </w:rPr>
        <w:t>0%，较年初预算数减少</w:t>
      </w:r>
      <w:r>
        <w:rPr>
          <w:rFonts w:hint="eastAsia" w:ascii="仿宋_GB2312" w:hAnsi="仿宋_GB2312" w:eastAsia="仿宋_GB2312" w:cs="仿宋_GB2312"/>
          <w:color w:val="000000"/>
          <w:spacing w:val="0"/>
          <w:w w:val="100"/>
          <w:position w:val="0"/>
          <w:sz w:val="32"/>
          <w:szCs w:val="32"/>
          <w:lang w:val="en-US" w:eastAsia="zh-CN"/>
        </w:rPr>
        <w:t>0元，降低</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教育支出5663618.72元，占89.8%；较年初预算数增加0元，增长0%。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社会保障与就业支出598890.84元，占9.5%。较年初预算数增加0元，增长0%。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其他支出44653.05元，占0.7。较年初预算数增加0元，增长0%。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本部门（本单位）2021年度一般公共财政拨款基本支出</w:t>
      </w:r>
      <w:r>
        <w:rPr>
          <w:rFonts w:hint="eastAsia" w:ascii="仿宋_GB2312" w:hAnsi="仿宋_GB2312" w:eastAsia="仿宋_GB2312" w:cs="仿宋_GB2312"/>
          <w:color w:val="000000"/>
          <w:spacing w:val="0"/>
          <w:w w:val="100"/>
          <w:position w:val="0"/>
          <w:sz w:val="32"/>
          <w:szCs w:val="32"/>
          <w:lang w:val="zh-TW" w:eastAsia="zh-TW"/>
        </w:rPr>
        <w:t>6,307,162.61</w:t>
      </w:r>
      <w:r>
        <w:rPr>
          <w:rFonts w:hint="eastAsia" w:ascii="仿宋_GB2312" w:hAnsi="仿宋_GB2312" w:eastAsia="仿宋_GB2312" w:cs="仿宋_GB2312"/>
          <w:color w:val="000000"/>
          <w:spacing w:val="0"/>
          <w:w w:val="100"/>
          <w:position w:val="0"/>
          <w:sz w:val="32"/>
          <w:szCs w:val="32"/>
          <w:lang w:val="en-US" w:eastAsia="zh-CN"/>
        </w:rPr>
        <w:t>元。其中：人员经费5533336.04元，较上年增加</w:t>
      </w:r>
      <w:r>
        <w:rPr>
          <w:rFonts w:hint="eastAsia" w:ascii="仿宋_GB2312" w:hAnsi="仿宋_GB2312" w:eastAsia="仿宋_GB2312" w:cs="仿宋_GB2312"/>
          <w:color w:val="000000"/>
          <w:spacing w:val="0"/>
          <w:w w:val="100"/>
          <w:position w:val="0"/>
          <w:sz w:val="32"/>
          <w:szCs w:val="32"/>
          <w:lang w:val="en-US" w:eastAsia="zh-CN"/>
        </w:rPr>
        <w:t>179522.74元，主要原因是增人增资等。</w:t>
      </w:r>
      <w:r>
        <w:rPr>
          <w:rFonts w:hint="eastAsia" w:ascii="仿宋_GB2312" w:hAnsi="仿宋_GB2312" w:eastAsia="仿宋_GB2312" w:cs="仿宋_GB2312"/>
          <w:color w:val="000000"/>
          <w:spacing w:val="0"/>
          <w:w w:val="100"/>
          <w:position w:val="0"/>
          <w:sz w:val="32"/>
          <w:szCs w:val="32"/>
          <w:lang w:val="en-US" w:eastAsia="zh-CN"/>
        </w:rPr>
        <w:t>人员经费用途主要包括基本工资、津贴补贴、奖金、社会保障缴费、住房公积金，生活补助等。公用经费773,826.57元，较上年增加</w:t>
      </w:r>
      <w:r>
        <w:rPr>
          <w:rFonts w:hint="eastAsia" w:ascii="仿宋_GB2312" w:hAnsi="仿宋_GB2312" w:eastAsia="仿宋_GB2312" w:cs="仿宋_GB2312"/>
          <w:color w:val="000000"/>
          <w:spacing w:val="0"/>
          <w:w w:val="100"/>
          <w:position w:val="0"/>
          <w:sz w:val="32"/>
          <w:szCs w:val="32"/>
          <w:lang w:val="en-US" w:eastAsia="zh-CN"/>
        </w:rPr>
        <w:t>70955.51元，</w:t>
      </w:r>
      <w:r>
        <w:rPr>
          <w:rFonts w:hint="eastAsia" w:ascii="仿宋_GB2312" w:hAnsi="仿宋_GB2312" w:eastAsia="仿宋_GB2312" w:cs="仿宋_GB2312"/>
          <w:color w:val="000000"/>
          <w:spacing w:val="0"/>
          <w:w w:val="100"/>
          <w:position w:val="0"/>
          <w:sz w:val="32"/>
          <w:szCs w:val="32"/>
          <w:lang w:val="en-US" w:eastAsia="zh-CN"/>
        </w:rPr>
        <w:t>主要原因是营养餐标准提高，少年宫项目部分资金拨入，公用经费用途主要包括：办公费、印刷费、咨询费、手续费、劳务费等。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333333"/>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2021年本部门（本单位）“三公”经费财政拨款支出为0。</w:t>
      </w:r>
    </w:p>
    <w:p>
      <w:pPr>
        <w:pStyle w:val="2"/>
        <w:widowControl/>
        <w:spacing w:line="600" w:lineRule="exact"/>
        <w:ind w:left="959" w:leftChars="266" w:hanging="321"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r>
        <w:rPr>
          <w:rFonts w:hint="eastAsia" w:ascii="仿宋_GB2312" w:hAnsi="仿宋_GB2312" w:cs="仿宋_GB2312"/>
          <w:b/>
          <w:bCs/>
          <w:color w:val="333333"/>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2021年本部门（本单位）“三公”经费财政拨款支出决算为0</w:t>
      </w:r>
    </w:p>
    <w:p>
      <w:pPr>
        <w:pStyle w:val="14"/>
        <w:keepNext w:val="0"/>
        <w:keepLines w:val="0"/>
        <w:pageBreakBefore w:val="0"/>
        <w:widowControl w:val="0"/>
        <w:numPr>
          <w:ilvl w:val="0"/>
          <w:numId w:val="1"/>
        </w:numPr>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2"/>
        <w:widowControl/>
        <w:shd w:val="clear" w:color="auto" w:fill="auto"/>
        <w:spacing w:line="600" w:lineRule="exact"/>
        <w:ind w:left="958" w:leftChars="399" w:firstLine="0" w:firstLineChars="0"/>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2021年本部门（本单位）“三公”经费财政拨款支出决算实物量为0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（1）“三公”经费支出情况</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2021年本部门（本单位）“三公”经费支出为0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会议费支出情况</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2021年本部门（本单位）会议费支出为0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培训费支出情况</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2021年本部门（本单位）培训费支出为0</w:t>
      </w:r>
    </w:p>
    <w:p>
      <w:pPr>
        <w:pStyle w:val="2"/>
        <w:widowControl/>
        <w:shd w:val="clear" w:color="auto" w:fill="auto"/>
        <w:spacing w:line="600" w:lineRule="exact"/>
        <w:ind w:left="958" w:leftChars="266" w:hanging="320" w:hangingChars="1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其他对部门（单位）影响较大的支出情况</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2021年本部门（本单位）无其他对部门影响较大的支出</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八、</w:t>
      </w:r>
      <w:r>
        <w:rPr>
          <w:rFonts w:hint="eastAsia" w:ascii="仿宋_GB2312" w:hAnsi="仿宋_GB2312" w:eastAsia="仿宋_GB2312" w:cs="仿宋_GB2312"/>
          <w:b/>
          <w:bCs/>
          <w:color w:val="000000"/>
          <w:spacing w:val="0"/>
          <w:w w:val="100"/>
          <w:position w:val="0"/>
          <w:sz w:val="32"/>
          <w:szCs w:val="32"/>
        </w:rPr>
        <w:t>机关运行经费支出情况说明</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东乡县高山学区2021年机关运行经费支出为0</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九、国有资产占用情况说明</w:t>
      </w:r>
    </w:p>
    <w:p>
      <w:pPr>
        <w:pStyle w:val="14"/>
        <w:keepNext w:val="0"/>
        <w:keepLines w:val="0"/>
        <w:pageBreakBefore w:val="0"/>
        <w:widowControl w:val="0"/>
        <w:numPr>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 w:hAnsi="仿宋" w:eastAsia="仿宋" w:cs="仿宋"/>
          <w:color w:val="000000" w:themeColor="text1"/>
          <w:szCs w:val="32"/>
          <w:lang w:eastAsia="zh-CN"/>
          <w14:textFill>
            <w14:solidFill>
              <w14:schemeClr w14:val="tx1"/>
            </w14:solidFill>
          </w14:textFill>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无占用国有资产情况</w:t>
      </w:r>
    </w:p>
    <w:p>
      <w:pPr>
        <w:pStyle w:val="14"/>
        <w:keepNext w:val="0"/>
        <w:keepLines w:val="0"/>
        <w:pageBreakBefore w:val="0"/>
        <w:widowControl w:val="0"/>
        <w:numPr>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2"/>
        <w:widowControl/>
        <w:shd w:val="clear" w:color="auto" w:fill="auto"/>
        <w:spacing w:line="600" w:lineRule="exact"/>
        <w:ind w:left="958" w:leftChars="266" w:hanging="320" w:hangingChars="1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2021年本部门（本单位）无占用国有资产情况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十、政府采购支岀情况说明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27905</w:t>
      </w:r>
      <w:r>
        <w:rPr>
          <w:rFonts w:hint="eastAsia" w:ascii="仿宋_GB2312" w:hAnsi="仿宋_GB2312" w:eastAsia="仿宋_GB2312" w:cs="仿宋_GB2312"/>
          <w:color w:val="000000"/>
          <w:spacing w:val="0"/>
          <w:w w:val="100"/>
          <w:position w:val="0"/>
          <w:sz w:val="32"/>
          <w:szCs w:val="32"/>
        </w:rPr>
        <w:t>元，</w:t>
      </w:r>
      <w:bookmarkStart w:id="19" w:name="_GoBack"/>
      <w:bookmarkEnd w:id="19"/>
      <w:r>
        <w:rPr>
          <w:rFonts w:hint="eastAsia" w:ascii="仿宋_GB2312" w:hAnsi="仿宋_GB2312" w:eastAsia="仿宋_GB2312" w:cs="仿宋_GB2312"/>
          <w:color w:val="000000"/>
          <w:spacing w:val="0"/>
          <w:w w:val="100"/>
          <w:position w:val="0"/>
          <w:sz w:val="32"/>
          <w:szCs w:val="32"/>
        </w:rPr>
        <w:t>其中：政府釆购货物支出</w:t>
      </w:r>
      <w:r>
        <w:rPr>
          <w:rFonts w:hint="eastAsia" w:ascii="仿宋_GB2312" w:hAnsi="仿宋_GB2312" w:eastAsia="仿宋_GB2312" w:cs="仿宋_GB2312"/>
          <w:color w:val="000000"/>
          <w:spacing w:val="0"/>
          <w:w w:val="100"/>
          <w:position w:val="0"/>
          <w:sz w:val="32"/>
          <w:szCs w:val="32"/>
          <w:lang w:val="en-US" w:eastAsia="zh-CN" w:bidi="en-US"/>
        </w:rPr>
        <w:t>27905</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办公耗材</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十一、政府性基金预算财政拨款收支决算情况说明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w:t>
      </w:r>
      <w:r>
        <w:rPr>
          <w:rFonts w:hint="eastAsia" w:ascii="仿宋_GB2312" w:hAnsi="仿宋_GB2312" w:eastAsia="仿宋_GB2312" w:cs="仿宋_GB2312"/>
          <w:color w:val="000000"/>
          <w:spacing w:val="0"/>
          <w:w w:val="100"/>
          <w:position w:val="0"/>
          <w:sz w:val="32"/>
          <w:szCs w:val="32"/>
        </w:rPr>
        <w:t>政府性基金预算财政拨款收支</w:t>
      </w:r>
      <w:r>
        <w:rPr>
          <w:rFonts w:hint="eastAsia" w:ascii="仿宋_GB2312" w:hAnsi="仿宋_GB2312" w:eastAsia="仿宋_GB2312" w:cs="仿宋_GB2312"/>
          <w:color w:val="000000"/>
          <w:spacing w:val="0"/>
          <w:w w:val="100"/>
          <w:position w:val="0"/>
          <w:sz w:val="32"/>
          <w:szCs w:val="32"/>
          <w:lang w:eastAsia="zh-CN"/>
        </w:rPr>
        <w:t>决算情况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十一、国有资本经营预算财政拨款支出情况说明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w:t>
      </w:r>
      <w:r>
        <w:rPr>
          <w:rFonts w:hint="eastAsia" w:ascii="仿宋_GB2312" w:hAnsi="仿宋_GB2312" w:eastAsia="仿宋_GB2312" w:cs="仿宋_GB2312"/>
          <w:color w:val="000000"/>
          <w:spacing w:val="0"/>
          <w:w w:val="100"/>
          <w:position w:val="0"/>
          <w:sz w:val="32"/>
          <w:szCs w:val="32"/>
        </w:rPr>
        <w:t>国有资本经营预算财政拨款支</w:t>
      </w:r>
      <w:r>
        <w:rPr>
          <w:rFonts w:hint="eastAsia" w:ascii="仿宋_GB2312" w:hAnsi="仿宋_GB2312" w:eastAsia="仿宋_GB2312" w:cs="仿宋_GB2312"/>
          <w:b/>
          <w:bCs/>
          <w:color w:val="000000"/>
          <w:spacing w:val="0"/>
          <w:w w:val="100"/>
          <w:position w:val="0"/>
          <w:sz w:val="32"/>
          <w:szCs w:val="32"/>
          <w:lang w:eastAsia="zh-CN"/>
        </w:rPr>
        <w:t>出情况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十二、预算绩效情况说明</w:t>
      </w:r>
    </w:p>
    <w:p>
      <w:pPr>
        <w:pStyle w:val="14"/>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leftChars="3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w:t>
      </w:r>
      <w:r>
        <w:rPr>
          <w:rFonts w:hint="eastAsia" w:ascii="仿宋" w:hAnsi="仿宋" w:eastAsia="仿宋" w:cs="仿宋"/>
          <w:color w:val="000000" w:themeColor="text1"/>
          <w:szCs w:val="32"/>
          <w:lang w:eastAsia="zh-CN"/>
          <w14:textFill>
            <w14:solidFill>
              <w14:schemeClr w14:val="tx1"/>
            </w14:solidFill>
          </w14:textFill>
        </w:rPr>
        <w:t>无</w:t>
      </w:r>
      <w:r>
        <w:rPr>
          <w:rFonts w:hint="eastAsia" w:ascii="仿宋_GB2312" w:hAnsi="仿宋_GB2312" w:eastAsia="仿宋_GB2312" w:cs="仿宋_GB2312"/>
          <w:color w:val="000000"/>
          <w:spacing w:val="0"/>
          <w:w w:val="100"/>
          <w:position w:val="0"/>
          <w:sz w:val="32"/>
          <w:szCs w:val="32"/>
        </w:rPr>
        <w:t>预算绩效</w:t>
      </w:r>
      <w:r>
        <w:rPr>
          <w:rFonts w:hint="eastAsia" w:ascii="仿宋_GB2312" w:hAnsi="仿宋_GB2312" w:eastAsia="仿宋_GB2312" w:cs="仿宋_GB2312"/>
          <w:color w:val="000000"/>
          <w:spacing w:val="0"/>
          <w:w w:val="100"/>
          <w:position w:val="0"/>
          <w:sz w:val="32"/>
          <w:szCs w:val="32"/>
          <w:lang w:eastAsia="zh-CN"/>
        </w:rPr>
        <w:t>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4"/>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2021年度收入总计***元，支出总计***元，与2020年决算数相比，收入增加***元，增长***%，支出增加***元，增长***%。主要原因是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（应根据实际情况补充原因，如果是减少，则应改为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财政拨款收入***元，占***%;上级补助收入***元，占***%;事业收入***元，占***%；经营收入***元，占***%；附属部门（本单位）上缴收入***元，占***%；其他收入***元，占***%。（应根据实际情况补充，若某一项收入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年度支出合计***元，其中：基本支出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元，占***%；项目支出***元，占***%;上缴上级支出*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元，占***%；经营支出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元，占***%；对附属部门（本单位）补助支出***元，占***%。（应根据实际情况补充，若某一项支岀为零，将其删除，不用表述）。</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元，较上年决算数增加***元，增长***%。主要原因是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（根据实际情况补充原因，例如：年中追加安排基础设施建设专项经费支出预算****元等）。</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年度财政拨款支出***元，较上年决算数增加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（例如：减少的原因是：部分支出年初未申请财政拨款预算，而是按规定通过使用以前年度财政拨款结转和结余资金解决等）</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***万元，占本年支出的 ***%，较上年决算数增加*** 万元，增长***%。主要原因：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元，增长***%（如果是减少，则应改为"较年初预算数减少***元，降低***%”）。主要原因是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教育支出***元，占***%,较年初预算数增加***元，主</w:t>
      </w:r>
    </w:p>
    <w:p>
      <w:pPr>
        <w:pStyle w:val="22"/>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2"/>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w:t>
      </w:r>
    </w:p>
    <w:p>
      <w:pPr>
        <w:pStyle w:val="22"/>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2"/>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元。其中：人员经费***元，较上年增加***元，主要原因是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（根据实际情况补充原因，如：增人增资等。如果是减少，则应改为"较上年减少***元，主要原因是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”）。人员经费用途主要包括……（根据实际情况补充原因，如：基本工资、津贴补贴、奖金、社会保障缴费等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公用经费***元，较上年增加***元，主要原因是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（根据实际情况补充原因，如：物价上涨等。如果是减少，则应改为“较上年减少***元，主要原因是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（根据实际情况补充原因，如：办公费、印刷费、咨询费、手续费等）。</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4"/>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A272F0-4C7E-43B2-93D5-952164A239D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embedRegular r:id="rId2" w:fontKey="{6CC18473-5667-4E0B-A44C-AC43E79EBE8D}"/>
  </w:font>
  <w:font w:name="仿宋">
    <w:panose1 w:val="02010609060101010101"/>
    <w:charset w:val="86"/>
    <w:family w:val="auto"/>
    <w:pitch w:val="default"/>
    <w:sig w:usb0="800002BF" w:usb1="38CF7CFA" w:usb2="00000016" w:usb3="00000000" w:csb0="00040001" w:csb1="00000000"/>
    <w:embedRegular r:id="rId3" w:fontKey="{764ACF8A-ECFB-4186-B82B-8A32742B26EE}"/>
  </w:font>
  <w:font w:name="方正小标宋_GBK">
    <w:altName w:val="微软雅黑"/>
    <w:panose1 w:val="03000509000000000000"/>
    <w:charset w:val="86"/>
    <w:family w:val="auto"/>
    <w:pitch w:val="default"/>
    <w:sig w:usb0="00000000" w:usb1="00000000" w:usb2="00000000" w:usb3="00000000" w:csb0="00040000" w:csb1="00000000"/>
    <w:embedRegular r:id="rId4" w:fontKey="{26FEAC9E-262E-45E6-9B9F-3D26F2364FC5}"/>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5" w:fontKey="{0F08B2AC-AD96-41E6-AD79-3A613937BF22}"/>
  </w:font>
  <w:font w:name="楷体_GB2312">
    <w:altName w:val="楷体"/>
    <w:panose1 w:val="02010609030101010101"/>
    <w:charset w:val="86"/>
    <w:family w:val="auto"/>
    <w:pitch w:val="default"/>
    <w:sig w:usb0="00000000" w:usb1="00000000" w:usb2="00000000" w:usb3="00000000" w:csb0="00040000" w:csb1="00000000"/>
    <w:embedRegular r:id="rId6" w:fontKey="{9EE018A6-7F3F-4276-992C-FC0CE1B07B9B}"/>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B017D1"/>
    <w:multiLevelType w:val="singleLevel"/>
    <w:tmpl w:val="EBB017D1"/>
    <w:lvl w:ilvl="0" w:tentative="0">
      <w:start w:val="3"/>
      <w:numFmt w:val="chineseCounting"/>
      <w:suff w:val="nothing"/>
      <w:lvlText w:val="（%1）"/>
      <w:lvlJc w:val="left"/>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mRhZGE2N2UyYmJjMWJiMTMxMzczYzVjYmNmOTE5Y2MifQ=="/>
  </w:docVars>
  <w:rsids>
    <w:rsidRoot w:val="00000000"/>
    <w:rsid w:val="00BF5C1B"/>
    <w:rsid w:val="033905F3"/>
    <w:rsid w:val="0511788F"/>
    <w:rsid w:val="05EA3D5F"/>
    <w:rsid w:val="060146E2"/>
    <w:rsid w:val="061F2581"/>
    <w:rsid w:val="06AA1511"/>
    <w:rsid w:val="09751BF2"/>
    <w:rsid w:val="098D610D"/>
    <w:rsid w:val="0A4C6688"/>
    <w:rsid w:val="0A5E3C0A"/>
    <w:rsid w:val="0A90741C"/>
    <w:rsid w:val="0C13405E"/>
    <w:rsid w:val="0D0B2281"/>
    <w:rsid w:val="0DCB7662"/>
    <w:rsid w:val="0FE827F6"/>
    <w:rsid w:val="118C5FB5"/>
    <w:rsid w:val="12AA36D7"/>
    <w:rsid w:val="130B404C"/>
    <w:rsid w:val="133A3DAC"/>
    <w:rsid w:val="14FC37FB"/>
    <w:rsid w:val="15FD020C"/>
    <w:rsid w:val="1706734A"/>
    <w:rsid w:val="1739327C"/>
    <w:rsid w:val="17862702"/>
    <w:rsid w:val="1980089F"/>
    <w:rsid w:val="19BA4320"/>
    <w:rsid w:val="1B205130"/>
    <w:rsid w:val="1B395581"/>
    <w:rsid w:val="1B622567"/>
    <w:rsid w:val="1BFA3F10"/>
    <w:rsid w:val="1E2E1230"/>
    <w:rsid w:val="1E712589"/>
    <w:rsid w:val="1EB421E7"/>
    <w:rsid w:val="1F523B54"/>
    <w:rsid w:val="1F861F05"/>
    <w:rsid w:val="215E44A7"/>
    <w:rsid w:val="227F528A"/>
    <w:rsid w:val="25534842"/>
    <w:rsid w:val="25716796"/>
    <w:rsid w:val="25FD0C5D"/>
    <w:rsid w:val="27A01BC0"/>
    <w:rsid w:val="293A3B15"/>
    <w:rsid w:val="29C05E6C"/>
    <w:rsid w:val="2ACA38C6"/>
    <w:rsid w:val="2D7F27F1"/>
    <w:rsid w:val="2F990904"/>
    <w:rsid w:val="3103349F"/>
    <w:rsid w:val="336472E3"/>
    <w:rsid w:val="343A7C93"/>
    <w:rsid w:val="35DE1EEB"/>
    <w:rsid w:val="366D6646"/>
    <w:rsid w:val="396458BD"/>
    <w:rsid w:val="39A84565"/>
    <w:rsid w:val="39F46F0A"/>
    <w:rsid w:val="3A7E79C0"/>
    <w:rsid w:val="3ABD5DEE"/>
    <w:rsid w:val="3BD710AD"/>
    <w:rsid w:val="3C5D7B44"/>
    <w:rsid w:val="3D431059"/>
    <w:rsid w:val="3E1C54F7"/>
    <w:rsid w:val="3E62271C"/>
    <w:rsid w:val="3EA83301"/>
    <w:rsid w:val="406D649F"/>
    <w:rsid w:val="41670196"/>
    <w:rsid w:val="41D413E0"/>
    <w:rsid w:val="42736B67"/>
    <w:rsid w:val="43D445BB"/>
    <w:rsid w:val="43E9763D"/>
    <w:rsid w:val="484E49E0"/>
    <w:rsid w:val="4928616D"/>
    <w:rsid w:val="4A942144"/>
    <w:rsid w:val="4B4202B4"/>
    <w:rsid w:val="4B60103E"/>
    <w:rsid w:val="4C583BC9"/>
    <w:rsid w:val="4D174E86"/>
    <w:rsid w:val="4E4A5284"/>
    <w:rsid w:val="4F1428B3"/>
    <w:rsid w:val="4F2B13C2"/>
    <w:rsid w:val="52A97D6A"/>
    <w:rsid w:val="537062B7"/>
    <w:rsid w:val="54C141FB"/>
    <w:rsid w:val="57D535F7"/>
    <w:rsid w:val="57E073CC"/>
    <w:rsid w:val="58606FC9"/>
    <w:rsid w:val="58806626"/>
    <w:rsid w:val="596F6D36"/>
    <w:rsid w:val="5A9B5B2B"/>
    <w:rsid w:val="5ABD72ED"/>
    <w:rsid w:val="5B4E5A55"/>
    <w:rsid w:val="5BDE5F4A"/>
    <w:rsid w:val="5DFC12F4"/>
    <w:rsid w:val="60D720E0"/>
    <w:rsid w:val="617C404C"/>
    <w:rsid w:val="62922058"/>
    <w:rsid w:val="63A4104A"/>
    <w:rsid w:val="63BB053E"/>
    <w:rsid w:val="653130D0"/>
    <w:rsid w:val="669D080F"/>
    <w:rsid w:val="671D6430"/>
    <w:rsid w:val="672F5A87"/>
    <w:rsid w:val="68C20E9A"/>
    <w:rsid w:val="6B2D5D6A"/>
    <w:rsid w:val="6B8871B5"/>
    <w:rsid w:val="6F8814A6"/>
    <w:rsid w:val="7047394B"/>
    <w:rsid w:val="720E4E8D"/>
    <w:rsid w:val="726D3C91"/>
    <w:rsid w:val="745D61E5"/>
    <w:rsid w:val="74A93BD2"/>
    <w:rsid w:val="77D77AA7"/>
    <w:rsid w:val="785A5C57"/>
    <w:rsid w:val="794C38BE"/>
    <w:rsid w:val="7ADB71B2"/>
    <w:rsid w:val="7C584EE5"/>
    <w:rsid w:val="7CF44998"/>
    <w:rsid w:val="7E7C45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8821</Words>
  <Characters>9956</Characters>
  <TotalTime>2</TotalTime>
  <ScaleCrop>false</ScaleCrop>
  <LinksUpToDate>false</LinksUpToDate>
  <CharactersWithSpaces>10212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一切只为你而来！</cp:lastModifiedBy>
  <cp:lastPrinted>2022-08-31T08:40:00Z</cp:lastPrinted>
  <dcterms:modified xsi:type="dcterms:W3CDTF">2022-09-14T05:07:39Z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4087B4B44F224B7CB004D802A0D93BFB</vt:lpwstr>
  </property>
</Properties>
</file>