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eastAsia="zh-CN"/>
        </w:rPr>
        <w:t>南阳渠灌溉所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 (一)贯彻执行国家、省、市有关水务、防汛、法律法规和方针政策;拟订全县南阳渠管理的地方规范性文件并组织实施;保障南阳渠水资源的合理开发利用，拟订全县南阳渠等水利设施的中长期发展战略规划和政策，组织编制全县南阳渠流域规划、防洪规划等重大水利规划，按规定制定南阳渠相关水利工程建设有关制度并组织实施。</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(二)负责县域内南阳渠的管理，编制全县南阳渠相关水利设施及水利工程综合规划、流域规划和专业规划并组织实施;组织编制、审查水利工程规划，初审、转报项目建议书、可行性研究报告、初步设计报告。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负责对灌区群众提供安全的生产生活用水，加强水资源开发利用管理，用水效率和水功能区限制纳污控制，保障城乡供水安全，保障灌区群众耕地用水安全，促进水资源的可持续利用;加强防汛抗旱工作，减轻水旱灾害损失。</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(四)负责全县南阳渠水利工作、水利工程管理、行政管理;编制全县南阳渠农田水利基本建设发展规划和年度实施计划，指导全县南阳渠流经乡镇供水工作，指导水利设施、水域及其岸线的管理与保护。</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负责管护总干四支、总干五支、总干六支和一干渠、二千渠、三干渠、四干渠及所属支渠、田间配套工程(包括一干渠柳树提灌、二千渠龙泉提灌、春台大庄提灌、郭家梁提灌、那勒寺五家上庄提灌、那勒寺伏格其坪提灌、坪庄支渠提灌，坪庄乡沟洼山喷灌示范点、果园乡洒勒节水灌溉示范点、百和乡何阎家和风山乡池滩示范点，春台乡大庄村、柳树乡红庄、坪庄乡韩则岭罗家、那勒寺镇西牙、汪集乡包家和池沟、北岭乡范家管灌示范点，确保境内干支渠及田间配套工程等所有国家投资建设的水利工程设施设备的安全生产和正常运行。同时，按季度负责交付锁南一、二级泵站向县自来水厂提水所用电费。</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负责做好县域内渠道的日常维修养护工作，负责损坏设施的维修和渠道内淤泥、垃圾、杂物的清理，保证渠道畅通;对渠道沿线群众进行相关法律法规的宣传教育，加强工程设施管护，严厉杜绝水利设施的盗窃与破坏，保证各种水利设施健康运行;负责拟定上报用水、配水计划，组织群众推广节水灌溉技术，使工程发挥最大综合效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(七)对基层水利站的管理、业务指导职责。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(八)承办县政府交办的其他事项。</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人秘股:协调局领导组织办理日常工作。组织全局性的工作会议，起草综合性文件和规范化文件、制度、办法、机要保密、提案信访、信息监查、档案、文印、通讯等工作。负责局机关和基层单位负责人考核、任免和后备队伍的建设。负责局机关及基层职工管理及社会治安综合治理、妇女计划生育工作。负责全系统行业管理、教育和培训工作。组织全系统劳动竞赛、创先争优和安全工作。并负责处理公文、对外宣传、政务信息、秘书、档案、信访等工作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财务股:负责全所的财务管理和会计核算工作，管理国有财产、资金、补贴、费用及盈亏。开展增收节支，发展多种经营，改善经营管理。多渠道组织筹集资金用于南阳渠工程水利建设，制订各项资金使用管理办法和调节措施，监督检查各项水利资金使用状况，对固定资产进行监督管理。并负责局后勤工作。负责全系统内部财务审计工作，管理局机关和系统内负责人离任审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三)灌溉管理股:用水计划的编拟执行，水量调配，不同作物灌溉制度，灌水技术等的试验与科学研究，灌溉技术推广，地亩核对登记，基层管水人员的岗位培训与业务管理等。组织制定灌溉排水方案和计划;灌溉排水调度管理工作;组织灌溉排水水质和水量的监测;参与协调用水纠纷，处理用水矛盾;负责灌溉用水水量的结算;负责灌溉排水技术资料的整理，分析和归档;承办灌溉计划及管道排水方案的编制、灌溉排水的实时调度、协调用水关系;灌溉排水效益的分析总结及资料的整理归档。负责指导灌区科学合理灌溉;负责灌溉实验资料的分析整理、归档及成果的申报管理工作;负责节水灌溉技术的普及推广和培训工作;承担灌溉排水的计量管理工作。组织建立用水户(单位)资料，及时统计、分析灌溉排水量及定额。完成领导交办的其他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3844515.01元，支出总计5262646.33元，与2020年决算数相比，收入减少91278.610元，减少2.32%，支出减少1418131.32元，减少26.95%，主要原因是2020年年初结转和结余为1326852.71，2021年没有年初结转和结余，另外其他就业补助支出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3844515.01</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3844515.01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3844515.01</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3844515.01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3844515.01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91278.61</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2.32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其他就业补助支出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490499.01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14.62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人员经费活动开支增加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3844515.01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减少减少91278.61元，降低2.32%，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其他就业补助支出减少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3354016元</w:t>
      </w:r>
      <w:r>
        <w:rPr>
          <w:rFonts w:hint="eastAsia" w:ascii="仿宋_GB2312" w:hAnsi="仿宋_GB2312" w:eastAsia="仿宋_GB2312" w:cs="仿宋_GB2312"/>
          <w:color w:val="000000"/>
          <w:spacing w:val="0"/>
          <w:w w:val="100"/>
          <w:position w:val="0"/>
          <w:sz w:val="32"/>
          <w:szCs w:val="32"/>
        </w:rPr>
        <w:t>增加490499.01元，增长</w:t>
      </w:r>
      <w:r>
        <w:rPr>
          <w:rFonts w:hint="eastAsia" w:ascii="仿宋_GB2312" w:hAnsi="仿宋_GB2312" w:eastAsia="仿宋_GB2312" w:cs="仿宋_GB2312"/>
          <w:color w:val="000000"/>
          <w:spacing w:val="0"/>
          <w:w w:val="100"/>
          <w:position w:val="0"/>
          <w:sz w:val="32"/>
          <w:szCs w:val="32"/>
          <w:lang w:val="en-US" w:eastAsia="zh-CN"/>
        </w:rPr>
        <w:t>14.62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社会保障就业支出、卫生健康支出、农林水支出等</w:t>
      </w:r>
      <w:r>
        <w:rPr>
          <w:rFonts w:hint="eastAsia" w:ascii="仿宋_GB2312" w:hAnsi="仿宋_GB2312" w:eastAsia="仿宋_GB2312" w:cs="仿宋_GB2312"/>
          <w:color w:val="000000"/>
          <w:spacing w:val="0"/>
          <w:w w:val="100"/>
          <w:position w:val="0"/>
          <w:sz w:val="32"/>
          <w:szCs w:val="32"/>
        </w:rPr>
        <w:t>部分支出年初未申请财政拨款预算</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2021年度一般公共预算财政拨款支出3844515.01 万元，占本年支出的100%，较上年决算数减少91278.61元，降低2.32%。主要原因是其他就业补助支出减少。</w:t>
      </w:r>
      <w:r>
        <w:rPr>
          <w:rFonts w:hint="eastAsia" w:ascii="仿宋_GB2312" w:hAnsi="仿宋_GB2312" w:eastAsia="仿宋_GB2312" w:cs="仿宋_GB2312"/>
          <w:color w:val="000000"/>
          <w:spacing w:val="0"/>
          <w:w w:val="100"/>
          <w:position w:val="0"/>
          <w:sz w:val="32"/>
          <w:szCs w:val="32"/>
        </w:rPr>
        <w:t>较年初预算数增加增加490499.01元，增长14.62%。主要原因是社会保障就业支出、卫生健康支出、农林水支出等部分支出年初未申请财政拨款预算。</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一般公共服务支出31399</w:t>
      </w:r>
      <w:r>
        <w:rPr>
          <w:rFonts w:hint="eastAsia" w:ascii="仿宋_GB2312" w:hAnsi="仿宋_GB2312" w:eastAsia="仿宋_GB2312" w:cs="仿宋_GB2312"/>
          <w:color w:val="000000"/>
          <w:spacing w:val="0"/>
          <w:w w:val="100"/>
          <w:position w:val="0"/>
          <w:sz w:val="32"/>
          <w:szCs w:val="32"/>
          <w:lang w:val="en-US" w:eastAsia="zh-CN" w:bidi="en-US"/>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0.082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rPr>
        <w:t>3322617元，主要原因是</w:t>
      </w:r>
      <w:r>
        <w:rPr>
          <w:rFonts w:hint="eastAsia" w:ascii="仿宋_GB2312" w:hAnsi="仿宋_GB2312" w:eastAsia="仿宋_GB2312" w:cs="仿宋_GB2312"/>
          <w:color w:val="000000"/>
          <w:spacing w:val="0"/>
          <w:w w:val="100"/>
          <w:position w:val="0"/>
          <w:sz w:val="32"/>
          <w:szCs w:val="32"/>
          <w:lang w:eastAsia="zh-CN"/>
        </w:rPr>
        <w:t>年初预算将</w:t>
      </w:r>
      <w:r>
        <w:rPr>
          <w:rFonts w:hint="eastAsia" w:ascii="仿宋_GB2312" w:hAnsi="仿宋_GB2312" w:eastAsia="仿宋_GB2312" w:cs="仿宋_GB2312"/>
          <w:color w:val="000000"/>
          <w:spacing w:val="0"/>
          <w:w w:val="100"/>
          <w:position w:val="0"/>
          <w:sz w:val="32"/>
          <w:szCs w:val="32"/>
        </w:rPr>
        <w:t>社会保障就业支出、卫生健康支出、农林水支出等部分支出</w:t>
      </w:r>
      <w:r>
        <w:rPr>
          <w:rFonts w:hint="eastAsia" w:ascii="仿宋_GB2312" w:hAnsi="仿宋_GB2312" w:eastAsia="仿宋_GB2312" w:cs="仿宋_GB2312"/>
          <w:color w:val="000000"/>
          <w:spacing w:val="0"/>
          <w:w w:val="100"/>
          <w:position w:val="0"/>
          <w:sz w:val="32"/>
          <w:szCs w:val="32"/>
          <w:lang w:eastAsia="zh-CN"/>
        </w:rPr>
        <w:t>未做详细分类</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社会保障与就业支出411089.28元，占</w:t>
      </w:r>
      <w:r>
        <w:rPr>
          <w:rFonts w:hint="eastAsia" w:ascii="仿宋_GB2312" w:hAnsi="仿宋_GB2312" w:eastAsia="仿宋_GB2312" w:cs="仿宋_GB2312"/>
          <w:color w:val="000000"/>
          <w:spacing w:val="0"/>
          <w:w w:val="100"/>
          <w:position w:val="0"/>
          <w:sz w:val="32"/>
          <w:szCs w:val="32"/>
          <w:lang w:val="en-US" w:eastAsia="zh-CN"/>
        </w:rPr>
        <w:t>10.69</w:t>
      </w:r>
      <w:r>
        <w:rPr>
          <w:rFonts w:hint="eastAsia" w:ascii="仿宋_GB2312" w:hAnsi="仿宋_GB2312" w:eastAsia="仿宋_GB2312" w:cs="仿宋_GB2312"/>
          <w:color w:val="000000"/>
          <w:spacing w:val="0"/>
          <w:w w:val="100"/>
          <w:position w:val="0"/>
          <w:sz w:val="32"/>
          <w:szCs w:val="32"/>
        </w:rPr>
        <w:t>%,较年初预算数增加411089.28元，主要原因是</w:t>
      </w:r>
      <w:r>
        <w:rPr>
          <w:rFonts w:hint="eastAsia" w:ascii="仿宋_GB2312" w:hAnsi="仿宋_GB2312" w:eastAsia="仿宋_GB2312" w:cs="仿宋_GB2312"/>
          <w:color w:val="000000"/>
          <w:spacing w:val="0"/>
          <w:w w:val="100"/>
          <w:position w:val="0"/>
          <w:sz w:val="32"/>
          <w:szCs w:val="32"/>
          <w:lang w:val="en-US" w:eastAsia="zh-CN"/>
        </w:rPr>
        <w:t>养老保险年初未列入预算</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卫生健康支出166009.08元，占</w:t>
      </w:r>
      <w:r>
        <w:rPr>
          <w:rFonts w:hint="eastAsia" w:ascii="仿宋_GB2312" w:hAnsi="仿宋_GB2312" w:eastAsia="仿宋_GB2312" w:cs="仿宋_GB2312"/>
          <w:color w:val="000000"/>
          <w:spacing w:val="0"/>
          <w:w w:val="100"/>
          <w:position w:val="0"/>
          <w:sz w:val="32"/>
          <w:szCs w:val="32"/>
          <w:lang w:val="en-US" w:eastAsia="zh-CN"/>
        </w:rPr>
        <w:t>4.32</w:t>
      </w:r>
      <w:r>
        <w:rPr>
          <w:rFonts w:hint="eastAsia" w:ascii="仿宋_GB2312" w:hAnsi="仿宋_GB2312" w:eastAsia="仿宋_GB2312" w:cs="仿宋_GB2312"/>
          <w:color w:val="000000"/>
          <w:spacing w:val="0"/>
          <w:w w:val="100"/>
          <w:position w:val="0"/>
          <w:sz w:val="32"/>
          <w:szCs w:val="32"/>
        </w:rPr>
        <w:t>%,较年初预算数增加166009.08元，主要原因是</w:t>
      </w:r>
      <w:r>
        <w:rPr>
          <w:rFonts w:hint="eastAsia" w:ascii="仿宋_GB2312" w:hAnsi="仿宋_GB2312" w:eastAsia="仿宋_GB2312" w:cs="仿宋_GB2312"/>
          <w:color w:val="000000"/>
          <w:spacing w:val="0"/>
          <w:w w:val="100"/>
          <w:position w:val="0"/>
          <w:sz w:val="32"/>
          <w:szCs w:val="32"/>
          <w:lang w:val="en-US" w:eastAsia="zh-CN"/>
        </w:rPr>
        <w:t>医疗保险年初未列入预算</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农林水支出3236017.65元，占</w:t>
      </w:r>
      <w:r>
        <w:rPr>
          <w:rFonts w:hint="eastAsia" w:ascii="仿宋_GB2312" w:hAnsi="仿宋_GB2312" w:eastAsia="仿宋_GB2312" w:cs="仿宋_GB2312"/>
          <w:color w:val="000000"/>
          <w:spacing w:val="0"/>
          <w:w w:val="100"/>
          <w:position w:val="0"/>
          <w:sz w:val="32"/>
          <w:szCs w:val="32"/>
          <w:lang w:val="en-US" w:eastAsia="zh-CN"/>
        </w:rPr>
        <w:t>84.17</w:t>
      </w:r>
      <w:r>
        <w:rPr>
          <w:rFonts w:hint="eastAsia" w:ascii="仿宋_GB2312" w:hAnsi="仿宋_GB2312" w:eastAsia="仿宋_GB2312" w:cs="仿宋_GB2312"/>
          <w:color w:val="000000"/>
          <w:spacing w:val="0"/>
          <w:w w:val="100"/>
          <w:position w:val="0"/>
          <w:sz w:val="32"/>
          <w:szCs w:val="32"/>
        </w:rPr>
        <w:t>%,较年初预算数增加3236017.65元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农林水支出年初未列入预算。</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年度一般公共财政拨款基本支出3844515.01元。其中：人员经费3528121.36元，较上年</w:t>
      </w:r>
      <w:r>
        <w:rPr>
          <w:rFonts w:hint="eastAsia" w:ascii="仿宋_GB2312" w:hAnsi="仿宋_GB2312" w:eastAsia="仿宋_GB2312" w:cs="仿宋_GB2312"/>
          <w:color w:val="000000"/>
          <w:spacing w:val="0"/>
          <w:w w:val="100"/>
          <w:position w:val="0"/>
          <w:sz w:val="32"/>
          <w:szCs w:val="32"/>
          <w:lang w:eastAsia="zh-CN"/>
        </w:rPr>
        <w:t>减少191442.4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奖励金</w:t>
      </w:r>
      <w:r>
        <w:rPr>
          <w:rFonts w:hint="eastAsia" w:ascii="仿宋_GB2312" w:hAnsi="仿宋_GB2312" w:eastAsia="仿宋_GB2312" w:cs="仿宋_GB2312"/>
          <w:color w:val="000000"/>
          <w:spacing w:val="0"/>
          <w:w w:val="100"/>
          <w:position w:val="0"/>
          <w:sz w:val="32"/>
          <w:szCs w:val="32"/>
        </w:rPr>
        <w:t>减少。人员经费用途主要包括基本工资1720714</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、津贴补贴982107</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、奖金103202</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、机关事业单位基本养老保险缴费387089.28</w:t>
      </w:r>
      <w:r>
        <w:rPr>
          <w:rFonts w:hint="eastAsia" w:ascii="仿宋_GB2312" w:hAnsi="仿宋_GB2312" w:eastAsia="仿宋_GB2312" w:cs="仿宋_GB2312"/>
          <w:color w:val="000000"/>
          <w:spacing w:val="0"/>
          <w:w w:val="100"/>
          <w:position w:val="0"/>
          <w:sz w:val="32"/>
          <w:szCs w:val="32"/>
          <w:lang w:val="en-US" w:eastAsia="zh-CN" w:bidi="en-US"/>
        </w:rPr>
        <w:t>元、职工基本医疗保险缴费166009.08元、退休费8500元、生活补助16500元、奖励金144000元。</w:t>
      </w:r>
      <w:r>
        <w:rPr>
          <w:rFonts w:hint="eastAsia" w:ascii="仿宋_GB2312" w:hAnsi="仿宋_GB2312" w:eastAsia="仿宋_GB2312" w:cs="仿宋_GB2312"/>
          <w:color w:val="000000"/>
          <w:spacing w:val="0"/>
          <w:w w:val="100"/>
          <w:position w:val="0"/>
          <w:sz w:val="32"/>
          <w:szCs w:val="32"/>
        </w:rPr>
        <w:t>公用经费316393.65元，较上年增加100163.79元，主要原因是办公费</w:t>
      </w:r>
      <w:r>
        <w:rPr>
          <w:rFonts w:hint="eastAsia" w:ascii="仿宋_GB2312" w:hAnsi="仿宋_GB2312" w:eastAsia="仿宋_GB2312" w:cs="仿宋_GB2312"/>
          <w:color w:val="000000"/>
          <w:spacing w:val="0"/>
          <w:w w:val="100"/>
          <w:position w:val="0"/>
          <w:sz w:val="32"/>
          <w:szCs w:val="32"/>
          <w:lang w:eastAsia="zh-CN"/>
        </w:rPr>
        <w:t>、维修（护）费、工会经费</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rPr>
        <w:t>。公用经费用途主要包括办公费151728.63</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电费8710.45元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邮电费805.25元</w:t>
      </w:r>
      <w:r>
        <w:rPr>
          <w:rFonts w:hint="eastAsia" w:ascii="仿宋_GB2312" w:hAnsi="仿宋_GB2312" w:eastAsia="仿宋_GB2312" w:cs="仿宋_GB2312"/>
          <w:color w:val="000000"/>
          <w:spacing w:val="0"/>
          <w:w w:val="100"/>
          <w:position w:val="0"/>
          <w:sz w:val="32"/>
          <w:szCs w:val="32"/>
        </w:rPr>
        <w:t>、维修（护）费</w:t>
      </w:r>
      <w:r>
        <w:rPr>
          <w:rFonts w:hint="eastAsia" w:ascii="仿宋_GB2312" w:hAnsi="仿宋_GB2312" w:eastAsia="仿宋_GB2312" w:cs="仿宋_GB2312"/>
          <w:color w:val="000000"/>
          <w:spacing w:val="0"/>
          <w:w w:val="100"/>
          <w:position w:val="0"/>
          <w:sz w:val="32"/>
          <w:szCs w:val="32"/>
          <w:lang w:val="en-US" w:eastAsia="zh-CN"/>
        </w:rPr>
        <w:t>70000</w:t>
      </w:r>
      <w:r>
        <w:rPr>
          <w:rFonts w:hint="eastAsia" w:ascii="仿宋_GB2312" w:hAnsi="仿宋_GB2312" w:eastAsia="仿宋_GB2312" w:cs="仿宋_GB2312"/>
          <w:color w:val="000000"/>
          <w:spacing w:val="0"/>
          <w:w w:val="100"/>
          <w:position w:val="0"/>
          <w:sz w:val="32"/>
          <w:szCs w:val="32"/>
          <w:lang w:eastAsia="zh-CN"/>
        </w:rPr>
        <w:t>元、劳务费31730.32元、工会经费53419元</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元，机关运行经费主要用于开支主要用于办公费、</w:t>
      </w:r>
      <w:r>
        <w:rPr>
          <w:rFonts w:hint="eastAsia" w:ascii="仿宋_GB2312" w:hAnsi="仿宋_GB2312" w:eastAsia="仿宋_GB2312" w:cs="仿宋_GB2312"/>
          <w:color w:val="000000"/>
          <w:spacing w:val="0"/>
          <w:w w:val="100"/>
          <w:position w:val="0"/>
          <w:sz w:val="32"/>
          <w:szCs w:val="32"/>
          <w:lang w:eastAsia="zh-CN"/>
        </w:rPr>
        <w:t>电费、劳务费等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w:t>
      </w:r>
      <w:r>
        <w:rPr>
          <w:rFonts w:hint="eastAsia" w:ascii="仿宋_GB2312" w:hAnsi="仿宋_GB2312" w:eastAsia="仿宋_GB2312" w:cs="仿宋_GB2312"/>
          <w:color w:val="000000"/>
          <w:spacing w:val="0"/>
          <w:w w:val="100"/>
          <w:position w:val="0"/>
          <w:sz w:val="32"/>
          <w:szCs w:val="32"/>
        </w:rPr>
        <w:t>机关运行经费</w:t>
      </w:r>
      <w:r>
        <w:rPr>
          <w:rFonts w:hint="eastAsia" w:ascii="仿宋_GB2312" w:hAnsi="仿宋_GB2312" w:eastAsia="仿宋_GB2312" w:cs="仿宋_GB2312"/>
          <w:color w:val="000000"/>
          <w:spacing w:val="0"/>
          <w:w w:val="100"/>
          <w:position w:val="0"/>
          <w:sz w:val="32"/>
          <w:szCs w:val="32"/>
          <w:lang w:eastAsia="zh-CN"/>
        </w:rPr>
        <w:t>决算中未做说明</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2021年12月31日，本部门（本单位）共有车辆0辆，其中：主要领导干部用车0辆、机要通信用车0辆、应急保障用车0辆、执法执勤用车0辆、特种专业技术用车其0辆、离退休干部用车0辆、其他用车0辆,其他用车主要是（其他用车根据汽车用途情况进行说明）。单价50万元以上通用设备0台（套），单价100万元以上专用设备0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根据《临夏州州级预算绩效管理办法》，我部门（我单位）组织实施了2021年度预算绩效评价工作，共涉及资金0元。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我</w:t>
      </w:r>
      <w:r>
        <w:rPr>
          <w:rFonts w:hint="eastAsia" w:ascii="仿宋_GB2312" w:hAnsi="仿宋_GB2312" w:eastAsia="仿宋_GB2312" w:cs="仿宋_GB2312"/>
          <w:color w:val="000000"/>
          <w:spacing w:val="0"/>
          <w:w w:val="100"/>
          <w:position w:val="0"/>
          <w:sz w:val="32"/>
          <w:szCs w:val="32"/>
        </w:rPr>
        <w:t>单位本年</w:t>
      </w:r>
      <w:r>
        <w:rPr>
          <w:rFonts w:hint="eastAsia" w:ascii="仿宋_GB2312" w:hAnsi="仿宋_GB2312" w:eastAsia="仿宋_GB2312" w:cs="仿宋_GB2312"/>
          <w:color w:val="000000"/>
          <w:spacing w:val="0"/>
          <w:w w:val="100"/>
          <w:position w:val="0"/>
          <w:sz w:val="32"/>
          <w:szCs w:val="32"/>
          <w:lang w:eastAsia="zh-CN"/>
        </w:rPr>
        <w:t>的</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eastAsia="zh-CN"/>
        </w:rPr>
        <w:t>不涉及</w:t>
      </w:r>
      <w:r>
        <w:rPr>
          <w:rFonts w:hint="eastAsia" w:ascii="仿宋_GB2312" w:hAnsi="仿宋_GB2312" w:eastAsia="仿宋_GB2312" w:cs="仿宋_GB2312"/>
          <w:color w:val="000000"/>
          <w:spacing w:val="0"/>
          <w:w w:val="100"/>
          <w:position w:val="0"/>
          <w:sz w:val="32"/>
          <w:szCs w:val="32"/>
        </w:rPr>
        <w:t>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7" w:name="_GoBack"/>
      <w:bookmarkEnd w:id="17"/>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MeG4vnYAAAADQEAAA8AAAAAAAAAAQAgAAAAIgAAAGRycy9kb3ducmV2&#10;LnhtbFBLAQIUABQAAAAIAIdO4kDM1a5gigEAAB8DAAAOAAAAAAAAAAEAIAAAACcBAABkcnMvZTJv&#10;RG9jLnhtbFBLBQYAAAAABgAGAFkBAAAj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2"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Yy5Pu2AAAAA0BAAAPAAAAAAAAAAEAIAAAACIAAABkcnMvZG93bnJl&#10;di54bWxQSwECFAAUAAAACACHTuJA+Gr0D4sBAAAgAwAADgAAAAAAAAABACAAAAAnAQAAZHJzL2Uy&#10;b0RvYy54bWxQSwUGAAAAAAYABgBZAQAAJA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ZfLrLNgAAAANAQAADwAAAAAAAAABACAAAAAiAAAAZHJzL2Rvd25y&#10;ZXYueG1sUEsBAhQAFAAAAAgAh07iQDCXXZGMAQAAIAMAAA4AAAAAAAAAAQAgAAAAJwEAAGRycy9l&#10;Mm9Eb2MueG1sUEsFBgAAAAAGAAYAWQEAACU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mY2ZDVjMTQ5NjMxZDc5ODI2YjQ4OWQwOTc4YzViNWEifQ=="/>
  </w:docVars>
  <w:rsids>
    <w:rsidRoot w:val="00000000"/>
    <w:rsid w:val="0511788F"/>
    <w:rsid w:val="05BA65AD"/>
    <w:rsid w:val="06AA1511"/>
    <w:rsid w:val="0A4C6688"/>
    <w:rsid w:val="0E4F72A9"/>
    <w:rsid w:val="1739327C"/>
    <w:rsid w:val="19BA4320"/>
    <w:rsid w:val="1B205130"/>
    <w:rsid w:val="1D2043DB"/>
    <w:rsid w:val="1E712589"/>
    <w:rsid w:val="1F523B54"/>
    <w:rsid w:val="21D67A5D"/>
    <w:rsid w:val="233B0F7E"/>
    <w:rsid w:val="25FD0C5D"/>
    <w:rsid w:val="29C05E6C"/>
    <w:rsid w:val="2F990904"/>
    <w:rsid w:val="34551BEA"/>
    <w:rsid w:val="39132471"/>
    <w:rsid w:val="39F46F0A"/>
    <w:rsid w:val="3ABD5DEE"/>
    <w:rsid w:val="3BD710AD"/>
    <w:rsid w:val="41670196"/>
    <w:rsid w:val="42736B67"/>
    <w:rsid w:val="43D445BB"/>
    <w:rsid w:val="4B60103E"/>
    <w:rsid w:val="4F1428B3"/>
    <w:rsid w:val="537062B7"/>
    <w:rsid w:val="57D535F7"/>
    <w:rsid w:val="58806626"/>
    <w:rsid w:val="5B0D2D79"/>
    <w:rsid w:val="5BFF7543"/>
    <w:rsid w:val="60D720E0"/>
    <w:rsid w:val="62922058"/>
    <w:rsid w:val="66AB60CA"/>
    <w:rsid w:val="6B171A8B"/>
    <w:rsid w:val="6B897275"/>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4">
    <w:name w:val="Strong"/>
    <w:basedOn w:val="3"/>
    <w:qFormat/>
    <w:uiPriority w:val="0"/>
    <w:rPr>
      <w:b/>
      <w:bCs/>
    </w:rPr>
  </w:style>
  <w:style w:type="character" w:styleId="5">
    <w:name w:val="FollowedHyperlink"/>
    <w:basedOn w:val="3"/>
    <w:qFormat/>
    <w:uiPriority w:val="0"/>
    <w:rPr>
      <w:color w:val="333333"/>
      <w:u w:val="none"/>
    </w:rPr>
  </w:style>
  <w:style w:type="character" w:styleId="6">
    <w:name w:val="HTML Definition"/>
    <w:basedOn w:val="3"/>
    <w:qFormat/>
    <w:uiPriority w:val="0"/>
    <w:rPr>
      <w:i/>
      <w:iCs/>
    </w:rPr>
  </w:style>
  <w:style w:type="character" w:styleId="7">
    <w:name w:val="Hyperlink"/>
    <w:basedOn w:val="3"/>
    <w:qFormat/>
    <w:uiPriority w:val="0"/>
    <w:rPr>
      <w:color w:val="333333"/>
      <w:u w:val="none"/>
    </w:rPr>
  </w:style>
  <w:style w:type="character" w:styleId="8">
    <w:name w:val="HTML Code"/>
    <w:basedOn w:val="3"/>
    <w:uiPriority w:val="0"/>
    <w:rPr>
      <w:rFonts w:ascii="Consolas" w:hAnsi="Consolas" w:eastAsia="Consolas" w:cs="Consolas"/>
      <w:color w:val="C7254E"/>
      <w:sz w:val="21"/>
      <w:szCs w:val="21"/>
      <w:shd w:val="clear" w:fill="F9F2F4"/>
    </w:rPr>
  </w:style>
  <w:style w:type="character" w:styleId="9">
    <w:name w:val="HTML Keyboard"/>
    <w:basedOn w:val="3"/>
    <w:qFormat/>
    <w:uiPriority w:val="0"/>
    <w:rPr>
      <w:rFonts w:hint="default" w:ascii="Consolas" w:hAnsi="Consolas" w:eastAsia="Consolas" w:cs="Consolas"/>
      <w:color w:val="FFFFFF"/>
      <w:sz w:val="21"/>
      <w:szCs w:val="21"/>
      <w:shd w:val="clear" w:fill="333333"/>
    </w:rPr>
  </w:style>
  <w:style w:type="character" w:styleId="10">
    <w:name w:val="HTML Sample"/>
    <w:basedOn w:val="3"/>
    <w:qFormat/>
    <w:uiPriority w:val="0"/>
    <w:rPr>
      <w:rFonts w:hint="default" w:ascii="Consolas" w:hAnsi="Consolas" w:eastAsia="Consolas" w:cs="Consolas"/>
      <w:sz w:val="21"/>
      <w:szCs w:val="21"/>
    </w:rPr>
  </w:style>
  <w:style w:type="character" w:customStyle="1" w:styleId="12">
    <w:name w:val="Body text|1_"/>
    <w:basedOn w:val="3"/>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3"/>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3"/>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3"/>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3"/>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3"/>
    <w:qFormat/>
    <w:uiPriority w:val="0"/>
  </w:style>
  <w:style w:type="character" w:customStyle="1" w:styleId="23">
    <w:name w:val="zwxxgk_bnt61"/>
    <w:basedOn w:val="3"/>
    <w:qFormat/>
    <w:uiPriority w:val="0"/>
  </w:style>
  <w:style w:type="character" w:customStyle="1" w:styleId="24">
    <w:name w:val="zwxxgk_bnt62"/>
    <w:basedOn w:val="3"/>
    <w:qFormat/>
    <w:uiPriority w:val="0"/>
  </w:style>
  <w:style w:type="character" w:customStyle="1" w:styleId="25">
    <w:name w:val="zwxxgk_bnt5"/>
    <w:basedOn w:val="3"/>
    <w:qFormat/>
    <w:uiPriority w:val="0"/>
  </w:style>
  <w:style w:type="character" w:customStyle="1" w:styleId="26">
    <w:name w:val="zwxxgk_bnt51"/>
    <w:basedOn w:val="3"/>
    <w:qFormat/>
    <w:uiPriority w:val="0"/>
  </w:style>
  <w:style w:type="character" w:customStyle="1" w:styleId="27">
    <w:name w:val="zwxxgk_bnt52"/>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7104</Words>
  <Characters>7767</Characters>
  <TotalTime>1</TotalTime>
  <ScaleCrop>false</ScaleCrop>
  <LinksUpToDate>false</LinksUpToDate>
  <CharactersWithSpaces>8148</CharactersWithSpaces>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2022-09-21T09:53:09Z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3FB965A942B84C0B8C0D4DECFF396933</vt:lpwstr>
  </property>
</Properties>
</file>