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right="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2"/>
      <w:bookmarkStart w:id="2" w:name="bookmark0"/>
      <w:r>
        <w:rPr>
          <w:rFonts w:hint="eastAsia" w:ascii="方正小标宋_GBK" w:hAnsi="方正小标宋_GBK" w:eastAsia="方正小标宋_GBK" w:cs="方正小标宋_GBK"/>
          <w:sz w:val="40"/>
          <w:szCs w:val="40"/>
          <w:lang w:eastAsia="zh-CN"/>
        </w:rPr>
        <w:t>凤山乡人民政府</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center"/>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bookmarkStart w:id="16" w:name="bookmark24"/>
      <w:r>
        <w:rPr>
          <w:rFonts w:hint="eastAsia" w:ascii="仿宋_GB2312" w:eastAsia="仿宋_GB2312"/>
          <w:sz w:val="32"/>
          <w:szCs w:val="32"/>
          <w:lang w:eastAsia="zh-CN"/>
        </w:rPr>
        <w:t>一</w:t>
      </w:r>
      <w:r>
        <w:rPr>
          <w:rFonts w:hint="eastAsia" w:ascii="仿宋_GB2312" w:eastAsia="仿宋_GB2312"/>
          <w:sz w:val="32"/>
          <w:szCs w:val="32"/>
        </w:rPr>
        <w:t>.宣传和贯彻执行党的路线方针政策和法律法规;制定地方经济社会发展规划和年度计划并组织实施;坚持依法行政,推进民主政治,加强基层政权建设做好农业、农村、农民和社区工作,推进乡村振兴。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.按照管理权限,负责机关和事业单位工作人员的教育、培养、选拔和监督工作; 协助管理好派驻单位人员。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.依法依规承担下放的经济社会管理权限和行政执法事项。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九</w:t>
      </w:r>
      <w:r>
        <w:rPr>
          <w:rFonts w:hint="eastAsia" w:ascii="仿宋_GB2312" w:eastAsia="仿宋_GB2312"/>
          <w:sz w:val="32"/>
          <w:szCs w:val="32"/>
        </w:rPr>
        <w:t>.法律、法规规定和县委、县政府交办的其他事项。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十</w:t>
      </w:r>
      <w:r>
        <w:rPr>
          <w:rFonts w:hint="eastAsia" w:ascii="仿宋_GB2312" w:eastAsia="仿宋_GB2312"/>
          <w:sz w:val="32"/>
          <w:szCs w:val="32"/>
        </w:rPr>
        <w:t>.职能转变</w:t>
      </w:r>
      <w:r>
        <w:rPr>
          <w:rFonts w:hint="eastAsia" w:ascii="仿宋_GB2312" w:eastAsia="仿宋_GB2312"/>
          <w:sz w:val="32"/>
          <w:szCs w:val="32"/>
          <w:lang w:eastAsia="zh-CN"/>
        </w:rPr>
        <w:t>：</w:t>
      </w:r>
      <w:r>
        <w:rPr>
          <w:rFonts w:hint="eastAsia" w:ascii="仿宋_GB2312" w:eastAsia="仿宋_GB2312"/>
          <w:sz w:val="32"/>
          <w:szCs w:val="32"/>
        </w:rPr>
        <w:t>（1）加强基层党的建设。坚持党要管党、全面从严治党,切实加强党的政治建设、思想建设、组织建设、作风建设、纪律建设,把制度建设贯穿其中,深入推进反腐败斗争,推动全面从严治党向基层延伸。(2)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(5)强化公共安全职能。加强安全生产、食品药品、生态建设、农产品质量安全等监督管理,建立健全隐患排查治理体系和安全预防控制体系。推进基层行政执法体系改革，完善执法保障机制，增强执法监管能力</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640" w:lineRule="exact"/>
        <w:ind w:left="0" w:leftChars="0" w:right="0" w:firstLine="0" w:firstLineChars="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lang w:eastAsia="zh-CN"/>
        </w:rPr>
        <w:t>凤山乡设置</w:t>
      </w:r>
      <w:r>
        <w:rPr>
          <w:rFonts w:hint="eastAsia" w:ascii="仿宋_GB2312" w:eastAsia="仿宋_GB2312"/>
          <w:sz w:val="30"/>
          <w:szCs w:val="30"/>
        </w:rPr>
        <w:t>党政机构</w:t>
      </w:r>
      <w:r>
        <w:rPr>
          <w:rFonts w:hint="eastAsia" w:ascii="仿宋_GB2312" w:eastAsia="仿宋_GB2312"/>
          <w:sz w:val="30"/>
          <w:szCs w:val="30"/>
          <w:lang w:val="en-US" w:eastAsia="zh-CN"/>
        </w:rPr>
        <w:t>4个，具体为</w:t>
      </w:r>
      <w:r>
        <w:rPr>
          <w:rFonts w:hint="eastAsia" w:ascii="仿宋_GB2312" w:eastAsia="仿宋_GB2312"/>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300" w:right="0" w:rightChars="0" w:firstLine="300" w:firstLineChars="1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1、</w:t>
      </w:r>
      <w:r>
        <w:rPr>
          <w:rFonts w:hint="eastAsia" w:ascii="仿宋_GB2312" w:eastAsia="仿宋_GB2312"/>
          <w:sz w:val="30"/>
          <w:szCs w:val="30"/>
        </w:rPr>
        <w:t>党政综合办公室</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300" w:right="0" w:rightChars="0" w:firstLine="300" w:firstLineChars="100"/>
        <w:textAlignment w:val="auto"/>
        <w:rPr>
          <w:rFonts w:hint="eastAsia" w:ascii="仿宋_GB2312" w:eastAsia="仿宋_GB2312"/>
          <w:sz w:val="30"/>
          <w:szCs w:val="30"/>
        </w:rPr>
      </w:pPr>
      <w:r>
        <w:rPr>
          <w:rFonts w:hint="eastAsia" w:ascii="仿宋_GB2312" w:eastAsia="仿宋_GB2312"/>
          <w:sz w:val="30"/>
          <w:szCs w:val="30"/>
          <w:lang w:val="en-US" w:eastAsia="zh-CN"/>
        </w:rPr>
        <w:t>2、</w:t>
      </w:r>
      <w:r>
        <w:rPr>
          <w:rFonts w:hint="eastAsia" w:ascii="仿宋_GB2312" w:eastAsia="仿宋_GB2312"/>
          <w:sz w:val="30"/>
          <w:szCs w:val="30"/>
        </w:rPr>
        <w:t>党建工作办公室</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300" w:right="0" w:rightChars="0" w:firstLine="300" w:firstLineChars="100"/>
        <w:textAlignment w:val="auto"/>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经济发展和社会事务办公室</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300" w:right="0" w:rightChars="0" w:firstLine="300" w:firstLineChars="100"/>
        <w:textAlignment w:val="auto"/>
        <w:rPr>
          <w:rFonts w:hint="eastAsia"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社会治理和应急管理办公室</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lang w:eastAsia="zh-CN"/>
        </w:rPr>
        <w:t>凤山乡设置</w:t>
      </w:r>
      <w:r>
        <w:rPr>
          <w:rFonts w:hint="eastAsia" w:ascii="仿宋_GB2312" w:eastAsia="仿宋_GB2312"/>
          <w:sz w:val="30"/>
          <w:szCs w:val="30"/>
        </w:rPr>
        <w:t>事业单位</w:t>
      </w:r>
      <w:r>
        <w:rPr>
          <w:rFonts w:hint="eastAsia" w:ascii="仿宋_GB2312" w:eastAsia="仿宋_GB2312"/>
          <w:sz w:val="30"/>
          <w:szCs w:val="30"/>
          <w:lang w:val="en-US" w:eastAsia="zh-CN"/>
        </w:rPr>
        <w:t>5个，具体为</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1、</w:t>
      </w:r>
      <w:r>
        <w:rPr>
          <w:rFonts w:hint="eastAsia" w:ascii="仿宋_GB2312" w:eastAsia="仿宋_GB2312"/>
          <w:sz w:val="30"/>
          <w:szCs w:val="30"/>
        </w:rPr>
        <w:t>农业农村综合服务中心</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2、</w:t>
      </w:r>
      <w:r>
        <w:rPr>
          <w:rFonts w:hint="eastAsia" w:ascii="仿宋_GB2312" w:eastAsia="仿宋_GB2312"/>
          <w:sz w:val="30"/>
          <w:szCs w:val="30"/>
        </w:rPr>
        <w:t>公共事务服务中心</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3、</w:t>
      </w:r>
      <w:r>
        <w:rPr>
          <w:rFonts w:hint="eastAsia" w:ascii="仿宋_GB2312" w:eastAsia="仿宋_GB2312"/>
          <w:sz w:val="30"/>
          <w:szCs w:val="30"/>
        </w:rPr>
        <w:t>政务（便民）服务中心</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4、</w:t>
      </w:r>
      <w:r>
        <w:rPr>
          <w:rFonts w:hint="eastAsia" w:ascii="仿宋_GB2312" w:eastAsia="仿宋_GB2312"/>
          <w:sz w:val="30"/>
          <w:szCs w:val="30"/>
        </w:rPr>
        <w:t>社会治安综合治理中心</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5、</w:t>
      </w:r>
      <w:r>
        <w:rPr>
          <w:rFonts w:hint="eastAsia" w:ascii="仿宋_GB2312" w:eastAsia="仿宋_GB2312"/>
          <w:sz w:val="30"/>
          <w:szCs w:val="30"/>
        </w:rPr>
        <w:t>综合行政执法队</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321" w:firstLineChars="100"/>
        <w:jc w:val="center"/>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以上9张附表详情请见附件1</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163" w:leftChars="0" w:right="0" w:firstLine="643" w:firstLineChars="0"/>
        <w:jc w:val="center"/>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960" w:firstLineChars="3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2021年度收入总计9087594.57元，支出总计9087594.57元，与2020年决算数相比，收入减少4664427.2元，减少33.92%，支出减少4664427.2元，减少33.92%。主要原因是</w:t>
      </w:r>
      <w:r>
        <w:rPr>
          <w:rFonts w:hint="eastAsia" w:ascii="仿宋_GB2312" w:hAnsi="仿宋_GB2312" w:eastAsia="仿宋_GB2312" w:cs="仿宋_GB2312"/>
          <w:color w:val="000000"/>
          <w:spacing w:val="0"/>
          <w:w w:val="100"/>
          <w:position w:val="0"/>
          <w:sz w:val="32"/>
          <w:szCs w:val="32"/>
          <w:lang w:eastAsia="zh-CN"/>
        </w:rPr>
        <w:t>脱贫攻坚项目减少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960" w:firstLineChars="3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8649792.52</w:t>
      </w:r>
      <w:r>
        <w:rPr>
          <w:rFonts w:hint="eastAsia" w:ascii="仿宋_GB2312" w:hAnsi="仿宋_GB2312" w:eastAsia="仿宋_GB2312" w:cs="仿宋_GB2312"/>
          <w:color w:val="000000"/>
          <w:spacing w:val="0"/>
          <w:w w:val="100"/>
          <w:position w:val="0"/>
          <w:sz w:val="32"/>
          <w:szCs w:val="32"/>
        </w:rPr>
        <w:t>元，其中：财政拨款收入8649792.52元，占</w:t>
      </w:r>
      <w:r>
        <w:rPr>
          <w:rFonts w:hint="eastAsia" w:ascii="仿宋_GB2312" w:hAnsi="仿宋_GB2312" w:eastAsia="仿宋_GB2312" w:cs="仿宋_GB2312"/>
          <w:color w:val="000000"/>
          <w:spacing w:val="0"/>
          <w:w w:val="100"/>
          <w:position w:val="0"/>
          <w:sz w:val="32"/>
          <w:szCs w:val="32"/>
          <w:lang w:eastAsia="zh-CN"/>
        </w:rPr>
        <w:t>比</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年度支出合计8649792.52元，其中：基本支出8649792.52元，占</w:t>
      </w:r>
      <w:r>
        <w:rPr>
          <w:rFonts w:hint="eastAsia" w:ascii="仿宋_GB2312" w:hAnsi="仿宋_GB2312" w:eastAsia="仿宋_GB2312" w:cs="仿宋_GB2312"/>
          <w:color w:val="000000"/>
          <w:spacing w:val="0"/>
          <w:w w:val="100"/>
          <w:position w:val="0"/>
          <w:sz w:val="32"/>
          <w:szCs w:val="32"/>
          <w:lang w:eastAsia="zh-CN"/>
        </w:rPr>
        <w:t>比</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财政拨款收入支出决算总体情况说明</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8649792.52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58538.62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0.67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脱贫攻坚项目减少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943790.03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12.25</w:t>
      </w:r>
      <w:r>
        <w:rPr>
          <w:rFonts w:hint="eastAsia" w:ascii="仿宋_GB2312" w:hAnsi="仿宋_GB2312" w:eastAsia="仿宋_GB2312" w:cs="仿宋_GB2312"/>
          <w:color w:val="000000"/>
          <w:spacing w:val="0"/>
          <w:w w:val="100"/>
          <w:position w:val="0"/>
          <w:sz w:val="32"/>
          <w:szCs w:val="32"/>
        </w:rPr>
        <w:t>%。主要原因是年中追加安排基础设施建设专项经费支出预算</w:t>
      </w:r>
      <w:r>
        <w:rPr>
          <w:rFonts w:hint="eastAsia" w:ascii="仿宋_GB2312" w:hAnsi="仿宋_GB2312" w:eastAsia="仿宋_GB2312" w:cs="仿宋_GB2312"/>
          <w:color w:val="000000"/>
          <w:spacing w:val="0"/>
          <w:w w:val="100"/>
          <w:position w:val="0"/>
          <w:sz w:val="32"/>
          <w:szCs w:val="32"/>
          <w:lang w:val="en-US" w:eastAsia="zh-CN"/>
        </w:rPr>
        <w:t>510150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等</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年度财政拨款支出8649792.52元，较上年决算数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4664427.2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35.03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脱贫攻坚项目减少</w:t>
      </w:r>
      <w:r>
        <w:rPr>
          <w:rFonts w:hint="eastAsia" w:ascii="仿宋_GB2312" w:hAnsi="仿宋_GB2312" w:eastAsia="仿宋_GB2312" w:cs="仿宋_GB2312"/>
          <w:color w:val="000000"/>
          <w:spacing w:val="0"/>
          <w:w w:val="100"/>
          <w:position w:val="0"/>
          <w:sz w:val="32"/>
          <w:szCs w:val="32"/>
        </w:rPr>
        <w:t>。较年初预算数增加较年初预算数增加</w:t>
      </w:r>
      <w:r>
        <w:rPr>
          <w:rFonts w:hint="eastAsia" w:ascii="仿宋_GB2312" w:hAnsi="仿宋_GB2312" w:eastAsia="仿宋_GB2312" w:cs="仿宋_GB2312"/>
          <w:color w:val="000000"/>
          <w:spacing w:val="0"/>
          <w:w w:val="100"/>
          <w:position w:val="0"/>
          <w:sz w:val="32"/>
          <w:szCs w:val="32"/>
          <w:lang w:val="en-US" w:eastAsia="zh-CN" w:bidi="en-US"/>
        </w:rPr>
        <w:t>943790.03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12.25</w:t>
      </w:r>
      <w:r>
        <w:rPr>
          <w:rFonts w:hint="eastAsia" w:ascii="仿宋_GB2312" w:hAnsi="仿宋_GB2312" w:eastAsia="仿宋_GB2312" w:cs="仿宋_GB2312"/>
          <w:color w:val="000000"/>
          <w:spacing w:val="0"/>
          <w:w w:val="100"/>
          <w:position w:val="0"/>
          <w:sz w:val="32"/>
          <w:szCs w:val="32"/>
        </w:rPr>
        <w:t>%。主要原因是年中追加安排基础设施建设专项经费支出预算</w:t>
      </w:r>
      <w:r>
        <w:rPr>
          <w:rFonts w:hint="eastAsia" w:ascii="仿宋_GB2312" w:hAnsi="仿宋_GB2312" w:eastAsia="仿宋_GB2312" w:cs="仿宋_GB2312"/>
          <w:color w:val="000000"/>
          <w:spacing w:val="0"/>
          <w:w w:val="100"/>
          <w:position w:val="0"/>
          <w:sz w:val="32"/>
          <w:szCs w:val="32"/>
          <w:lang w:val="en-US" w:eastAsia="zh-CN"/>
        </w:rPr>
        <w:t>510150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等</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right="0" w:firstLine="851" w:firstLineChars="266"/>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val="en-US" w:eastAsia="zh-CN"/>
        </w:rPr>
        <w:t>2021 年度一般公共预算财政拨款支出8649792.52万元，占本年支出的100%，较上年决算数减少58538.62 万元，</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0.67%，主要原因：</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脱贫攻坚项目减少</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943790.03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12.25</w:t>
      </w:r>
      <w:r>
        <w:rPr>
          <w:rFonts w:hint="eastAsia" w:ascii="仿宋_GB2312" w:hAnsi="仿宋_GB2312" w:eastAsia="仿宋_GB2312" w:cs="仿宋_GB2312"/>
          <w:color w:val="000000"/>
          <w:spacing w:val="0"/>
          <w:w w:val="100"/>
          <w:position w:val="0"/>
          <w:sz w:val="32"/>
          <w:szCs w:val="32"/>
        </w:rPr>
        <w:t>%。主要原因是年中追加安排基础设施建设专项经费支出预算</w:t>
      </w:r>
      <w:r>
        <w:rPr>
          <w:rFonts w:hint="eastAsia" w:ascii="仿宋_GB2312" w:hAnsi="仿宋_GB2312" w:eastAsia="仿宋_GB2312" w:cs="仿宋_GB2312"/>
          <w:color w:val="000000"/>
          <w:spacing w:val="0"/>
          <w:w w:val="100"/>
          <w:position w:val="0"/>
          <w:sz w:val="32"/>
          <w:szCs w:val="32"/>
          <w:lang w:val="en-US" w:eastAsia="zh-CN"/>
        </w:rPr>
        <w:t>510150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等</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6140636.64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70.99</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890046.64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行政运行科目经费增加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519429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比</w:t>
      </w:r>
      <w:r>
        <w:rPr>
          <w:rFonts w:hint="eastAsia" w:ascii="仿宋_GB2312" w:hAnsi="仿宋_GB2312" w:eastAsia="仿宋_GB2312" w:cs="仿宋_GB2312"/>
          <w:color w:val="000000"/>
          <w:spacing w:val="0"/>
          <w:w w:val="100"/>
          <w:position w:val="0"/>
          <w:sz w:val="32"/>
          <w:szCs w:val="32"/>
          <w:lang w:val="en-US" w:eastAsia="zh-CN"/>
        </w:rPr>
        <w:t>6.01</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40994.12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人员调动变化</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卫生健康支出229976.88元，占</w:t>
      </w:r>
      <w:r>
        <w:rPr>
          <w:rFonts w:hint="eastAsia" w:ascii="仿宋_GB2312" w:hAnsi="仿宋_GB2312" w:eastAsia="仿宋_GB2312" w:cs="仿宋_GB2312"/>
          <w:color w:val="000000"/>
          <w:spacing w:val="0"/>
          <w:w w:val="100"/>
          <w:position w:val="0"/>
          <w:sz w:val="32"/>
          <w:szCs w:val="32"/>
          <w:lang w:eastAsia="zh-CN"/>
        </w:rPr>
        <w:t>比</w:t>
      </w:r>
      <w:r>
        <w:rPr>
          <w:rFonts w:hint="eastAsia" w:ascii="仿宋_GB2312" w:hAnsi="仿宋_GB2312" w:eastAsia="仿宋_GB2312" w:cs="仿宋_GB2312"/>
          <w:color w:val="000000"/>
          <w:spacing w:val="0"/>
          <w:w w:val="100"/>
          <w:position w:val="0"/>
          <w:sz w:val="32"/>
          <w:szCs w:val="32"/>
          <w:lang w:val="en-US" w:eastAsia="zh-CN"/>
        </w:rPr>
        <w:t>2.66</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284.25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人员调动变化</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农林水支出1759750元，占</w:t>
      </w:r>
      <w:r>
        <w:rPr>
          <w:rFonts w:hint="eastAsia" w:ascii="仿宋_GB2312" w:hAnsi="仿宋_GB2312" w:eastAsia="仿宋_GB2312" w:cs="仿宋_GB2312"/>
          <w:color w:val="000000"/>
          <w:spacing w:val="0"/>
          <w:w w:val="100"/>
          <w:position w:val="0"/>
          <w:sz w:val="32"/>
          <w:szCs w:val="32"/>
          <w:lang w:val="en-US" w:eastAsia="zh-CN"/>
        </w:rPr>
        <w:t>20.34</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510150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年中农村农林水项目增加。</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8649792.52</w:t>
      </w:r>
      <w:r>
        <w:rPr>
          <w:rFonts w:hint="eastAsia" w:ascii="仿宋_GB2312" w:hAnsi="仿宋_GB2312" w:eastAsia="仿宋_GB2312" w:cs="仿宋_GB2312"/>
          <w:color w:val="000000"/>
          <w:spacing w:val="0"/>
          <w:w w:val="100"/>
          <w:position w:val="0"/>
          <w:sz w:val="32"/>
          <w:szCs w:val="32"/>
        </w:rPr>
        <w:t>元。其中：人员经费6867467.88元，较上年增加</w:t>
      </w:r>
      <w:r>
        <w:rPr>
          <w:rFonts w:hint="eastAsia" w:ascii="仿宋_GB2312" w:hAnsi="仿宋_GB2312" w:eastAsia="仿宋_GB2312" w:cs="仿宋_GB2312"/>
          <w:color w:val="000000"/>
          <w:spacing w:val="0"/>
          <w:w w:val="100"/>
          <w:position w:val="0"/>
          <w:sz w:val="32"/>
          <w:szCs w:val="32"/>
          <w:lang w:val="en-US" w:eastAsia="zh-CN"/>
        </w:rPr>
        <w:t>399466.34</w:t>
      </w:r>
      <w:r>
        <w:rPr>
          <w:rFonts w:hint="eastAsia" w:ascii="仿宋_GB2312" w:hAnsi="仿宋_GB2312" w:eastAsia="仿宋_GB2312" w:cs="仿宋_GB2312"/>
          <w:color w:val="000000"/>
          <w:spacing w:val="0"/>
          <w:w w:val="100"/>
          <w:position w:val="0"/>
          <w:sz w:val="32"/>
          <w:szCs w:val="32"/>
        </w:rPr>
        <w:t>元，主要原因是增人增资。人员经费用途主要包括基本工资3575080</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、津贴补贴271420</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、奖金127802</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、社会保障缴费</w:t>
      </w:r>
      <w:r>
        <w:rPr>
          <w:rFonts w:hint="eastAsia" w:ascii="仿宋_GB2312" w:hAnsi="仿宋_GB2312" w:eastAsia="仿宋_GB2312" w:cs="仿宋_GB2312"/>
          <w:color w:val="000000"/>
          <w:spacing w:val="0"/>
          <w:w w:val="100"/>
          <w:position w:val="0"/>
          <w:sz w:val="32"/>
          <w:szCs w:val="32"/>
          <w:lang w:val="en-US" w:eastAsia="zh-CN"/>
        </w:rPr>
        <w:t>749405.88元</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公用经费1782324.64元，较上年增加</w:t>
      </w:r>
      <w:r>
        <w:rPr>
          <w:rFonts w:hint="eastAsia" w:ascii="仿宋_GB2312" w:hAnsi="仿宋_GB2312" w:eastAsia="仿宋_GB2312" w:cs="仿宋_GB2312"/>
          <w:color w:val="000000"/>
          <w:spacing w:val="0"/>
          <w:w w:val="100"/>
          <w:position w:val="0"/>
          <w:sz w:val="32"/>
          <w:szCs w:val="32"/>
          <w:lang w:val="en-US" w:eastAsia="zh-CN"/>
        </w:rPr>
        <w:t>541995.04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商品和服务支出等增加</w:t>
      </w:r>
      <w:r>
        <w:rPr>
          <w:rFonts w:hint="eastAsia" w:ascii="仿宋_GB2312" w:hAnsi="仿宋_GB2312" w:eastAsia="仿宋_GB2312" w:cs="仿宋_GB2312"/>
          <w:color w:val="000000"/>
          <w:spacing w:val="0"/>
          <w:w w:val="100"/>
          <w:position w:val="0"/>
          <w:sz w:val="32"/>
          <w:szCs w:val="32"/>
        </w:rPr>
        <w:t>，公用经费用途主要包括办公费330120.3</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电</w:t>
      </w:r>
      <w:r>
        <w:rPr>
          <w:rFonts w:hint="eastAsia" w:ascii="仿宋_GB2312" w:hAnsi="仿宋_GB2312" w:eastAsia="仿宋_GB2312" w:cs="仿宋_GB2312"/>
          <w:color w:val="000000"/>
          <w:spacing w:val="0"/>
          <w:w w:val="100"/>
          <w:position w:val="0"/>
          <w:sz w:val="32"/>
          <w:szCs w:val="32"/>
        </w:rPr>
        <w:t>费145726.83</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、取暖费197286.66</w:t>
      </w:r>
      <w:r>
        <w:rPr>
          <w:rFonts w:hint="eastAsia" w:ascii="仿宋_GB2312" w:hAnsi="仿宋_GB2312" w:eastAsia="仿宋_GB2312" w:cs="仿宋_GB2312"/>
          <w:color w:val="000000"/>
          <w:spacing w:val="0"/>
          <w:w w:val="100"/>
          <w:position w:val="0"/>
          <w:sz w:val="32"/>
          <w:szCs w:val="32"/>
          <w:lang w:eastAsia="zh-CN"/>
        </w:rPr>
        <w:t>元、维修（护）费649034.73元、公务用车运行维护费17354.41元</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val="zh-CN" w:eastAsia="zh-CN"/>
        </w:rPr>
        <w:t>七、一般公共预算财政拨款“三公”经费支出决算情况说明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50000</w:t>
      </w:r>
      <w:r>
        <w:rPr>
          <w:rFonts w:hint="eastAsia" w:ascii="仿宋_GB2312" w:hAnsi="仿宋_GB2312" w:eastAsia="仿宋_GB2312" w:cs="仿宋_GB2312"/>
          <w:color w:val="000000"/>
          <w:spacing w:val="0"/>
          <w:w w:val="100"/>
          <w:position w:val="0"/>
          <w:sz w:val="32"/>
          <w:szCs w:val="32"/>
        </w:rPr>
        <w:t>元，支出决算数为17354.41元，较年初预算数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32645.59</w:t>
      </w:r>
      <w:r>
        <w:rPr>
          <w:rFonts w:hint="eastAsia" w:ascii="仿宋_GB2312" w:hAnsi="仿宋_GB2312" w:eastAsia="仿宋_GB2312" w:cs="仿宋_GB2312"/>
          <w:color w:val="000000"/>
          <w:spacing w:val="0"/>
          <w:w w:val="100"/>
          <w:position w:val="0"/>
          <w:sz w:val="32"/>
          <w:szCs w:val="32"/>
        </w:rPr>
        <w:t>元，主要原因是公务用车运行维护费</w:t>
      </w:r>
      <w:r>
        <w:rPr>
          <w:rFonts w:hint="eastAsia" w:ascii="仿宋_GB2312" w:hAnsi="仿宋_GB2312" w:eastAsia="仿宋_GB2312" w:cs="仿宋_GB2312"/>
          <w:color w:val="000000"/>
          <w:spacing w:val="0"/>
          <w:w w:val="100"/>
          <w:position w:val="0"/>
          <w:sz w:val="32"/>
          <w:szCs w:val="32"/>
          <w:lang w:eastAsia="zh-CN"/>
        </w:rPr>
        <w:t>产生较少。</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50000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17354.41</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32645.59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公务用车减少，</w:t>
      </w:r>
      <w:r>
        <w:rPr>
          <w:rFonts w:hint="eastAsia" w:ascii="仿宋_GB2312" w:hAnsi="仿宋_GB2312" w:eastAsia="仿宋_GB2312" w:cs="仿宋_GB2312"/>
          <w:color w:val="000000"/>
          <w:spacing w:val="0"/>
          <w:w w:val="100"/>
          <w:position w:val="0"/>
          <w:sz w:val="32"/>
          <w:szCs w:val="32"/>
        </w:rPr>
        <w:t>公务用车运行维护费</w:t>
      </w:r>
      <w:r>
        <w:rPr>
          <w:rFonts w:hint="eastAsia" w:ascii="仿宋_GB2312" w:hAnsi="仿宋_GB2312" w:eastAsia="仿宋_GB2312" w:cs="仿宋_GB2312"/>
          <w:color w:val="000000"/>
          <w:spacing w:val="0"/>
          <w:w w:val="100"/>
          <w:position w:val="0"/>
          <w:sz w:val="32"/>
          <w:szCs w:val="32"/>
          <w:lang w:eastAsia="zh-CN"/>
        </w:rPr>
        <w:t>产生较少。</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50000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17354.41</w:t>
      </w:r>
      <w:r>
        <w:rPr>
          <w:rFonts w:hint="eastAsia" w:ascii="仿宋_GB2312" w:hAnsi="仿宋_GB2312" w:eastAsia="仿宋_GB2312" w:cs="仿宋_GB2312"/>
          <w:color w:val="000000"/>
          <w:spacing w:val="0"/>
          <w:w w:val="100"/>
          <w:position w:val="0"/>
          <w:sz w:val="32"/>
          <w:szCs w:val="32"/>
        </w:rPr>
        <w:t>元，主要用于机要文件交换、市内因公出行、财政业务检查等工作所需车辆的燃料费、维修费、过桥过路费、保险费</w:t>
      </w:r>
      <w:r>
        <w:rPr>
          <w:rFonts w:hint="eastAsia" w:ascii="仿宋_GB2312" w:hAnsi="仿宋_GB2312" w:eastAsia="仿宋_GB2312" w:cs="仿宋_GB2312"/>
          <w:color w:val="000000"/>
          <w:spacing w:val="0"/>
          <w:w w:val="100"/>
          <w:position w:val="0"/>
          <w:sz w:val="32"/>
          <w:szCs w:val="32"/>
          <w:lang w:eastAsia="zh-CN"/>
        </w:rPr>
        <w:t>等。</w:t>
      </w:r>
      <w:r>
        <w:rPr>
          <w:rFonts w:hint="eastAsia" w:ascii="仿宋_GB2312" w:hAnsi="仿宋_GB2312" w:eastAsia="仿宋_GB2312" w:cs="仿宋_GB2312"/>
          <w:color w:val="000000"/>
          <w:spacing w:val="0"/>
          <w:w w:val="100"/>
          <w:position w:val="0"/>
          <w:sz w:val="32"/>
          <w:szCs w:val="32"/>
        </w:rPr>
        <w:t>费用支出减少</w:t>
      </w:r>
      <w:r>
        <w:rPr>
          <w:rFonts w:hint="eastAsia" w:ascii="仿宋_GB2312" w:hAnsi="仿宋_GB2312" w:eastAsia="仿宋_GB2312" w:cs="仿宋_GB2312"/>
          <w:color w:val="000000"/>
          <w:spacing w:val="0"/>
          <w:w w:val="100"/>
          <w:position w:val="0"/>
          <w:sz w:val="32"/>
          <w:szCs w:val="32"/>
          <w:lang w:val="en-US" w:eastAsia="zh-CN"/>
        </w:rPr>
        <w:t>32645.59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公务用车减少，</w:t>
      </w:r>
      <w:r>
        <w:rPr>
          <w:rFonts w:hint="eastAsia" w:ascii="仿宋_GB2312" w:hAnsi="仿宋_GB2312" w:eastAsia="仿宋_GB2312" w:cs="仿宋_GB2312"/>
          <w:color w:val="000000"/>
          <w:spacing w:val="0"/>
          <w:w w:val="100"/>
          <w:position w:val="0"/>
          <w:sz w:val="32"/>
          <w:szCs w:val="32"/>
        </w:rPr>
        <w:t>公务用车运行维护费</w:t>
      </w:r>
      <w:r>
        <w:rPr>
          <w:rFonts w:hint="eastAsia" w:ascii="仿宋_GB2312" w:hAnsi="仿宋_GB2312" w:eastAsia="仿宋_GB2312" w:cs="仿宋_GB2312"/>
          <w:color w:val="000000"/>
          <w:spacing w:val="0"/>
          <w:w w:val="100"/>
          <w:position w:val="0"/>
          <w:sz w:val="32"/>
          <w:szCs w:val="32"/>
          <w:lang w:eastAsia="zh-CN"/>
        </w:rPr>
        <w:t>产生较少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rPr>
        <w:t>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bidi="en-US"/>
        </w:rPr>
        <w:t>17354.41</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rPr>
        <w:t>机关运行经费支出</w:t>
      </w:r>
      <w:r>
        <w:rPr>
          <w:rFonts w:hint="eastAsia" w:ascii="仿宋_GB2312" w:hAnsi="仿宋_GB2312" w:eastAsia="仿宋_GB2312" w:cs="仿宋_GB2312"/>
          <w:color w:val="000000"/>
          <w:spacing w:val="0"/>
          <w:w w:val="100"/>
          <w:position w:val="0"/>
          <w:sz w:val="32"/>
          <w:szCs w:val="32"/>
          <w:lang w:val="en-US" w:eastAsia="zh-CN"/>
        </w:rPr>
        <w:t>500000</w:t>
      </w:r>
      <w:r>
        <w:rPr>
          <w:rFonts w:hint="eastAsia" w:ascii="仿宋_GB2312" w:hAnsi="仿宋_GB2312" w:eastAsia="仿宋_GB2312" w:cs="仿宋_GB2312"/>
          <w:color w:val="000000"/>
          <w:spacing w:val="0"/>
          <w:w w:val="100"/>
          <w:position w:val="0"/>
          <w:sz w:val="32"/>
          <w:szCs w:val="32"/>
        </w:rPr>
        <w:t>元，机关运行经费主要用于开支办公费330120.3</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、公务车运行维护费17354.41</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、委托业务费34200</w:t>
      </w:r>
      <w:r>
        <w:rPr>
          <w:rFonts w:hint="eastAsia" w:ascii="仿宋_GB2312" w:hAnsi="仿宋_GB2312" w:eastAsia="仿宋_GB2312" w:cs="仿宋_GB2312"/>
          <w:color w:val="000000"/>
          <w:spacing w:val="0"/>
          <w:w w:val="100"/>
          <w:position w:val="0"/>
          <w:sz w:val="32"/>
          <w:szCs w:val="32"/>
          <w:lang w:eastAsia="zh-CN"/>
        </w:rPr>
        <w:t>元、工会经费29229元、劳务费47805.01元。</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rPr>
        <w:t>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辆，其中：机要通信用车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辆,其他用车主要是</w:t>
      </w:r>
      <w:r>
        <w:rPr>
          <w:rFonts w:hint="eastAsia" w:ascii="仿宋_GB2312" w:hAnsi="仿宋_GB2312" w:eastAsia="仿宋_GB2312" w:cs="仿宋_GB2312"/>
          <w:color w:val="000000"/>
          <w:spacing w:val="0"/>
          <w:w w:val="100"/>
          <w:position w:val="0"/>
          <w:sz w:val="32"/>
          <w:szCs w:val="32"/>
          <w:lang w:eastAsia="zh-CN"/>
        </w:rPr>
        <w:t>垃圾清运车</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rPr>
        <w:t>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zh-CN" w:eastAsia="zh-CN" w:bidi="zh-CN"/>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w:t>
      </w:r>
      <w:r>
        <w:rPr>
          <w:rFonts w:hint="eastAsia" w:ascii="仿宋_GB2312" w:eastAsia="仿宋_GB2312"/>
          <w:sz w:val="30"/>
          <w:szCs w:val="30"/>
        </w:rPr>
        <w:t>组织</w:t>
      </w:r>
      <w:r>
        <w:rPr>
          <w:rFonts w:hint="eastAsia" w:ascii="仿宋_GB2312" w:eastAsia="仿宋_GB2312"/>
          <w:sz w:val="30"/>
          <w:szCs w:val="30"/>
          <w:lang w:eastAsia="zh-CN"/>
        </w:rPr>
        <w:t>干部职工</w:t>
      </w:r>
      <w:r>
        <w:rPr>
          <w:rFonts w:hint="eastAsia" w:ascii="仿宋_GB2312" w:eastAsia="仿宋_GB2312"/>
          <w:sz w:val="30"/>
          <w:szCs w:val="30"/>
        </w:rPr>
        <w:t>参加业务培训，提升人员业务能力，加强监督和管理。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center"/>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8" w:name="_GoBack"/>
      <w:bookmarkEnd w:id="18"/>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sectPr>
          <w:footerReference r:id="rId6" w:type="default"/>
          <w:footnotePr>
            <w:numFmt w:val="decimal"/>
          </w:footnotePr>
          <w:pgSz w:w="11900" w:h="16840"/>
          <w:pgMar w:top="1226" w:right="1820" w:bottom="1662" w:left="1632" w:header="798" w:footer="3" w:gutter="0"/>
          <w:cols w:space="720" w:num="1"/>
          <w:rtlGutter w:val="0"/>
          <w:docGrid w:linePitch="360" w:charSpace="0"/>
        </w:sectPr>
      </w:pPr>
    </w:p>
    <w:tbl>
      <w:tblPr>
        <w:tblStyle w:val="3"/>
        <w:tblpPr w:leftFromText="180" w:rightFromText="180" w:vertAnchor="text" w:horzAnchor="page" w:tblpX="682" w:tblpY="-10246"/>
        <w:tblOverlap w:val="never"/>
        <w:tblW w:w="106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16"/>
        <w:gridCol w:w="616"/>
        <w:gridCol w:w="1416"/>
        <w:gridCol w:w="3216"/>
        <w:gridCol w:w="61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696" w:type="dxa"/>
            <w:gridSpan w:val="6"/>
            <w:tcBorders>
              <w:top w:val="nil"/>
              <w:left w:val="nil"/>
              <w:bottom w:val="nil"/>
              <w:right w:val="nil"/>
            </w:tcBorders>
            <w:shd w:val="clear" w:color="auto" w:fill="auto"/>
            <w:noWrap/>
            <w:vAlign w:val="bottom"/>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b/>
                <w:bCs/>
                <w:i w:val="0"/>
                <w:iCs w:val="0"/>
                <w:color w:val="000000"/>
                <w:sz w:val="22"/>
                <w:szCs w:val="22"/>
                <w:u w:val="none"/>
              </w:rPr>
            </w:pPr>
            <w:r>
              <w:rPr>
                <w:rFonts w:hint="eastAsia" w:ascii="仿宋_GB2312" w:hAnsi="仿宋_GB2312" w:eastAsia="仿宋_GB2312" w:cs="仿宋_GB2312"/>
                <w:sz w:val="24"/>
                <w:szCs w:val="24"/>
                <w:lang w:val="en-US" w:eastAsia="zh-CN"/>
              </w:rPr>
              <w:t xml:space="preserve">附件1-1                         </w:t>
            </w: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416" w:type="dxa"/>
            <w:tcBorders>
              <w:top w:val="nil"/>
              <w:left w:val="nil"/>
              <w:bottom w:val="nil"/>
              <w:right w:val="nil"/>
            </w:tcBorders>
            <w:shd w:val="clear" w:color="auto" w:fill="auto"/>
            <w:noWrap/>
            <w:vAlign w:val="bottom"/>
          </w:tcPr>
          <w:p>
            <w:pPr>
              <w:rPr>
                <w:rFonts w:hint="eastAsia" w:ascii="Arial" w:hAnsi="Arial" w:eastAsia="宋体" w:cs="Arial"/>
                <w:i w:val="0"/>
                <w:iCs w:val="0"/>
                <w:color w:val="000000"/>
                <w:sz w:val="20"/>
                <w:szCs w:val="20"/>
                <w:u w:val="none"/>
              </w:rPr>
            </w:pPr>
          </w:p>
        </w:tc>
        <w:tc>
          <w:tcPr>
            <w:tcW w:w="616"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416"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3216"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616"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032"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部门：临夏州东乡族自治县凤山乡政府</w:t>
            </w:r>
          </w:p>
        </w:tc>
        <w:tc>
          <w:tcPr>
            <w:tcW w:w="1416" w:type="dxa"/>
            <w:tcBorders>
              <w:top w:val="nil"/>
              <w:left w:val="nil"/>
              <w:bottom w:val="nil"/>
              <w:right w:val="nil"/>
            </w:tcBorders>
            <w:shd w:val="clear" w:color="auto" w:fill="auto"/>
            <w:noWrap/>
            <w:vAlign w:val="bottom"/>
          </w:tcPr>
          <w:p>
            <w:pPr>
              <w:jc w:val="left"/>
              <w:rPr>
                <w:rFonts w:hint="default" w:ascii="Arial" w:hAnsi="Arial" w:eastAsia="宋体" w:cs="Arial"/>
                <w:i w:val="0"/>
                <w:iCs w:val="0"/>
                <w:color w:val="000000"/>
                <w:sz w:val="20"/>
                <w:szCs w:val="20"/>
                <w:u w:val="none"/>
              </w:rPr>
            </w:pPr>
          </w:p>
        </w:tc>
        <w:tc>
          <w:tcPr>
            <w:tcW w:w="3216"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616"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44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收入</w:t>
            </w:r>
          </w:p>
        </w:tc>
        <w:tc>
          <w:tcPr>
            <w:tcW w:w="5248"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行次</w:t>
            </w:r>
          </w:p>
        </w:tc>
        <w:tc>
          <w:tcPr>
            <w:tcW w:w="1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w:t>
            </w: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行次</w:t>
            </w:r>
          </w:p>
        </w:tc>
        <w:tc>
          <w:tcPr>
            <w:tcW w:w="1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栏次</w:t>
            </w:r>
          </w:p>
        </w:tc>
        <w:tc>
          <w:tcPr>
            <w:tcW w:w="61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w:t>
            </w: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栏次</w:t>
            </w:r>
          </w:p>
        </w:tc>
        <w:tc>
          <w:tcPr>
            <w:tcW w:w="61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一、一般公共预算财政拨款收入</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8,649,792.52</w:t>
            </w: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一、一般公共服务支出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6,140,636.64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二、政府性基金预算财政拨款收入</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二、外交支出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33</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三、国有资本经营预算财政拨款收入</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三、国防支出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34</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四、上级补助收入</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四、公共安全支出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35</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五、事业收入</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五、教育支出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36</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六、经营收入</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六、科学技术支出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37</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七、附属单位上缴收入</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7</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七、文化旅游体育与传媒支出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38</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八、其他收入</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八、社会保障和就业支出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39</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9</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九、卫生健康支出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10</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十、节能环保支出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41</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十一、城乡社区支出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42</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12</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十二、农林水支出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43</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1,759,750.00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13</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十三、交通运输支出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44</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14</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十四、资源勘探工业信息等支出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45</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15</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十五、商业服务业等支出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46</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16</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十六、金融支出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47</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十七、援助其他地区支出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48</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18</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十八、自然资源海洋气象等支出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49</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19</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十九、住房保障支出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二十、粮油物资储备支出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二十一、国有资本经营预算支出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52</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二十二、灾害防治及应急管理支出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53</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23</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二十三、其他支出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54</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24</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二十四、债务还本支出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55</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25</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二十五、债务付息支出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56</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26</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二十六、抗疫特别国债安排的支出</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57</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本年收入合计</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8,649,792.52</w:t>
            </w: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本年支出合计</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8,649,792.52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使用非财政拨款结余</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28</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结余分配</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59</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年初结转和结余</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437,802.05</w:t>
            </w: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年末结转和结余</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437,802.05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61</w:t>
            </w:r>
          </w:p>
        </w:tc>
        <w:tc>
          <w:tcPr>
            <w:tcW w:w="14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4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总计</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9,087,594.57</w:t>
            </w:r>
          </w:p>
        </w:tc>
        <w:tc>
          <w:tcPr>
            <w:tcW w:w="3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总计</w:t>
            </w:r>
          </w:p>
        </w:tc>
        <w:tc>
          <w:tcPr>
            <w:tcW w:w="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9,087,594.57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0696"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696"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2.本套报表金额单位转换时可能存在尾数误差。</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sz w:val="24"/>
          <w:szCs w:val="24"/>
          <w:lang w:val="en-US" w:eastAsia="zh-CN"/>
        </w:rPr>
        <w:t xml:space="preserve">        </w:t>
      </w:r>
    </w:p>
    <w:tbl>
      <w:tblPr>
        <w:tblStyle w:val="3"/>
        <w:tblpPr w:leftFromText="180" w:rightFromText="180" w:vertAnchor="text" w:horzAnchor="page" w:tblpX="817" w:tblpY="-10191"/>
        <w:tblOverlap w:val="never"/>
        <w:tblW w:w="104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5"/>
        <w:gridCol w:w="305"/>
        <w:gridCol w:w="306"/>
        <w:gridCol w:w="3416"/>
        <w:gridCol w:w="1581"/>
        <w:gridCol w:w="1560"/>
        <w:gridCol w:w="476"/>
        <w:gridCol w:w="467"/>
        <w:gridCol w:w="464"/>
        <w:gridCol w:w="471"/>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467" w:type="dxa"/>
            <w:gridSpan w:val="11"/>
            <w:tcBorders>
              <w:top w:val="nil"/>
              <w:left w:val="nil"/>
              <w:bottom w:val="nil"/>
              <w:right w:val="nil"/>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val="0"/>
                <w:bCs w:val="0"/>
                <w:i w:val="0"/>
                <w:iCs w:val="0"/>
                <w:color w:val="000000"/>
                <w:spacing w:val="0"/>
                <w:w w:val="100"/>
                <w:kern w:val="0"/>
                <w:position w:val="0"/>
                <w:sz w:val="22"/>
                <w:szCs w:val="22"/>
                <w:u w:val="none"/>
                <w:shd w:val="clear" w:color="auto" w:fill="auto"/>
                <w:lang w:val="en-US" w:eastAsia="zh-CN" w:bidi="ar"/>
              </w:rPr>
              <w:t xml:space="preserve">附件1-2                                  </w:t>
            </w: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05" w:type="dxa"/>
            <w:tcBorders>
              <w:top w:val="nil"/>
              <w:left w:val="nil"/>
              <w:bottom w:val="nil"/>
              <w:right w:val="nil"/>
            </w:tcBorders>
            <w:shd w:val="clear" w:color="auto" w:fill="auto"/>
            <w:noWrap/>
            <w:vAlign w:val="bottom"/>
          </w:tcPr>
          <w:p>
            <w:pPr>
              <w:rPr>
                <w:rFonts w:hint="eastAsia" w:ascii="Arial" w:hAnsi="Arial" w:eastAsia="宋体" w:cs="Arial"/>
                <w:i w:val="0"/>
                <w:iCs w:val="0"/>
                <w:color w:val="000000"/>
                <w:sz w:val="20"/>
                <w:szCs w:val="20"/>
                <w:u w:val="none"/>
              </w:rPr>
            </w:pPr>
          </w:p>
        </w:tc>
        <w:tc>
          <w:tcPr>
            <w:tcW w:w="305"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306"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3416"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581" w:type="dxa"/>
            <w:tcBorders>
              <w:top w:val="nil"/>
              <w:left w:val="nil"/>
              <w:bottom w:val="nil"/>
              <w:right w:val="nil"/>
            </w:tcBorders>
            <w:shd w:val="clear" w:color="auto" w:fill="auto"/>
            <w:noWrap/>
            <w:vAlign w:val="center"/>
          </w:tcPr>
          <w:p>
            <w:pPr>
              <w:jc w:val="left"/>
              <w:rPr>
                <w:rFonts w:hint="default" w:ascii="Arial" w:hAnsi="Arial" w:eastAsia="宋体" w:cs="Arial"/>
                <w:i w:val="0"/>
                <w:iCs w:val="0"/>
                <w:color w:val="000000"/>
                <w:sz w:val="20"/>
                <w:szCs w:val="20"/>
                <w:u w:val="none"/>
              </w:rPr>
            </w:pPr>
          </w:p>
        </w:tc>
        <w:tc>
          <w:tcPr>
            <w:tcW w:w="1560" w:type="dxa"/>
            <w:tcBorders>
              <w:top w:val="nil"/>
              <w:left w:val="nil"/>
              <w:bottom w:val="nil"/>
              <w:right w:val="nil"/>
            </w:tcBorders>
            <w:shd w:val="clear" w:color="auto" w:fill="auto"/>
            <w:noWrap/>
            <w:vAlign w:val="center"/>
          </w:tcPr>
          <w:p>
            <w:pPr>
              <w:jc w:val="left"/>
              <w:rPr>
                <w:rFonts w:hint="default" w:ascii="Arial" w:hAnsi="Arial" w:eastAsia="宋体" w:cs="Arial"/>
                <w:i w:val="0"/>
                <w:iCs w:val="0"/>
                <w:color w:val="000000"/>
                <w:sz w:val="20"/>
                <w:szCs w:val="20"/>
                <w:u w:val="none"/>
              </w:rPr>
            </w:pPr>
          </w:p>
        </w:tc>
        <w:tc>
          <w:tcPr>
            <w:tcW w:w="476"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67"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64"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71"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1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467" w:type="dxa"/>
            <w:gridSpan w:val="11"/>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部门：临夏州东乡族自治县凤山乡政府                                                         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3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w:t>
            </w:r>
          </w:p>
        </w:tc>
        <w:tc>
          <w:tcPr>
            <w:tcW w:w="158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本年收入合计</w:t>
            </w:r>
          </w:p>
        </w:tc>
        <w:tc>
          <w:tcPr>
            <w:tcW w:w="15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财政拨款收入</w:t>
            </w:r>
          </w:p>
        </w:tc>
        <w:tc>
          <w:tcPr>
            <w:tcW w:w="47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上级补助收入</w:t>
            </w:r>
          </w:p>
        </w:tc>
        <w:tc>
          <w:tcPr>
            <w:tcW w:w="46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事业收入</w:t>
            </w:r>
          </w:p>
        </w:tc>
        <w:tc>
          <w:tcPr>
            <w:tcW w:w="46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经营收入</w:t>
            </w:r>
          </w:p>
        </w:tc>
        <w:tc>
          <w:tcPr>
            <w:tcW w:w="47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附属单位上缴收入</w:t>
            </w:r>
          </w:p>
        </w:tc>
        <w:tc>
          <w:tcPr>
            <w:tcW w:w="11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功能分类科目编码</w:t>
            </w:r>
          </w:p>
        </w:tc>
        <w:tc>
          <w:tcPr>
            <w:tcW w:w="341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科目名称</w:t>
            </w:r>
          </w:p>
        </w:tc>
        <w:tc>
          <w:tcPr>
            <w:tcW w:w="158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7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1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341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7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1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341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7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1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32"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栏次</w:t>
            </w:r>
          </w:p>
        </w:tc>
        <w:tc>
          <w:tcPr>
            <w:tcW w:w="158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w:t>
            </w:r>
          </w:p>
        </w:tc>
        <w:tc>
          <w:tcPr>
            <w:tcW w:w="15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w:t>
            </w:r>
          </w:p>
        </w:tc>
        <w:tc>
          <w:tcPr>
            <w:tcW w:w="4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w:t>
            </w:r>
          </w:p>
        </w:tc>
        <w:tc>
          <w:tcPr>
            <w:tcW w:w="46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w:t>
            </w:r>
          </w:p>
        </w:tc>
        <w:tc>
          <w:tcPr>
            <w:tcW w:w="46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w:t>
            </w:r>
          </w:p>
        </w:tc>
        <w:tc>
          <w:tcPr>
            <w:tcW w:w="4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w:t>
            </w:r>
          </w:p>
        </w:tc>
        <w:tc>
          <w:tcPr>
            <w:tcW w:w="11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32"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合计</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8,649,792.52</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8,649,792.52</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一般公共服务支出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6,140,636.64</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6,140,636.64</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20101</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人大事务</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20,000.00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20,000.00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2010101</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行政运行</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20,000.00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20,000.00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20103</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政府办公厅（室）及相关机构事务</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6,003,472.64</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6,003,472.64</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2010301</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行政运行</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6,003,472.64</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6,003,472.64</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20129</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群众团体事务</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29,229.00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29,229.00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2012906</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工会事务</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29,229.00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29,229.00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20132</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组织事务</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87,935.00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87,935.00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2013201</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行政运行</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21,135.00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21,135.00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2013299</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其他组织事务支出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66,800.00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66,800.00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208</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社会保障和就业支出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20805</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行政事业单位养老支出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2080505</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机关事业单位基本养老保险缴费支出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210</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卫生健康支出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21012</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财政对基本医疗保险基金的补助</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2101201</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财政对职工基本医疗保险基金的补助</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农林水支出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1,759,750.00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1,759,750.00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21305</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扶贫</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80,000.00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80,000.00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2130599</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其他扶贫支出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80,000.00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80,000.00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21307</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农村综合改革</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1,179,750.00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1,179,750.00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2130705</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对村民委员会和村党支部的补助</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1,179,750.00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1,179,750.00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21399</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其他农林水支出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2139999</w:t>
            </w:r>
          </w:p>
        </w:tc>
        <w:tc>
          <w:tcPr>
            <w:tcW w:w="3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其他农林水支出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500,000.00</w:t>
            </w:r>
          </w:p>
        </w:tc>
        <w:tc>
          <w:tcPr>
            <w:tcW w:w="4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467"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注：本表反映部门本年度取得的各项收入情况。</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sectPr>
          <w:footnotePr>
            <w:numFmt w:val="decimal"/>
          </w:footnotePr>
          <w:pgSz w:w="11900" w:h="16840"/>
          <w:pgMar w:top="1226" w:right="1820" w:bottom="1662" w:left="1632" w:header="798" w:footer="3" w:gutter="0"/>
          <w:cols w:space="720" w:num="1"/>
          <w:rtlGutter w:val="0"/>
          <w:docGrid w:linePitch="360" w:charSpace="0"/>
        </w:sectPr>
      </w:pPr>
    </w:p>
    <w:tbl>
      <w:tblPr>
        <w:tblStyle w:val="3"/>
        <w:tblpPr w:leftFromText="180" w:rightFromText="180" w:vertAnchor="text" w:horzAnchor="page" w:tblpX="352" w:tblpY="19"/>
        <w:tblOverlap w:val="never"/>
        <w:tblW w:w="112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0"/>
        <w:gridCol w:w="3727"/>
        <w:gridCol w:w="1654"/>
        <w:gridCol w:w="1654"/>
        <w:gridCol w:w="618"/>
        <w:gridCol w:w="773"/>
        <w:gridCol w:w="727"/>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216" w:type="dxa"/>
            <w:gridSpan w:val="8"/>
            <w:tcBorders>
              <w:top w:val="nil"/>
              <w:left w:val="nil"/>
              <w:bottom w:val="nil"/>
              <w:right w:val="nil"/>
            </w:tcBorders>
            <w:shd w:val="clear" w:color="auto" w:fill="auto"/>
            <w:noWrap/>
            <w:vAlign w:val="bottom"/>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b/>
                <w:bCs/>
                <w:i w:val="0"/>
                <w:iCs w:val="0"/>
                <w:color w:val="000000"/>
                <w:sz w:val="24"/>
                <w:szCs w:val="24"/>
                <w:u w:val="none"/>
              </w:rPr>
            </w:pPr>
            <w:r>
              <w:rPr>
                <w:rFonts w:hint="eastAsia" w:ascii="仿宋_GB2312" w:hAnsi="仿宋_GB2312" w:eastAsia="仿宋_GB2312" w:cs="仿宋_GB2312"/>
                <w:sz w:val="24"/>
                <w:szCs w:val="24"/>
                <w:lang w:val="en-US" w:eastAsia="zh-CN"/>
              </w:rPr>
              <w:t xml:space="preserve">附件1-3                                 </w:t>
            </w:r>
            <w:r>
              <w:rPr>
                <w:rFonts w:hint="eastAsia" w:ascii="宋体" w:hAnsi="宋体" w:eastAsia="宋体" w:cs="宋体"/>
                <w:b/>
                <w:bCs/>
                <w:i w:val="0"/>
                <w:iCs w:val="0"/>
                <w:color w:val="000000"/>
                <w:spacing w:val="0"/>
                <w:w w:val="100"/>
                <w:kern w:val="0"/>
                <w:position w:val="0"/>
                <w:sz w:val="24"/>
                <w:szCs w:val="24"/>
                <w:u w:val="none"/>
                <w:shd w:val="clear" w:color="auto" w:fill="auto"/>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16" w:type="dxa"/>
            <w:gridSpan w:val="8"/>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16" w:type="dxa"/>
            <w:gridSpan w:val="8"/>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部门：临夏州东乡族自治县凤山乡政府                                                                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47"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w:t>
            </w:r>
          </w:p>
        </w:tc>
        <w:tc>
          <w:tcPr>
            <w:tcW w:w="165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本年支出合计</w:t>
            </w:r>
          </w:p>
        </w:tc>
        <w:tc>
          <w:tcPr>
            <w:tcW w:w="165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基本支出</w:t>
            </w:r>
          </w:p>
        </w:tc>
        <w:tc>
          <w:tcPr>
            <w:tcW w:w="61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项目支出</w:t>
            </w:r>
          </w:p>
        </w:tc>
        <w:tc>
          <w:tcPr>
            <w:tcW w:w="77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上缴上级支出</w:t>
            </w:r>
          </w:p>
        </w:tc>
        <w:tc>
          <w:tcPr>
            <w:tcW w:w="72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经营支出</w:t>
            </w:r>
          </w:p>
        </w:tc>
        <w:tc>
          <w:tcPr>
            <w:tcW w:w="104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功能分类科目编码</w:t>
            </w:r>
          </w:p>
        </w:tc>
        <w:tc>
          <w:tcPr>
            <w:tcW w:w="372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科目名称</w:t>
            </w:r>
          </w:p>
        </w:tc>
        <w:tc>
          <w:tcPr>
            <w:tcW w:w="1654" w:type="dxa"/>
            <w:vMerge w:val="continue"/>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1654" w:type="dxa"/>
            <w:vMerge w:val="continue"/>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61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7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2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4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372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654" w:type="dxa"/>
            <w:vMerge w:val="continue"/>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1654" w:type="dxa"/>
            <w:vMerge w:val="continue"/>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61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7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2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4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372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654" w:type="dxa"/>
            <w:vMerge w:val="continue"/>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1654" w:type="dxa"/>
            <w:vMerge w:val="continue"/>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61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7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2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4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47"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栏次</w:t>
            </w:r>
          </w:p>
        </w:tc>
        <w:tc>
          <w:tcPr>
            <w:tcW w:w="16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w:t>
            </w:r>
          </w:p>
        </w:tc>
        <w:tc>
          <w:tcPr>
            <w:tcW w:w="16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w:t>
            </w:r>
          </w:p>
        </w:tc>
        <w:tc>
          <w:tcPr>
            <w:tcW w:w="61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w:t>
            </w:r>
          </w:p>
        </w:tc>
        <w:tc>
          <w:tcPr>
            <w:tcW w:w="77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w:t>
            </w:r>
          </w:p>
        </w:tc>
        <w:tc>
          <w:tcPr>
            <w:tcW w:w="72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w:t>
            </w:r>
          </w:p>
        </w:tc>
        <w:tc>
          <w:tcPr>
            <w:tcW w:w="104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47"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合计</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8,649,792.52</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8,649,792.52</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一般公共服务支出</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6,140,636.64</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6,140,636.64</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20101</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人大事务</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20,000.00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20,000.00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2010101</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行政运行</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20,000.00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20,000.00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20103</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政府办公厅（室）及相关机构事务</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6,003,472.64</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6,003,472.64</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2010301</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行政运行</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6,003,472.64</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6,003,472.64</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20129</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群众团体事务</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29,229.00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29,229.00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2012906</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工会事务</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29,229.00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29,229.00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20132</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组织事务</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87,935.00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87,935.00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2013201</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行政运行</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21,135.00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21,135.00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2013299</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其他组织事务支出</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66,800.00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66,800.00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208</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社会保障和就业支出</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20805</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行政事业单位养老支出</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2080505</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机关事业单位基本养老保险缴费支出</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210</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卫生健康支出</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21012</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财政对基本医疗保险基金的补助</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2101201</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财政对职工基本医疗保险基金的补助</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农林水支出</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1,759,750.00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1,759,750.00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21305</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扶贫</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80,000.00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80,000.00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2130599</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其他扶贫支出</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80,000.00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80,000.00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21307</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农村综合改革</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1,179,750.00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1,179,750.00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2130705</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对村民委员会和村党支部的补助</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1,179,750.00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1,179,750.00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21399</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其他农林水支出</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2139999</w:t>
            </w:r>
          </w:p>
        </w:tc>
        <w:tc>
          <w:tcPr>
            <w:tcW w:w="3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其他农林水支出</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500,000.00</w:t>
            </w:r>
          </w:p>
        </w:tc>
        <w:tc>
          <w:tcPr>
            <w:tcW w:w="16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500,000.00</w:t>
            </w: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16"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注：本表反映部门本年度各项支出情况。</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sectPr>
          <w:footnotePr>
            <w:numFmt w:val="decimal"/>
          </w:footnotePr>
          <w:pgSz w:w="11900" w:h="16840"/>
          <w:pgMar w:top="1226" w:right="1820" w:bottom="1662" w:left="1632" w:header="798" w:footer="3" w:gutter="0"/>
          <w:cols w:space="720" w:num="1"/>
          <w:rtlGutter w:val="0"/>
          <w:docGrid w:linePitch="360" w:charSpace="0"/>
        </w:sectPr>
      </w:pPr>
    </w:p>
    <w:tbl>
      <w:tblPr>
        <w:tblStyle w:val="3"/>
        <w:tblW w:w="137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570"/>
        <w:gridCol w:w="1416"/>
        <w:gridCol w:w="3216"/>
        <w:gridCol w:w="570"/>
        <w:gridCol w:w="1416"/>
        <w:gridCol w:w="1416"/>
        <w:gridCol w:w="1179"/>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710" w:type="dxa"/>
            <w:gridSpan w:val="9"/>
            <w:tcBorders>
              <w:top w:val="nil"/>
              <w:left w:val="nil"/>
              <w:bottom w:val="nil"/>
              <w:right w:val="nil"/>
            </w:tcBorders>
            <w:shd w:val="clear" w:color="auto" w:fill="auto"/>
            <w:noWrap/>
            <w:vAlign w:val="bottom"/>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b/>
                <w:bCs/>
                <w:i w:val="0"/>
                <w:iCs w:val="0"/>
                <w:color w:val="000000"/>
                <w:sz w:val="24"/>
                <w:szCs w:val="24"/>
                <w:u w:val="none"/>
              </w:rPr>
            </w:pPr>
            <w:r>
              <w:rPr>
                <w:rFonts w:hint="eastAsia" w:ascii="仿宋_GB2312" w:hAnsi="仿宋_GB2312" w:eastAsia="仿宋_GB2312" w:cs="仿宋_GB2312"/>
                <w:sz w:val="24"/>
                <w:szCs w:val="24"/>
                <w:lang w:val="en-US" w:eastAsia="zh-CN"/>
              </w:rPr>
              <w:t xml:space="preserve">附件1-4                                 </w:t>
            </w:r>
            <w:r>
              <w:rPr>
                <w:rFonts w:hint="eastAsia" w:ascii="宋体" w:hAnsi="宋体" w:eastAsia="宋体" w:cs="宋体"/>
                <w:b/>
                <w:bCs/>
                <w:i w:val="0"/>
                <w:iCs w:val="0"/>
                <w:color w:val="000000"/>
                <w:spacing w:val="0"/>
                <w:w w:val="100"/>
                <w:kern w:val="0"/>
                <w:position w:val="0"/>
                <w:sz w:val="24"/>
                <w:szCs w:val="24"/>
                <w:u w:val="none"/>
                <w:shd w:val="clear" w:color="auto" w:fill="auto"/>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9"/>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9"/>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部门：临夏州东乡族自治县凤山乡政府                                                                                         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收     入</w:t>
            </w:r>
          </w:p>
        </w:tc>
        <w:tc>
          <w:tcPr>
            <w:tcW w:w="0" w:type="auto"/>
            <w:gridSpan w:val="6"/>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2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行次</w:t>
            </w:r>
          </w:p>
        </w:tc>
        <w:tc>
          <w:tcPr>
            <w:tcW w:w="13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w:t>
            </w:r>
          </w:p>
        </w:tc>
        <w:tc>
          <w:tcPr>
            <w:tcW w:w="30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合计</w:t>
            </w:r>
          </w:p>
        </w:tc>
        <w:tc>
          <w:tcPr>
            <w:tcW w:w="13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一般公共预算财政拨款</w:t>
            </w:r>
          </w:p>
        </w:tc>
        <w:tc>
          <w:tcPr>
            <w:tcW w:w="13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政府性基金预算财政拨款</w:t>
            </w:r>
          </w:p>
        </w:tc>
        <w:tc>
          <w:tcPr>
            <w:tcW w:w="14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2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3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30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3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3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8,649,792.52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6,140,636.64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6,140,636.64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1,759,750.00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1,759,750.00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8,649,792.52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8,649,792.52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8,649,792.52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8,649,792.52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8,649,792.52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8,649,792.52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sectPr>
          <w:footnotePr>
            <w:numFmt w:val="decimal"/>
          </w:footnotePr>
          <w:pgSz w:w="16840" w:h="11900" w:orient="landscape"/>
          <w:pgMar w:top="1632" w:right="1226" w:bottom="1820" w:left="1662" w:header="798" w:footer="3" w:gutter="0"/>
          <w:cols w:space="720" w:num="1"/>
          <w:rtlGutter w:val="0"/>
          <w:docGrid w:linePitch="360" w:charSpace="0"/>
        </w:sectPr>
      </w:pPr>
    </w:p>
    <w:tbl>
      <w:tblPr>
        <w:tblStyle w:val="3"/>
        <w:tblpPr w:leftFromText="180" w:rightFromText="180" w:vertAnchor="text" w:horzAnchor="page" w:tblpX="262" w:tblpY="-9576"/>
        <w:tblOverlap w:val="never"/>
        <w:tblW w:w="116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98"/>
        <w:gridCol w:w="4742"/>
        <w:gridCol w:w="2085"/>
        <w:gridCol w:w="2085"/>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616" w:type="dxa"/>
            <w:gridSpan w:val="5"/>
            <w:tcBorders>
              <w:top w:val="nil"/>
              <w:left w:val="nil"/>
              <w:bottom w:val="nil"/>
              <w:right w:val="nil"/>
            </w:tcBorders>
            <w:shd w:val="clear" w:color="auto" w:fill="auto"/>
            <w:noWrap/>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b/>
                <w:bCs/>
                <w:i w:val="0"/>
                <w:iCs w:val="0"/>
                <w:color w:val="000000"/>
                <w:sz w:val="22"/>
                <w:szCs w:val="22"/>
                <w:u w:val="none"/>
              </w:rPr>
            </w:pPr>
            <w:r>
              <w:rPr>
                <w:rFonts w:hint="eastAsia" w:ascii="仿宋_GB2312" w:hAnsi="仿宋_GB2312" w:eastAsia="仿宋_GB2312" w:cs="仿宋_GB2312"/>
                <w:sz w:val="24"/>
                <w:szCs w:val="24"/>
                <w:lang w:val="en-US" w:eastAsia="zh-CN"/>
              </w:rPr>
              <w:t xml:space="preserve">附件1-5                          </w:t>
            </w: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16" w:type="dxa"/>
            <w:gridSpan w:val="5"/>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16" w:type="dxa"/>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部门：临夏州东乡族自治县凤山乡政府                                                                    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40"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w:t>
            </w:r>
          </w:p>
        </w:tc>
        <w:tc>
          <w:tcPr>
            <w:tcW w:w="5576"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功能分类科目编码</w:t>
            </w:r>
          </w:p>
        </w:tc>
        <w:tc>
          <w:tcPr>
            <w:tcW w:w="474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科目名称</w:t>
            </w:r>
          </w:p>
        </w:tc>
        <w:tc>
          <w:tcPr>
            <w:tcW w:w="20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小计</w:t>
            </w:r>
          </w:p>
        </w:tc>
        <w:tc>
          <w:tcPr>
            <w:tcW w:w="20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基本支出</w:t>
            </w:r>
          </w:p>
        </w:tc>
        <w:tc>
          <w:tcPr>
            <w:tcW w:w="140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74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20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20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4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74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20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20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4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4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栏次</w:t>
            </w: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w:t>
            </w: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w:t>
            </w:r>
          </w:p>
        </w:tc>
        <w:tc>
          <w:tcPr>
            <w:tcW w:w="14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4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合计</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8,649,792.52</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0"/>
                <w:w w:val="100"/>
                <w:kern w:val="0"/>
                <w:position w:val="0"/>
                <w:sz w:val="20"/>
                <w:szCs w:val="20"/>
                <w:u w:val="none"/>
                <w:shd w:val="clear" w:color="auto" w:fill="auto"/>
                <w:lang w:val="en-US" w:eastAsia="zh-CN" w:bidi="ar"/>
              </w:rPr>
              <w:t>8,649,792.52</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一般公共服务支出</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6,140,636.64</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6,140,636.64</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20101</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人大事务</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20,000.00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20,000.00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2010101</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行政运行</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20,000.00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20,000.00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20103</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政府办公厅（室）及相关机构事务</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6,003,472.64</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6,003,472.64</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2010301</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行政运行</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6,003,472.64</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6,003,472.64</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20129</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群众团体事务</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29,229.00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29,229.00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2012906</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工会事务</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29,229.00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29,229.00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20132</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组织事务</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87,935.00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87,935.00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2013201</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行政运行</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21,135.00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21,135.00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2013299</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其他组织事务支出</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66,800.00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66,800.00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208</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社会保障和就业支出</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20805</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行政事业单位养老支出</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2080505</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机关事业单位基本养老保险缴费支出</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210</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卫生健康支出</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21012</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财政对基本医疗保险基金的补助</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2101201</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财政对职工基本医疗保险基金的补助</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农林水支出</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1,759,750.00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1,759,750.00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21305</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扶贫</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80,000.00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80,000.00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2130599</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其他扶贫支出</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80,000.00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80,000.00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21307</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农村综合改革</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1,179,750.00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1,179,750.00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2130705</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对村民委员会和村党支部的补助</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1,179,750.00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1,179,750.00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21399</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其他农林水支出</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9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2139999</w:t>
            </w:r>
          </w:p>
        </w:tc>
        <w:tc>
          <w:tcPr>
            <w:tcW w:w="47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 xml:space="preserve">  其他农林水支出</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500,000.00</w:t>
            </w: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500,000.00</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616"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注：本表反映部门本年度一般公共预算财政拨款支出情况。</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sectPr>
          <w:footnotePr>
            <w:numFmt w:val="decimal"/>
          </w:footnotePr>
          <w:pgSz w:w="11900" w:h="16840"/>
          <w:pgMar w:top="1226" w:right="1820" w:bottom="1662" w:left="1632" w:header="798" w:footer="3" w:gutter="0"/>
          <w:cols w:space="720" w:num="1"/>
          <w:rtlGutter w:val="0"/>
          <w:docGrid w:linePitch="360" w:charSpace="0"/>
        </w:sectPr>
      </w:pPr>
    </w:p>
    <w:tbl>
      <w:tblPr>
        <w:tblStyle w:val="3"/>
        <w:tblpPr w:leftFromText="180" w:rightFromText="180" w:vertAnchor="text" w:horzAnchor="page" w:tblpX="1097" w:tblpY="549"/>
        <w:tblOverlap w:val="never"/>
        <w:tblW w:w="14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8"/>
        <w:gridCol w:w="3024"/>
        <w:gridCol w:w="1420"/>
        <w:gridCol w:w="728"/>
        <w:gridCol w:w="2022"/>
        <w:gridCol w:w="1420"/>
        <w:gridCol w:w="728"/>
        <w:gridCol w:w="3826"/>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370" w:type="dxa"/>
            <w:gridSpan w:val="9"/>
            <w:tcBorders>
              <w:top w:val="nil"/>
              <w:left w:val="nil"/>
              <w:bottom w:val="nil"/>
              <w:right w:val="nil"/>
            </w:tcBorders>
            <w:shd w:val="clear" w:color="auto" w:fill="auto"/>
            <w:noWrap/>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b/>
                <w:bCs/>
                <w:i w:val="0"/>
                <w:iCs w:val="0"/>
                <w:color w:val="000000"/>
                <w:sz w:val="22"/>
                <w:szCs w:val="22"/>
                <w:u w:val="none"/>
              </w:rPr>
            </w:pPr>
            <w:r>
              <w:rPr>
                <w:rFonts w:hint="eastAsia" w:ascii="仿宋_GB2312" w:hAnsi="仿宋_GB2312" w:eastAsia="仿宋_GB2312" w:cs="仿宋_GB2312"/>
                <w:sz w:val="24"/>
                <w:szCs w:val="24"/>
                <w:lang w:val="en-US" w:eastAsia="zh-CN"/>
              </w:rPr>
              <w:t xml:space="preserve">附件1-6                                 </w:t>
            </w: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9"/>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9"/>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部门：临夏州东乡族自治县凤山乡政府                                                                                                         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科目编码</w:t>
            </w:r>
          </w:p>
        </w:tc>
        <w:tc>
          <w:tcPr>
            <w:tcW w:w="28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科目名称</w:t>
            </w:r>
          </w:p>
        </w:tc>
        <w:tc>
          <w:tcPr>
            <w:tcW w:w="13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科目编码</w:t>
            </w:r>
          </w:p>
        </w:tc>
        <w:tc>
          <w:tcPr>
            <w:tcW w:w="18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科目名称</w:t>
            </w:r>
          </w:p>
        </w:tc>
        <w:tc>
          <w:tcPr>
            <w:tcW w:w="13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科目编码</w:t>
            </w:r>
          </w:p>
        </w:tc>
        <w:tc>
          <w:tcPr>
            <w:tcW w:w="33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科目名称</w:t>
            </w:r>
          </w:p>
        </w:tc>
        <w:tc>
          <w:tcPr>
            <w:tcW w:w="13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28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3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8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33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4,723,707.88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1,782,324.64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3,575,080.00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330,120.30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国内债务付息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271,420.00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印刷费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国外债务付息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127,802.00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咨询费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伙食补助费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88.70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房屋建筑物购建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绩效工资</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水费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办公设备购置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519,429.00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145,726.83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专用设备购置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职业年金缴费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4,429.00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229,976.88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197,286.66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物业管理费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住房公积金</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因公出国（境）费用</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土地补偿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医疗费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649,034.73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安置补助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租赁费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2,143,760.00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会议费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拆迁补偿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离休费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4,800.00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公务用车购置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5,250.00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公务接待费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退职（役）费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专用材料费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145,000.00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被装购置费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1,253,600.00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专用燃料费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救济费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47,805.01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医疗费补助</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34,200.00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赠与</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助学金</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29,229.00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647,000.00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福利费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92,910.00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17,354.41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代缴社会保险费</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122,250.00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税金及附加费用</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6,867,467.88</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1,782,324.64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注：本表反映部门本年度一般公共预算财政拨款基本支出明细情况。</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sectPr>
          <w:footnotePr>
            <w:numFmt w:val="decimal"/>
          </w:footnotePr>
          <w:pgSz w:w="16840" w:h="11900" w:orient="landscape"/>
          <w:pgMar w:top="1632" w:right="1226" w:bottom="1820" w:left="1662" w:header="798" w:footer="3" w:gutter="0"/>
          <w:cols w:space="720" w:num="1"/>
          <w:rtlGutter w:val="0"/>
          <w:docGrid w:linePitch="360" w:charSpace="0"/>
        </w:sect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pPr>
    </w:p>
    <w:tbl>
      <w:tblPr>
        <w:tblStyle w:val="3"/>
        <w:tblW w:w="128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6"/>
        <w:gridCol w:w="1122"/>
        <w:gridCol w:w="1210"/>
        <w:gridCol w:w="1049"/>
        <w:gridCol w:w="1210"/>
        <w:gridCol w:w="1117"/>
        <w:gridCol w:w="1210"/>
        <w:gridCol w:w="1041"/>
        <w:gridCol w:w="1210"/>
        <w:gridCol w:w="1140"/>
        <w:gridCol w:w="1302"/>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10" w:type="dxa"/>
            <w:gridSpan w:val="12"/>
            <w:tcBorders>
              <w:top w:val="nil"/>
              <w:left w:val="nil"/>
              <w:bottom w:val="nil"/>
              <w:right w:val="nil"/>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val="0"/>
                <w:bCs w:val="0"/>
                <w:i w:val="0"/>
                <w:iCs w:val="0"/>
                <w:color w:val="000000"/>
                <w:spacing w:val="0"/>
                <w:w w:val="100"/>
                <w:kern w:val="0"/>
                <w:position w:val="0"/>
                <w:sz w:val="22"/>
                <w:szCs w:val="22"/>
                <w:u w:val="none"/>
                <w:shd w:val="clear" w:color="auto" w:fill="auto"/>
                <w:lang w:val="en-US" w:eastAsia="zh-CN" w:bidi="ar"/>
              </w:rPr>
              <w:t xml:space="preserve">附件1-7 </w:t>
            </w: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 xml:space="preserve">                               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1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1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部门：临夏州东乡族自治县凤山乡政府                                                                                             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285" w:type="dxa"/>
            <w:gridSpan w:val="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预算数</w:t>
            </w:r>
          </w:p>
        </w:tc>
        <w:tc>
          <w:tcPr>
            <w:tcW w:w="652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4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合计</w:t>
            </w:r>
          </w:p>
        </w:tc>
        <w:tc>
          <w:tcPr>
            <w:tcW w:w="10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因公出国（境）费</w:t>
            </w:r>
          </w:p>
        </w:tc>
        <w:tc>
          <w:tcPr>
            <w:tcW w:w="304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公务用车购置及运行费</w:t>
            </w:r>
          </w:p>
        </w:tc>
        <w:tc>
          <w:tcPr>
            <w:tcW w:w="10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公务接待费</w:t>
            </w:r>
          </w:p>
        </w:tc>
        <w:tc>
          <w:tcPr>
            <w:tcW w:w="9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合计</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因公出国（境）费</w:t>
            </w:r>
          </w:p>
        </w:tc>
        <w:tc>
          <w:tcPr>
            <w:tcW w:w="34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公务用车购置及运行费</w:t>
            </w:r>
          </w:p>
        </w:tc>
        <w:tc>
          <w:tcPr>
            <w:tcW w:w="12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4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小计</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公务用车购置费</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公务用车运行费</w:t>
            </w:r>
          </w:p>
        </w:tc>
        <w:tc>
          <w:tcPr>
            <w:tcW w:w="10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9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小计</w:t>
            </w:r>
          </w:p>
        </w:tc>
        <w:tc>
          <w:tcPr>
            <w:tcW w:w="10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公务用车购置费</w:t>
            </w:r>
          </w:p>
        </w:tc>
        <w:tc>
          <w:tcPr>
            <w:tcW w:w="12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公务用车运行费</w:t>
            </w:r>
          </w:p>
        </w:tc>
        <w:tc>
          <w:tcPr>
            <w:tcW w:w="12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w:t>
            </w:r>
          </w:p>
        </w:tc>
        <w:tc>
          <w:tcPr>
            <w:tcW w:w="10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w:t>
            </w:r>
          </w:p>
        </w:tc>
        <w:tc>
          <w:tcPr>
            <w:tcW w:w="9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7</w:t>
            </w:r>
          </w:p>
        </w:tc>
        <w:tc>
          <w:tcPr>
            <w:tcW w:w="9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8</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9</w:t>
            </w:r>
          </w:p>
        </w:tc>
        <w:tc>
          <w:tcPr>
            <w:tcW w:w="10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10</w:t>
            </w:r>
          </w:p>
        </w:tc>
        <w:tc>
          <w:tcPr>
            <w:tcW w:w="12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11</w:t>
            </w:r>
          </w:p>
        </w:tc>
        <w:tc>
          <w:tcPr>
            <w:tcW w:w="12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17,354.41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17,354.41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17,354.41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1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sectPr>
          <w:footnotePr>
            <w:numFmt w:val="decimal"/>
          </w:footnotePr>
          <w:pgSz w:w="16840" w:h="11900" w:orient="landscape"/>
          <w:pgMar w:top="1632" w:right="1226" w:bottom="1820" w:left="1662" w:header="798" w:footer="3" w:gutter="0"/>
          <w:cols w:space="720" w:num="1"/>
          <w:rtlGutter w:val="0"/>
          <w:docGrid w:linePitch="360" w:charSpace="0"/>
        </w:sect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pPr>
    </w:p>
    <w:tbl>
      <w:tblPr>
        <w:tblStyle w:val="3"/>
        <w:tblW w:w="123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50"/>
        <w:gridCol w:w="2096"/>
        <w:gridCol w:w="2162"/>
        <w:gridCol w:w="1498"/>
        <w:gridCol w:w="1482"/>
        <w:gridCol w:w="1560"/>
        <w:gridCol w:w="1605"/>
        <w:gridCol w:w="2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315" w:type="dxa"/>
            <w:gridSpan w:val="8"/>
            <w:tcBorders>
              <w:top w:val="nil"/>
              <w:left w:val="nil"/>
              <w:bottom w:val="nil"/>
              <w:right w:val="nil"/>
            </w:tcBorders>
            <w:shd w:val="clear" w:color="auto" w:fill="auto"/>
            <w:noWrap/>
            <w:vAlign w:val="bottom"/>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b/>
                <w:bCs/>
                <w:i w:val="0"/>
                <w:iCs w:val="0"/>
                <w:color w:val="000000"/>
                <w:sz w:val="22"/>
                <w:szCs w:val="22"/>
                <w:u w:val="none"/>
              </w:rPr>
            </w:pPr>
            <w:r>
              <w:rPr>
                <w:rFonts w:hint="eastAsia" w:ascii="仿宋_GB2312" w:hAnsi="仿宋_GB2312" w:eastAsia="仿宋_GB2312" w:cs="仿宋_GB2312"/>
                <w:sz w:val="24"/>
                <w:szCs w:val="24"/>
                <w:lang w:val="en-US" w:eastAsia="zh-CN"/>
              </w:rPr>
              <w:t xml:space="preserve">附件1-8                               </w:t>
            </w: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8"/>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8"/>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部门：临夏州东乡族自治县凤山乡政府                                                                                            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年初结转和结余</w:t>
            </w:r>
          </w:p>
        </w:tc>
        <w:tc>
          <w:tcPr>
            <w:tcW w:w="10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本年收入</w:t>
            </w:r>
          </w:p>
        </w:tc>
        <w:tc>
          <w:tcPr>
            <w:tcW w:w="32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本年支出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9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科目名称</w:t>
            </w: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小计</w:t>
            </w:r>
          </w:p>
        </w:tc>
        <w:tc>
          <w:tcPr>
            <w:tcW w:w="10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基本支出</w:t>
            </w:r>
          </w:p>
        </w:tc>
        <w:tc>
          <w:tcPr>
            <w:tcW w:w="11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项目支出</w:t>
            </w: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注：本表反映部门本年度政府性基金预算财政拨款收入、支出及结转和结余情况。</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sectPr>
          <w:footnotePr>
            <w:numFmt w:val="decimal"/>
          </w:footnotePr>
          <w:pgSz w:w="16840" w:h="11900" w:orient="landscape"/>
          <w:pgMar w:top="1632" w:right="1226" w:bottom="1820" w:left="1662" w:header="798" w:footer="3" w:gutter="0"/>
          <w:cols w:space="720" w:num="1"/>
          <w:rtlGutter w:val="0"/>
          <w:docGrid w:linePitch="360" w:charSpace="0"/>
        </w:sectPr>
      </w:pPr>
    </w:p>
    <w:tbl>
      <w:tblPr>
        <w:tblStyle w:val="3"/>
        <w:tblpPr w:leftFromText="180" w:rightFromText="180" w:vertAnchor="text" w:horzAnchor="page" w:tblpX="1057" w:tblpY="-4497"/>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222"/>
        <w:gridCol w:w="222"/>
        <w:gridCol w:w="1016"/>
        <w:gridCol w:w="1680"/>
        <w:gridCol w:w="1524"/>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960" w:type="dxa"/>
            <w:gridSpan w:val="7"/>
            <w:tcBorders>
              <w:top w:val="nil"/>
              <w:left w:val="nil"/>
              <w:bottom w:val="nil"/>
              <w:right w:val="nil"/>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val="0"/>
                <w:bCs w:val="0"/>
                <w:i w:val="0"/>
                <w:iCs w:val="0"/>
                <w:color w:val="000000"/>
                <w:spacing w:val="0"/>
                <w:w w:val="100"/>
                <w:kern w:val="0"/>
                <w:position w:val="0"/>
                <w:sz w:val="22"/>
                <w:szCs w:val="22"/>
                <w:u w:val="none"/>
                <w:shd w:val="clear" w:color="auto" w:fill="auto"/>
                <w:lang w:val="en-US" w:eastAsia="zh-CN" w:bidi="ar"/>
              </w:rPr>
              <w:t>附件1-9</w:t>
            </w: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 xml:space="preserve">                    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16" w:type="dxa"/>
            <w:tcBorders>
              <w:top w:val="nil"/>
              <w:left w:val="nil"/>
              <w:bottom w:val="nil"/>
              <w:right w:val="nil"/>
            </w:tcBorders>
            <w:shd w:val="clear" w:color="auto" w:fill="auto"/>
            <w:noWrap/>
            <w:vAlign w:val="bottom"/>
          </w:tcPr>
          <w:p>
            <w:pPr>
              <w:rPr>
                <w:rFonts w:hint="eastAsia" w:ascii="Arial" w:hAnsi="Arial" w:eastAsia="宋体"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016"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524"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部门：临夏州东乡族自治县凤山乡政府</w:t>
            </w:r>
          </w:p>
        </w:tc>
        <w:tc>
          <w:tcPr>
            <w:tcW w:w="222"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016"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524" w:type="dxa"/>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7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w:t>
            </w:r>
          </w:p>
        </w:tc>
        <w:tc>
          <w:tcPr>
            <w:tcW w:w="488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0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功能分类科目编码</w:t>
            </w:r>
          </w:p>
        </w:tc>
        <w:tc>
          <w:tcPr>
            <w:tcW w:w="101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合计</w:t>
            </w:r>
          </w:p>
        </w:tc>
        <w:tc>
          <w:tcPr>
            <w:tcW w:w="152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0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0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7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栏次</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1</w:t>
            </w:r>
          </w:p>
        </w:tc>
        <w:tc>
          <w:tcPr>
            <w:tcW w:w="152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7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合计</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96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注：本表反映部门本年度国有资本经营预算财政拨款支出情况。</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sectPr>
          <w:footnotePr>
            <w:numFmt w:val="decimal"/>
          </w:footnotePr>
          <w:pgSz w:w="11900" w:h="16840"/>
          <w:pgMar w:top="1226" w:right="1820" w:bottom="1662" w:left="1632" w:header="798" w:footer="3" w:gutter="0"/>
          <w:cols w:space="720" w:num="1"/>
          <w:rtlGutter w:val="0"/>
          <w:docGrid w:linePitch="360" w:charSpace="0"/>
        </w:sect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firstLine="1596" w:firstLineChars="665"/>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sz w:val="24"/>
          <w:szCs w:val="24"/>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sz w:val="24"/>
          <w:szCs w:val="24"/>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b/>
          <w:bCs/>
          <w:sz w:val="21"/>
          <w:szCs w:val="21"/>
          <w:lang w:val="en-US" w:eastAsia="zh-CN"/>
        </w:rPr>
      </w:pPr>
    </w:p>
    <w:sectPr>
      <w:footnotePr>
        <w:numFmt w:val="decimal"/>
      </w:footnotePr>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44D11C"/>
    <w:multiLevelType w:val="singleLevel"/>
    <w:tmpl w:val="9D44D11C"/>
    <w:lvl w:ilvl="0" w:tentative="0">
      <w:start w:val="4"/>
      <w:numFmt w:val="chineseCounting"/>
      <w:suff w:val="nothing"/>
      <w:lvlText w:val="%1、"/>
      <w:lvlJc w:val="left"/>
      <w:rPr>
        <w:rFonts w:hint="eastAsia"/>
      </w:rPr>
    </w:lvl>
  </w:abstractNum>
  <w:abstractNum w:abstractNumId="1">
    <w:nsid w:val="37BE8353"/>
    <w:multiLevelType w:val="singleLevel"/>
    <w:tmpl w:val="37BE8353"/>
    <w:lvl w:ilvl="0" w:tentative="0">
      <w:start w:val="3"/>
      <w:numFmt w:val="chineseCounting"/>
      <w:suff w:val="space"/>
      <w:lvlText w:val="第%1部分"/>
      <w:lvlJc w:val="left"/>
      <w:pPr>
        <w:ind w:left="-163"/>
      </w:pPr>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2E0NTQ5M2JhOTM4Yzc1OGI2YThjOTA0NGVmOWQxZDUifQ=="/>
  </w:docVars>
  <w:rsids>
    <w:rsidRoot w:val="00000000"/>
    <w:rsid w:val="01F94D45"/>
    <w:rsid w:val="0511788F"/>
    <w:rsid w:val="056A10C6"/>
    <w:rsid w:val="06AA1511"/>
    <w:rsid w:val="073F0B5D"/>
    <w:rsid w:val="0A4C6688"/>
    <w:rsid w:val="11513A52"/>
    <w:rsid w:val="159A4EBB"/>
    <w:rsid w:val="1739327C"/>
    <w:rsid w:val="19BA4320"/>
    <w:rsid w:val="1B205130"/>
    <w:rsid w:val="1BC4275B"/>
    <w:rsid w:val="1E712589"/>
    <w:rsid w:val="1F523B54"/>
    <w:rsid w:val="22DF6E3A"/>
    <w:rsid w:val="25FD0C5D"/>
    <w:rsid w:val="29C05E6C"/>
    <w:rsid w:val="2D306A77"/>
    <w:rsid w:val="2F990904"/>
    <w:rsid w:val="301E705B"/>
    <w:rsid w:val="32E15A65"/>
    <w:rsid w:val="34172430"/>
    <w:rsid w:val="38B67AF5"/>
    <w:rsid w:val="39F46F0A"/>
    <w:rsid w:val="3A545219"/>
    <w:rsid w:val="3ABD5DEE"/>
    <w:rsid w:val="3BD710AD"/>
    <w:rsid w:val="3C4C6A95"/>
    <w:rsid w:val="3F5B59EE"/>
    <w:rsid w:val="3FA27361"/>
    <w:rsid w:val="41670196"/>
    <w:rsid w:val="42736B67"/>
    <w:rsid w:val="43D445BB"/>
    <w:rsid w:val="46E44073"/>
    <w:rsid w:val="49EA0BB5"/>
    <w:rsid w:val="4B60103E"/>
    <w:rsid w:val="4F1428B3"/>
    <w:rsid w:val="51241B8B"/>
    <w:rsid w:val="537062B7"/>
    <w:rsid w:val="549867B1"/>
    <w:rsid w:val="57D535F7"/>
    <w:rsid w:val="58806626"/>
    <w:rsid w:val="5DBB0F69"/>
    <w:rsid w:val="5FC71F0C"/>
    <w:rsid w:val="60D720E0"/>
    <w:rsid w:val="62922058"/>
    <w:rsid w:val="69C24357"/>
    <w:rsid w:val="720E4E8D"/>
    <w:rsid w:val="726D3C91"/>
    <w:rsid w:val="7327658C"/>
    <w:rsid w:val="745D61E5"/>
    <w:rsid w:val="75666C71"/>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28</Pages>
  <Words>8949</Words>
  <Characters>12172</Characters>
  <TotalTime>1</TotalTime>
  <ScaleCrop>false</ScaleCrop>
  <LinksUpToDate>false</LinksUpToDate>
  <CharactersWithSpaces>13140</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凌云</cp:lastModifiedBy>
  <cp:lastPrinted>2022-08-31T08:40:00Z</cp:lastPrinted>
  <dcterms:modified xsi:type="dcterms:W3CDTF">2022-09-19T08:28:25Z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3FB965A942B84C0B8C0D4DECFF396933</vt:lpwstr>
  </property>
</Properties>
</file>