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0"/>
      <w:bookmarkStart w:id="2" w:name="bookmark1"/>
      <w:r>
        <w:rPr>
          <w:rFonts w:hint="eastAsia" w:ascii="方正小标宋_GBK" w:hAnsi="方正小标宋_GBK" w:eastAsia="方正小标宋_GBK" w:cs="方正小标宋_GBK"/>
          <w:sz w:val="40"/>
          <w:szCs w:val="40"/>
          <w:lang w:val="en-US" w:eastAsia="zh-CN"/>
        </w:rPr>
        <w:t>沿岭乡</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lang w:eastAsia="zh-CN"/>
        </w:rPr>
      </w:pPr>
      <w:bookmarkStart w:id="16" w:name="bookmark24"/>
      <w:r>
        <w:rPr>
          <w:rFonts w:hint="eastAsia" w:ascii="仿宋_GB2312" w:hAnsi="宋体" w:eastAsia="仿宋_GB2312" w:cs="宋体"/>
          <w:kern w:val="0"/>
          <w:sz w:val="32"/>
          <w:szCs w:val="32"/>
          <w:highlight w:val="none"/>
        </w:rPr>
        <w:t>宣传和贯彻执行党的路线方针政策和法律法规;制定地方经济社会发展规划和年度计划并组织实施;坚持依法行政,推进民主政治,加强基层政权建设做好农业、农村、农民和社区工作,推进乡村振兴。</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落实基层管党治党工作责任制,加强党员队伍的思想建设、组织建设、作风建设、制度建设和党风廉政建设;做好党员管理、发展工作,改善党员队伍结构,提高党员素质;加强党对意识形态和统一战线工作的领导;加强人民武装、民族宗教等工作;指导工会、共青团、妇联等群团工作</w:t>
      </w:r>
      <w:r>
        <w:rPr>
          <w:rFonts w:hint="eastAsia" w:ascii="仿宋_GB2312" w:hAnsi="宋体" w:eastAsia="仿宋_GB2312" w:cs="宋体"/>
          <w:kern w:val="0"/>
          <w:sz w:val="32"/>
          <w:szCs w:val="32"/>
          <w:highlight w:val="none"/>
          <w:lang w:eastAsia="zh-CN"/>
        </w:rPr>
        <w:t>。</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规范经济管理,组织指导经济发展和经济结构调整;加强综合生产能力建设;健全社会化服务体系,完善产业支持保护体系,推进产业现代化;着力提升经济发展的质量和水平,发展壮大村级集体经济,增加村民收入,不断提高人民生活水平。</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加强社会管理和基础设施建设,创造良好环境;推进政务、村务公开;抓好卫生健康、人口计划生育工作,保障妇女儿童合法权益; 加强自然资源管理、生态环境保护和修复等工作;保障退役军人合法权益;强化安全生产和公共安全,组织抢险救灾、优抚救助,及时上报和处置重大社情、疫情、险情等,保护人民群众的生命命财产安全。</w:t>
      </w:r>
    </w:p>
    <w:p>
      <w:pPr>
        <w:numPr>
          <w:ilvl w:val="0"/>
          <w:numId w:val="1"/>
        </w:numPr>
        <w:spacing w:line="840" w:lineRule="exact"/>
        <w:ind w:left="-10" w:leftChars="0" w:firstLine="640" w:firstLineChars="0"/>
        <w:rPr>
          <w:rFonts w:ascii="仿宋_GB2312" w:hAnsi="黑体" w:eastAsia="仿宋_GB2312"/>
          <w:b/>
          <w:sz w:val="44"/>
          <w:szCs w:val="44"/>
          <w:highlight w:val="none"/>
        </w:rPr>
      </w:pPr>
      <w:r>
        <w:rPr>
          <w:rFonts w:hint="eastAsia" w:ascii="仿宋_GB2312" w:hAnsi="宋体" w:eastAsia="仿宋_GB2312" w:cs="宋体"/>
          <w:kern w:val="0"/>
          <w:sz w:val="32"/>
          <w:szCs w:val="32"/>
          <w:highlight w:val="none"/>
        </w:rPr>
        <w:t>发展公益事业,强化公共服务;加强公共设施建设,开展就业和社会保障服务,着力解决群众生产生活中的问题;发展科教文卫事业,建设健康农村,丰富农民群众文化生活,促进乡风文明;制定公共服务事项目录清单,加强公共服务体系建设。</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加强综合治理,维护社会稳定;强化民主法制宣传教育,畅通诉求渠道、调解民事纠纷、化解社会矛盾,处理群体性突发事件,保证社会公正,维护社会秩序和社会稳定;指导村民自治,推动基层社会建设,促进社会组织健康发展,增强社会自治功能。</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按照管理权限,负责机关和事业单位工作人员的教育、培养、选拔和监督工作; 协助管理好派驻单位人员。</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依法依规承担下放的经济社会管理权限和行政执法事项。</w:t>
      </w:r>
    </w:p>
    <w:p>
      <w:pPr>
        <w:numPr>
          <w:ilvl w:val="0"/>
          <w:numId w:val="1"/>
        </w:numPr>
        <w:spacing w:line="840" w:lineRule="exact"/>
        <w:ind w:left="-10" w:leftChars="0" w:firstLine="64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法律、法规规定和县委、县政府交办的其他事项。</w:t>
      </w:r>
    </w:p>
    <w:p>
      <w:pPr>
        <w:numPr>
          <w:ilvl w:val="0"/>
          <w:numId w:val="0"/>
        </w:numPr>
        <w:spacing w:line="840" w:lineRule="exact"/>
        <w:ind w:firstLine="640" w:firstLineChars="200"/>
        <w:rPr>
          <w:rFonts w:ascii="仿宋_GB2312" w:hAnsi="黑体" w:eastAsia="仿宋_GB2312"/>
          <w:b/>
          <w:sz w:val="44"/>
          <w:szCs w:val="44"/>
          <w:highlight w:val="none"/>
        </w:rPr>
      </w:pPr>
      <w:r>
        <w:rPr>
          <w:rFonts w:hint="eastAsia" w:ascii="仿宋_GB2312" w:hAnsi="宋体" w:eastAsia="仿宋_GB2312" w:cs="宋体"/>
          <w:kern w:val="0"/>
          <w:sz w:val="32"/>
          <w:szCs w:val="32"/>
          <w:highlight w:val="none"/>
        </w:rPr>
        <w:t>10.职能转变</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1）加强基层党的建设。坚持党要管党、全面从严治党,切实加强党的政治建设、思想建设、组织建设、作风建设、纪律建设,把制度建设贯穿其中,深入推进反腐败斗争,推动全面从严治党向基层延伸。(2)强化经济发展职能。正确处理好政府与市场、政府与社会的关系,规范市场秩序,为各类市场主体创造统一一开放、公平竞争的发展环境,激发市场、社会的创造活力。强化产业引导,科学编制发展规划,构建新型农业经营体系。落实强农惠农政策,推进扶贫开发,促进农民持续增收。(3)强化公共服务职能。加快义务教育、学前教育、劳动就业、基本医疗卫生、公共文化体育、卫生健康等社会事业发展,完善社会保险、社会救助、社会福利、优抚安置、扶贫济困。法律服务等社会保障体系。创新公共服务供给方式,优化基本公共服务资源配置,统筹基本公共服务设施的空间布局,实现基本公共服务全覆盖。(4)强化公共管理职能。加强乡村规划建设和生态环境保护,强化城镇和村容村貌管理。健全重大社情、疫情、险情等公共突发事件的预防和应急处理机制。推进平安建设,完善社会治安防控体系。加强信访工作,建立调处化解矛盾纠纷综合机制,确保城市、农村社会和谐稳定。(5)强化公共安全职能。加强安全生产、食品药品、生态建设、农产品质量安全等监督管理,建立健全隐患排查治理体系和安全预防控制体系。推进基层行政执法体系改革，完善执法保障机制，增强执法监管能力。</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spacing w:line="840" w:lineRule="exact"/>
        <w:ind w:firstLine="640"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党政机构： 1.党政综合办公室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2.党建工作办公室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3.经济发展和社会事务办公室</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4.社会治理和应急管理办公室</w:t>
      </w:r>
      <w:r>
        <w:rPr>
          <w:rFonts w:hint="eastAsia" w:ascii="仿宋_GB2312" w:hAnsi="宋体" w:eastAsia="仿宋_GB2312" w:cs="宋体"/>
          <w:kern w:val="0"/>
          <w:sz w:val="32"/>
          <w:szCs w:val="32"/>
          <w:highlight w:val="none"/>
          <w:lang w:eastAsia="zh-CN"/>
        </w:rPr>
        <w:t>；</w:t>
      </w:r>
    </w:p>
    <w:p>
      <w:pPr>
        <w:keepNext w:val="0"/>
        <w:keepLines w:val="0"/>
        <w:widowControl/>
        <w:suppressLineNumbers w:val="0"/>
        <w:ind w:firstLine="640" w:firstLineChars="200"/>
        <w:jc w:val="left"/>
      </w:pPr>
      <w:r>
        <w:rPr>
          <w:rFonts w:hint="eastAsia" w:ascii="仿宋_GB2312" w:hAnsi="宋体" w:eastAsia="仿宋_GB2312" w:cs="宋体"/>
          <w:kern w:val="0"/>
          <w:sz w:val="32"/>
          <w:szCs w:val="32"/>
          <w:highlight w:val="none"/>
        </w:rPr>
        <w:t>事业单位： 1.农业农村综合服务中心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2.公共事务服务中心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3.政务（便民）服务中心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4.社会治安综合治理中心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 xml:space="preserve"> 5.综合行政执法队</w:t>
      </w:r>
      <w:r>
        <w:rPr>
          <w:rFonts w:hint="eastAsia" w:ascii="仿宋_GB2312" w:hAnsi="宋体" w:eastAsia="仿宋_GB2312" w:cs="宋体"/>
          <w:kern w:val="0"/>
          <w:sz w:val="32"/>
          <w:szCs w:val="32"/>
          <w:highlight w:val="none"/>
          <w:lang w:eastAsia="zh-CN"/>
        </w:rPr>
        <w:t>；</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drawing>
          <wp:inline distT="0" distB="0" distL="114300" distR="114300">
            <wp:extent cx="5361305" cy="4264660"/>
            <wp:effectExtent l="0" t="0" r="3175" b="25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5361305" cy="4264660"/>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drawing>
          <wp:inline distT="0" distB="0" distL="114300" distR="114300">
            <wp:extent cx="5364480" cy="3168650"/>
            <wp:effectExtent l="0" t="0" r="0" b="127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stretch>
                      <a:fillRect/>
                    </a:stretch>
                  </pic:blipFill>
                  <pic:spPr>
                    <a:xfrm>
                      <a:off x="0" y="0"/>
                      <a:ext cx="5364480" cy="3168650"/>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drawing>
          <wp:inline distT="0" distB="0" distL="114300" distR="114300">
            <wp:extent cx="5363210" cy="3536315"/>
            <wp:effectExtent l="0" t="0" r="1270" b="1460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0"/>
                    <a:stretch>
                      <a:fillRect/>
                    </a:stretch>
                  </pic:blipFill>
                  <pic:spPr>
                    <a:xfrm>
                      <a:off x="0" y="0"/>
                      <a:ext cx="5363210" cy="3536315"/>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pPr>
      <w:r>
        <w:drawing>
          <wp:inline distT="0" distB="0" distL="114300" distR="114300">
            <wp:extent cx="5361305" cy="3819525"/>
            <wp:effectExtent l="0" t="0" r="3175" b="571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1"/>
                    <a:stretch>
                      <a:fillRect/>
                    </a:stretch>
                  </pic:blipFill>
                  <pic:spPr>
                    <a:xfrm>
                      <a:off x="0" y="0"/>
                      <a:ext cx="5361305" cy="3819525"/>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drawing>
          <wp:inline distT="0" distB="0" distL="114300" distR="114300">
            <wp:extent cx="5360035" cy="4857750"/>
            <wp:effectExtent l="0" t="0" r="4445" b="381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2"/>
                    <a:stretch>
                      <a:fillRect/>
                    </a:stretch>
                  </pic:blipFill>
                  <pic:spPr>
                    <a:xfrm>
                      <a:off x="0" y="0"/>
                      <a:ext cx="5360035" cy="4857750"/>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drawing>
          <wp:inline distT="0" distB="0" distL="114300" distR="114300">
            <wp:extent cx="5357495" cy="3027045"/>
            <wp:effectExtent l="0" t="0" r="6985" b="5715"/>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13"/>
                    <a:stretch>
                      <a:fillRect/>
                    </a:stretch>
                  </pic:blipFill>
                  <pic:spPr>
                    <a:xfrm>
                      <a:off x="0" y="0"/>
                      <a:ext cx="5357495" cy="3027045"/>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drawing>
          <wp:inline distT="0" distB="0" distL="114300" distR="114300">
            <wp:extent cx="5362575" cy="1067435"/>
            <wp:effectExtent l="0" t="0" r="1905" b="14605"/>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14"/>
                    <a:stretch>
                      <a:fillRect/>
                    </a:stretch>
                  </pic:blipFill>
                  <pic:spPr>
                    <a:xfrm>
                      <a:off x="0" y="0"/>
                      <a:ext cx="5362575" cy="1067435"/>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drawing>
          <wp:inline distT="0" distB="0" distL="114300" distR="114300">
            <wp:extent cx="5361305" cy="1710690"/>
            <wp:effectExtent l="0" t="0" r="3175" b="11430"/>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15"/>
                    <a:stretch>
                      <a:fillRect/>
                    </a:stretch>
                  </pic:blipFill>
                  <pic:spPr>
                    <a:xfrm>
                      <a:off x="0" y="0"/>
                      <a:ext cx="5361305" cy="1710690"/>
                    </a:xfrm>
                    <a:prstGeom prst="rect">
                      <a:avLst/>
                    </a:prstGeom>
                    <a:noFill/>
                    <a:ln>
                      <a:noFill/>
                    </a:ln>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drawing>
          <wp:inline distT="0" distB="0" distL="114300" distR="114300">
            <wp:extent cx="5359400" cy="2521585"/>
            <wp:effectExtent l="0" t="0" r="5080" b="8255"/>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16"/>
                    <a:stretch>
                      <a:fillRect/>
                    </a:stretch>
                  </pic:blipFill>
                  <pic:spPr>
                    <a:xfrm>
                      <a:off x="0" y="0"/>
                      <a:ext cx="5359400" cy="2521585"/>
                    </a:xfrm>
                    <a:prstGeom prst="rect">
                      <a:avLst/>
                    </a:prstGeom>
                    <a:noFill/>
                    <a:ln>
                      <a:noFill/>
                    </a:ln>
                  </pic:spPr>
                </pic:pic>
              </a:graphicData>
            </a:graphic>
          </wp:inline>
        </w:drawing>
      </w:r>
    </w:p>
    <w:p>
      <w:pPr>
        <w:pStyle w:val="13"/>
        <w:keepNext w:val="0"/>
        <w:keepLines w:val="0"/>
        <w:pageBreakBefore w:val="0"/>
        <w:widowControl w:val="0"/>
        <w:numPr>
          <w:ilvl w:val="0"/>
          <w:numId w:val="2"/>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2021年度收入总计878.12万元，支出总计878.12万元，与2020年决算数相比，收入增加19.39万元，增长2.2%，支出增加19.39万元，增长2.2%。</w:t>
      </w:r>
      <w:r>
        <w:rPr>
          <w:rFonts w:hint="eastAsia" w:ascii="仿宋_GB2312" w:eastAsia="仿宋_GB2312"/>
          <w:sz w:val="30"/>
          <w:szCs w:val="30"/>
        </w:rPr>
        <w:t>主要原因是</w:t>
      </w:r>
      <w:r>
        <w:rPr>
          <w:rFonts w:hint="eastAsia" w:ascii="仿宋_GB2312" w:eastAsia="仿宋_GB2312"/>
          <w:sz w:val="30"/>
          <w:szCs w:val="30"/>
          <w:lang w:eastAsia="zh-CN"/>
        </w:rPr>
        <w:t>专项费用和人员经费</w:t>
      </w:r>
      <w:r>
        <w:rPr>
          <w:rFonts w:hint="eastAsia" w:ascii="仿宋_GB2312" w:eastAsia="仿宋_GB2312"/>
          <w:sz w:val="30"/>
          <w:szCs w:val="30"/>
          <w:lang w:val="en-US" w:eastAsia="zh-CN"/>
        </w:rPr>
        <w:t>增加，收入支出相应增加</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bidi="en-US"/>
        </w:rPr>
        <w:t>878.12万</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878.12万</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878.12万</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bidi="en-US"/>
        </w:rPr>
        <w:t>672.57万</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76.6</w:t>
      </w:r>
      <w:r>
        <w:rPr>
          <w:rFonts w:hint="eastAsia" w:ascii="仿宋_GB2312" w:hAnsi="仿宋_GB2312" w:eastAsia="仿宋_GB2312" w:cs="仿宋_GB2312"/>
          <w:color w:val="000000"/>
          <w:spacing w:val="0"/>
          <w:w w:val="100"/>
          <w:position w:val="0"/>
          <w:sz w:val="32"/>
          <w:szCs w:val="32"/>
        </w:rPr>
        <w:t>%；社会保障和就业支出</w:t>
      </w:r>
      <w:r>
        <w:rPr>
          <w:rFonts w:hint="eastAsia" w:ascii="仿宋_GB2312" w:hAnsi="仿宋_GB2312" w:eastAsia="仿宋_GB2312" w:cs="仿宋_GB2312"/>
          <w:color w:val="000000"/>
          <w:spacing w:val="0"/>
          <w:w w:val="100"/>
          <w:position w:val="0"/>
          <w:sz w:val="32"/>
          <w:szCs w:val="32"/>
          <w:lang w:val="en-US" w:eastAsia="zh-CN"/>
        </w:rPr>
        <w:t>50.83万</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5.9</w:t>
      </w:r>
      <w:r>
        <w:rPr>
          <w:rFonts w:hint="eastAsia" w:ascii="仿宋_GB2312" w:hAnsi="仿宋_GB2312" w:eastAsia="仿宋_GB2312" w:cs="仿宋_GB2312"/>
          <w:color w:val="000000"/>
          <w:spacing w:val="0"/>
          <w:w w:val="100"/>
          <w:position w:val="0"/>
          <w:sz w:val="32"/>
          <w:szCs w:val="32"/>
        </w:rPr>
        <w:t>%;卫生健康支出支出</w:t>
      </w:r>
      <w:r>
        <w:rPr>
          <w:rFonts w:hint="eastAsia" w:ascii="仿宋_GB2312" w:hAnsi="仿宋_GB2312" w:eastAsia="仿宋_GB2312" w:cs="仿宋_GB2312"/>
          <w:color w:val="000000"/>
          <w:spacing w:val="0"/>
          <w:w w:val="100"/>
          <w:position w:val="0"/>
          <w:sz w:val="32"/>
          <w:szCs w:val="32"/>
          <w:lang w:val="en-US" w:eastAsia="zh-CN"/>
        </w:rPr>
        <w:t>20.06万</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2.3</w:t>
      </w:r>
      <w:r>
        <w:rPr>
          <w:rFonts w:hint="eastAsia" w:ascii="仿宋_GB2312" w:hAnsi="仿宋_GB2312" w:eastAsia="仿宋_GB2312" w:cs="仿宋_GB2312"/>
          <w:color w:val="000000"/>
          <w:spacing w:val="0"/>
          <w:w w:val="100"/>
          <w:position w:val="0"/>
          <w:sz w:val="32"/>
          <w:szCs w:val="32"/>
        </w:rPr>
        <w:t>%；农林水支出支出</w:t>
      </w:r>
      <w:r>
        <w:rPr>
          <w:rFonts w:hint="eastAsia" w:ascii="仿宋_GB2312" w:hAnsi="仿宋_GB2312" w:eastAsia="仿宋_GB2312" w:cs="仿宋_GB2312"/>
          <w:color w:val="000000"/>
          <w:spacing w:val="0"/>
          <w:w w:val="100"/>
          <w:position w:val="0"/>
          <w:sz w:val="32"/>
          <w:szCs w:val="32"/>
          <w:lang w:val="en-US" w:eastAsia="zh-CN" w:bidi="en-US"/>
        </w:rPr>
        <w:t>134.66万</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15.3</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bidi="en-US"/>
        </w:rPr>
        <w:t>878.12万</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19.39万</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2.2</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sz w:val="30"/>
          <w:szCs w:val="30"/>
        </w:rPr>
        <w:t>主要原因是</w:t>
      </w:r>
      <w:r>
        <w:rPr>
          <w:rFonts w:hint="eastAsia" w:ascii="仿宋_GB2312" w:eastAsia="仿宋_GB2312"/>
          <w:sz w:val="30"/>
          <w:szCs w:val="30"/>
          <w:lang w:eastAsia="zh-CN"/>
        </w:rPr>
        <w:t>专项费用和人员经费</w:t>
      </w:r>
      <w:r>
        <w:rPr>
          <w:rFonts w:hint="eastAsia" w:ascii="仿宋_GB2312" w:eastAsia="仿宋_GB2312"/>
          <w:sz w:val="30"/>
          <w:szCs w:val="30"/>
          <w:lang w:val="en-US" w:eastAsia="zh-CN"/>
        </w:rPr>
        <w:t>增加，收入相应增加</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41.5万</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4.9</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sz w:val="30"/>
          <w:szCs w:val="30"/>
        </w:rPr>
        <w:t>主要原因是</w:t>
      </w:r>
      <w:r>
        <w:rPr>
          <w:rFonts w:hint="eastAsia" w:ascii="仿宋_GB2312" w:eastAsia="仿宋_GB2312"/>
          <w:sz w:val="30"/>
          <w:szCs w:val="30"/>
          <w:lang w:eastAsia="zh-CN"/>
        </w:rPr>
        <w:t>专项费用和人员经费</w:t>
      </w:r>
      <w:r>
        <w:rPr>
          <w:rFonts w:hint="eastAsia" w:ascii="仿宋_GB2312" w:eastAsia="仿宋_GB2312"/>
          <w:sz w:val="30"/>
          <w:szCs w:val="30"/>
          <w:lang w:val="en-US" w:eastAsia="zh-CN"/>
        </w:rPr>
        <w:t>增加，收入支出相应增加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878.12</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bidi="en-US"/>
        </w:rPr>
        <w:t>19.39</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2.2</w:t>
      </w:r>
      <w:r>
        <w:rPr>
          <w:rFonts w:hint="eastAsia" w:ascii="仿宋_GB2312" w:hAnsi="仿宋_GB2312" w:eastAsia="仿宋_GB2312" w:cs="仿宋_GB2312"/>
          <w:color w:val="000000"/>
          <w:spacing w:val="0"/>
          <w:w w:val="100"/>
          <w:position w:val="0"/>
          <w:sz w:val="32"/>
          <w:szCs w:val="32"/>
        </w:rPr>
        <w:t>%。</w:t>
      </w:r>
      <w:r>
        <w:rPr>
          <w:rFonts w:hint="eastAsia" w:ascii="仿宋_GB2312" w:eastAsia="仿宋_GB2312"/>
          <w:sz w:val="30"/>
          <w:szCs w:val="30"/>
        </w:rPr>
        <w:t>主要原因是</w:t>
      </w:r>
      <w:r>
        <w:rPr>
          <w:rFonts w:hint="eastAsia" w:ascii="仿宋_GB2312" w:eastAsia="仿宋_GB2312"/>
          <w:sz w:val="30"/>
          <w:szCs w:val="30"/>
          <w:lang w:eastAsia="zh-CN"/>
        </w:rPr>
        <w:t>专项费用和人员经费</w:t>
      </w:r>
      <w:r>
        <w:rPr>
          <w:rFonts w:hint="eastAsia" w:ascii="仿宋_GB2312" w:eastAsia="仿宋_GB2312"/>
          <w:sz w:val="30"/>
          <w:szCs w:val="30"/>
          <w:lang w:val="en-US" w:eastAsia="zh-CN"/>
        </w:rPr>
        <w:t>增加，支出相应增加。</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878.12万元，占本年支出的 100%，较上年决算数增加19.39万元，增长2.2%。</w:t>
      </w:r>
      <w:r>
        <w:rPr>
          <w:rFonts w:hint="eastAsia" w:ascii="仿宋_GB2312" w:eastAsia="仿宋_GB2312"/>
          <w:sz w:val="30"/>
          <w:szCs w:val="30"/>
        </w:rPr>
        <w:t>主要原因是</w:t>
      </w:r>
      <w:r>
        <w:rPr>
          <w:rFonts w:hint="eastAsia" w:ascii="仿宋_GB2312" w:eastAsia="仿宋_GB2312"/>
          <w:sz w:val="30"/>
          <w:szCs w:val="30"/>
          <w:lang w:eastAsia="zh-CN"/>
        </w:rPr>
        <w:t>专项费用和人员经费</w:t>
      </w:r>
      <w:r>
        <w:rPr>
          <w:rFonts w:hint="eastAsia" w:ascii="仿宋_GB2312" w:eastAsia="仿宋_GB2312"/>
          <w:sz w:val="30"/>
          <w:szCs w:val="30"/>
          <w:lang w:val="en-US" w:eastAsia="zh-CN"/>
        </w:rPr>
        <w:t>增加，支出相应增加。</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zh-CN" w:bidi="en-US"/>
        </w:rPr>
        <w:t>672.57万</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76.6</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92.93</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专项支出经费增加</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right="0" w:firstLine="745" w:firstLineChars="233"/>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zh-CN" w:bidi="en-US"/>
        </w:rPr>
        <w:t>50.83万</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5.9</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减少10.27万</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人员减少，相应社会保障支出减少</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right="0" w:firstLine="745" w:firstLineChars="233"/>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卫生健康</w:t>
      </w:r>
      <w:r>
        <w:rPr>
          <w:rFonts w:hint="eastAsia" w:ascii="仿宋_GB2312" w:hAnsi="仿宋_GB2312" w:eastAsia="仿宋_GB2312" w:cs="仿宋_GB2312"/>
          <w:color w:val="000000"/>
          <w:spacing w:val="0"/>
          <w:w w:val="100"/>
          <w:position w:val="0"/>
          <w:sz w:val="32"/>
          <w:szCs w:val="32"/>
        </w:rPr>
        <w:t>支出</w:t>
      </w:r>
      <w:r>
        <w:rPr>
          <w:rFonts w:hint="eastAsia" w:ascii="仿宋_GB2312" w:hAnsi="仿宋_GB2312" w:eastAsia="仿宋_GB2312" w:cs="仿宋_GB2312"/>
          <w:color w:val="000000"/>
          <w:spacing w:val="0"/>
          <w:w w:val="100"/>
          <w:position w:val="0"/>
          <w:sz w:val="32"/>
          <w:szCs w:val="32"/>
          <w:lang w:val="en-US" w:eastAsia="zh-CN"/>
        </w:rPr>
        <w:t>20.06万</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2.3</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减少5.05万</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人员减少，相应社会保障支出减少</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w:t>
      </w:r>
      <w:r>
        <w:rPr>
          <w:rFonts w:hint="eastAsia" w:ascii="仿宋_GB2312" w:hAnsi="仿宋_GB2312" w:eastAsia="仿宋_GB2312" w:cs="仿宋_GB2312"/>
          <w:color w:val="000000"/>
          <w:spacing w:val="0"/>
          <w:w w:val="100"/>
          <w:position w:val="0"/>
          <w:sz w:val="32"/>
          <w:szCs w:val="32"/>
          <w:lang w:val="en-US" w:eastAsia="zh-CN"/>
        </w:rPr>
        <w:t>134.66万</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15.3</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9.16万</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农林水支出增加。</w:t>
      </w:r>
      <w:r>
        <w:rPr>
          <w:rFonts w:hint="eastAsia" w:ascii="仿宋_GB2312" w:hAnsi="仿宋_GB2312" w:eastAsia="仿宋_GB2312" w:cs="仿宋_GB2312"/>
          <w:sz w:val="32"/>
          <w:szCs w:val="32"/>
        </w:rPr>
        <w:fldChar w:fldCharType="end"/>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bidi="en-US"/>
        </w:rPr>
        <w:t>683.36万</w:t>
      </w:r>
      <w:r>
        <w:rPr>
          <w:rFonts w:hint="eastAsia" w:ascii="仿宋_GB2312" w:hAnsi="仿宋_GB2312" w:eastAsia="仿宋_GB2312" w:cs="仿宋_GB2312"/>
          <w:color w:val="000000"/>
          <w:spacing w:val="0"/>
          <w:w w:val="100"/>
          <w:position w:val="0"/>
          <w:sz w:val="32"/>
          <w:szCs w:val="32"/>
        </w:rPr>
        <w:t>元。其中：人员经费</w:t>
      </w:r>
      <w:r>
        <w:rPr>
          <w:rFonts w:hint="eastAsia" w:ascii="仿宋_GB2312" w:hAnsi="仿宋_GB2312" w:eastAsia="仿宋_GB2312" w:cs="仿宋_GB2312"/>
          <w:color w:val="000000"/>
          <w:spacing w:val="0"/>
          <w:w w:val="100"/>
          <w:position w:val="0"/>
          <w:sz w:val="32"/>
          <w:szCs w:val="32"/>
          <w:lang w:val="en-US" w:eastAsia="zh-CN"/>
        </w:rPr>
        <w:t>595.59万</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val="en-US" w:eastAsia="zh-CN"/>
        </w:rPr>
        <w:t>减少50.03万</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人员减少</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87.78万</w:t>
      </w:r>
      <w:r>
        <w:rPr>
          <w:rFonts w:hint="eastAsia" w:ascii="仿宋_GB2312" w:hAnsi="仿宋_GB2312" w:eastAsia="仿宋_GB2312" w:cs="仿宋_GB2312"/>
          <w:color w:val="000000"/>
          <w:spacing w:val="0"/>
          <w:w w:val="100"/>
          <w:position w:val="0"/>
          <w:sz w:val="32"/>
          <w:szCs w:val="32"/>
        </w:rPr>
        <w:t>元，公用经费用途主要包括办公费、</w:t>
      </w:r>
      <w:r>
        <w:rPr>
          <w:rFonts w:hint="eastAsia" w:ascii="仿宋_GB2312" w:hAnsi="仿宋_GB2312" w:eastAsia="仿宋_GB2312" w:cs="仿宋_GB2312"/>
          <w:color w:val="000000"/>
          <w:spacing w:val="0"/>
          <w:w w:val="100"/>
          <w:position w:val="0"/>
          <w:sz w:val="32"/>
          <w:szCs w:val="32"/>
          <w:lang w:val="en-US" w:eastAsia="zh-CN"/>
        </w:rPr>
        <w:t>电费、水费、取暖费、劳务费</w:t>
      </w:r>
      <w:r>
        <w:rPr>
          <w:rFonts w:hint="eastAsia" w:ascii="仿宋_GB2312" w:hAnsi="仿宋_GB2312" w:eastAsia="仿宋_GB2312" w:cs="仿宋_GB2312"/>
          <w:color w:val="000000"/>
          <w:spacing w:val="0"/>
          <w:w w:val="100"/>
          <w:position w:val="0"/>
          <w:sz w:val="32"/>
          <w:szCs w:val="32"/>
        </w:rPr>
        <w:t>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5万</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0.93万</w:t>
      </w:r>
      <w:r>
        <w:rPr>
          <w:rFonts w:hint="eastAsia" w:ascii="仿宋_GB2312" w:hAnsi="仿宋_GB2312" w:eastAsia="仿宋_GB2312" w:cs="仿宋_GB2312"/>
          <w:color w:val="000000"/>
          <w:spacing w:val="0"/>
          <w:w w:val="100"/>
          <w:position w:val="0"/>
          <w:sz w:val="32"/>
          <w:szCs w:val="32"/>
        </w:rPr>
        <w:t>元，较年初预算数</w:t>
      </w:r>
      <w:r>
        <w:rPr>
          <w:rFonts w:hint="eastAsia" w:ascii="仿宋_GB2312" w:hAnsi="仿宋_GB2312" w:eastAsia="仿宋_GB2312" w:cs="仿宋_GB2312"/>
          <w:color w:val="000000"/>
          <w:spacing w:val="0"/>
          <w:w w:val="100"/>
          <w:position w:val="0"/>
          <w:sz w:val="32"/>
          <w:szCs w:val="32"/>
          <w:lang w:val="en-US" w:eastAsia="zh-CN"/>
        </w:rPr>
        <w:t>减少4.07万</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公车临近报废，未正常使用。</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5万</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0.93万</w:t>
      </w:r>
      <w:r>
        <w:rPr>
          <w:rFonts w:hint="eastAsia" w:ascii="仿宋_GB2312" w:hAnsi="仿宋_GB2312" w:eastAsia="仿宋_GB2312" w:cs="仿宋_GB2312"/>
          <w:color w:val="000000"/>
          <w:spacing w:val="0"/>
          <w:w w:val="100"/>
          <w:position w:val="0"/>
          <w:sz w:val="32"/>
          <w:szCs w:val="32"/>
        </w:rPr>
        <w:t>元,费用支出较年初预算数</w:t>
      </w:r>
      <w:r>
        <w:rPr>
          <w:rFonts w:hint="eastAsia" w:ascii="仿宋_GB2312" w:hAnsi="仿宋_GB2312" w:eastAsia="仿宋_GB2312" w:cs="仿宋_GB2312"/>
          <w:color w:val="000000"/>
          <w:spacing w:val="0"/>
          <w:w w:val="100"/>
          <w:position w:val="0"/>
          <w:sz w:val="32"/>
          <w:szCs w:val="32"/>
          <w:lang w:val="en-US" w:eastAsia="zh-CN"/>
        </w:rPr>
        <w:t>减少4.07万</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公车临近报废，未正常使用。</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0</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0.93万</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5万</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val="en-US" w:eastAsia="zh-CN"/>
        </w:rPr>
        <w:t>维修费、</w:t>
      </w:r>
      <w:r>
        <w:rPr>
          <w:rFonts w:hint="eastAsia" w:ascii="仿宋_GB2312" w:hAnsi="仿宋_GB2312" w:eastAsia="仿宋_GB2312" w:cs="仿宋_GB2312"/>
          <w:color w:val="000000"/>
          <w:spacing w:val="0"/>
          <w:w w:val="100"/>
          <w:position w:val="0"/>
          <w:sz w:val="32"/>
          <w:szCs w:val="32"/>
        </w:rPr>
        <w:t>保险费等，费用支出较年初预算数</w:t>
      </w:r>
      <w:r>
        <w:rPr>
          <w:rFonts w:hint="eastAsia" w:ascii="仿宋_GB2312" w:hAnsi="仿宋_GB2312" w:eastAsia="仿宋_GB2312" w:cs="仿宋_GB2312"/>
          <w:color w:val="000000"/>
          <w:spacing w:val="0"/>
          <w:w w:val="100"/>
          <w:position w:val="0"/>
          <w:sz w:val="32"/>
          <w:szCs w:val="32"/>
          <w:lang w:val="en-US" w:eastAsia="zh-CN"/>
        </w:rPr>
        <w:t>减少4.07万</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公车临近报废，未正常使用。</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leftChars="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0人</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3</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0.93</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p>
    <w:p>
      <w:pPr>
        <w:pStyle w:val="13"/>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年本单位机关运行经费支出</w:t>
      </w:r>
      <w:r>
        <w:rPr>
          <w:rFonts w:hint="eastAsia" w:ascii="仿宋_GB2312" w:hAnsi="仿宋_GB2312" w:eastAsia="仿宋_GB2312" w:cs="仿宋_GB2312"/>
          <w:color w:val="000000"/>
          <w:spacing w:val="0"/>
          <w:w w:val="100"/>
          <w:position w:val="0"/>
          <w:sz w:val="32"/>
          <w:szCs w:val="32"/>
          <w:lang w:val="en-US" w:eastAsia="zh-CN"/>
        </w:rPr>
        <w:t>50万</w:t>
      </w:r>
      <w:r>
        <w:rPr>
          <w:rFonts w:hint="eastAsia" w:ascii="仿宋_GB2312" w:hAnsi="仿宋_GB2312" w:eastAsia="仿宋_GB2312" w:cs="仿宋_GB2312"/>
          <w:color w:val="000000"/>
          <w:spacing w:val="0"/>
          <w:w w:val="100"/>
          <w:position w:val="0"/>
          <w:sz w:val="32"/>
          <w:szCs w:val="32"/>
        </w:rPr>
        <w:t>元，机关运行经费主要用于开支主要用于办公费、</w:t>
      </w:r>
      <w:r>
        <w:rPr>
          <w:rFonts w:hint="eastAsia" w:ascii="仿宋_GB2312" w:hAnsi="仿宋_GB2312" w:eastAsia="仿宋_GB2312" w:cs="仿宋_GB2312"/>
          <w:color w:val="000000"/>
          <w:spacing w:val="0"/>
          <w:w w:val="100"/>
          <w:position w:val="0"/>
          <w:sz w:val="32"/>
          <w:szCs w:val="32"/>
          <w:lang w:val="en-US" w:eastAsia="zh-CN"/>
        </w:rPr>
        <w:t>水电费、取暖费、劳务费、其他交通费用等</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5</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4</w:t>
      </w:r>
      <w:r>
        <w:rPr>
          <w:rFonts w:hint="eastAsia" w:ascii="仿宋_GB2312" w:hAnsi="仿宋_GB2312" w:eastAsia="仿宋_GB2312" w:cs="仿宋_GB2312"/>
          <w:color w:val="000000"/>
          <w:spacing w:val="0"/>
          <w:w w:val="100"/>
          <w:position w:val="0"/>
          <w:sz w:val="32"/>
          <w:szCs w:val="32"/>
        </w:rPr>
        <w:t>辆,其他用车主要是</w:t>
      </w:r>
      <w:r>
        <w:rPr>
          <w:rFonts w:hint="eastAsia" w:ascii="仿宋_GB2312" w:hAnsi="仿宋_GB2312" w:eastAsia="仿宋_GB2312" w:cs="仿宋_GB2312"/>
          <w:color w:val="000000"/>
          <w:spacing w:val="0"/>
          <w:w w:val="100"/>
          <w:position w:val="0"/>
          <w:sz w:val="32"/>
          <w:szCs w:val="32"/>
          <w:lang w:val="en-US" w:eastAsia="zh-CN"/>
        </w:rPr>
        <w:t>垃圾车</w:t>
      </w:r>
      <w:r>
        <w:rPr>
          <w:rFonts w:hint="eastAsia" w:ascii="仿宋_GB2312" w:hAnsi="仿宋_GB2312" w:eastAsia="仿宋_GB2312" w:cs="仿宋_GB2312"/>
          <w:color w:val="000000"/>
          <w:spacing w:val="0"/>
          <w:w w:val="100"/>
          <w:position w:val="0"/>
          <w:sz w:val="32"/>
          <w:szCs w:val="32"/>
        </w:rPr>
        <w:t>。单价50万元以上通用设备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4.9万</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4.9</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02" w:firstLineChars="200"/>
        <w:jc w:val="left"/>
        <w:textAlignment w:val="auto"/>
        <w:rPr>
          <w:rFonts w:hint="eastAsia" w:ascii="楷体_GB2312" w:eastAsia="楷体_GB2312"/>
          <w:b/>
          <w:sz w:val="30"/>
          <w:szCs w:val="30"/>
          <w:lang w:eastAsia="zh-CN"/>
        </w:rPr>
      </w:pPr>
      <w:r>
        <w:rPr>
          <w:rFonts w:hint="eastAsia" w:ascii="楷体_GB2312" w:eastAsia="楷体_GB2312"/>
          <w:b/>
          <w:sz w:val="30"/>
          <w:szCs w:val="30"/>
        </w:rPr>
        <w:t>预算绩效管理情况说明</w:t>
      </w:r>
      <w:r>
        <w:rPr>
          <w:rFonts w:hint="eastAsia" w:ascii="楷体_GB2312" w:eastAsia="楷体_GB2312"/>
          <w:b/>
          <w:sz w:val="30"/>
          <w:szCs w:val="30"/>
          <w:lang w:val="en-US" w:eastAsia="zh-CN"/>
        </w:rPr>
        <w:t xml:space="preserve"> </w:t>
      </w:r>
      <w:r>
        <w:rPr>
          <w:rFonts w:hint="eastAsia" w:ascii="楷体_GB2312" w:eastAsia="楷体_GB2312"/>
          <w:b/>
          <w:sz w:val="30"/>
          <w:szCs w:val="30"/>
          <w:lang w:eastAsia="zh-CN"/>
        </w:rPr>
        <w:t>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bookmarkStart w:id="17" w:name="_GoBack"/>
      <w:bookmarkEnd w:id="17"/>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371BF1"/>
    <w:multiLevelType w:val="singleLevel"/>
    <w:tmpl w:val="94371BF1"/>
    <w:lvl w:ilvl="0" w:tentative="0">
      <w:start w:val="1"/>
      <w:numFmt w:val="decimal"/>
      <w:lvlText w:val="%1."/>
      <w:lvlJc w:val="left"/>
      <w:pPr>
        <w:tabs>
          <w:tab w:val="left" w:pos="312"/>
        </w:tabs>
        <w:ind w:left="-10"/>
      </w:pPr>
      <w:rPr>
        <w:rFonts w:hint="default"/>
        <w:sz w:val="36"/>
        <w:szCs w:val="36"/>
      </w:rPr>
    </w:lvl>
  </w:abstractNum>
  <w:abstractNum w:abstractNumId="1">
    <w:nsid w:val="37BE8353"/>
    <w:multiLevelType w:val="singleLevel"/>
    <w:tmpl w:val="37BE8353"/>
    <w:lvl w:ilvl="0" w:tentative="0">
      <w:start w:val="3"/>
      <w:numFmt w:val="chineseCounting"/>
      <w:suff w:val="space"/>
      <w:lvlText w:val="第%1部分"/>
      <w:lvlJc w:val="left"/>
      <w:rPr>
        <w:rFonts w:hint="eastAsia"/>
      </w:rPr>
    </w:lvl>
  </w:abstractNum>
  <w:abstractNum w:abstractNumId="2">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Mjg5ODEwZmE0N2FlM2MxOTViMzc2OWY4YmRlNTI2YTQifQ=="/>
  </w:docVars>
  <w:rsids>
    <w:rsidRoot w:val="00000000"/>
    <w:rsid w:val="035E5282"/>
    <w:rsid w:val="0511788F"/>
    <w:rsid w:val="06AA1511"/>
    <w:rsid w:val="0A4C6688"/>
    <w:rsid w:val="1739327C"/>
    <w:rsid w:val="19BA4320"/>
    <w:rsid w:val="1B205130"/>
    <w:rsid w:val="1E712589"/>
    <w:rsid w:val="1F523B54"/>
    <w:rsid w:val="25FD0C5D"/>
    <w:rsid w:val="29C05E6C"/>
    <w:rsid w:val="2F990904"/>
    <w:rsid w:val="37D944E9"/>
    <w:rsid w:val="39F46F0A"/>
    <w:rsid w:val="3ABD5DEE"/>
    <w:rsid w:val="3BD710AD"/>
    <w:rsid w:val="40C70436"/>
    <w:rsid w:val="41670196"/>
    <w:rsid w:val="42736B67"/>
    <w:rsid w:val="43D445BB"/>
    <w:rsid w:val="4B60103E"/>
    <w:rsid w:val="4F1428B3"/>
    <w:rsid w:val="537062B7"/>
    <w:rsid w:val="57D535F7"/>
    <w:rsid w:val="58806626"/>
    <w:rsid w:val="5D7938C0"/>
    <w:rsid w:val="60D720E0"/>
    <w:rsid w:val="62922058"/>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23</Pages>
  <Words>7905</Words>
  <Characters>8443</Characters>
  <TotalTime>0</TotalTime>
  <ScaleCrop>false</ScaleCrop>
  <LinksUpToDate>false</LinksUpToDate>
  <CharactersWithSpaces>8489</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2022-09-19T10:47:50Z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