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eastAsia="zh-CN"/>
        </w:rPr>
        <w:t>县融媒体中心</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6"/>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6"/>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（一）贯彻落实党的新闻宣传方针政策，把握新闻宣传基调，为全县经济社会发展提供舆论支持。</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（二）承担全县重大新闻、重要活动、重点工作的宣传报道任务，落实全县新闻报道计划，完成上级下达的各项内外宣传任务。</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（三）负责全县新闻平台的统一运营管理和对外通联工作，抓好全县新闻网络宣传和人才队伍建设。</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负责县政府网站集群、政务网络平台和电子政务应用平台的建设、运行和维护工作，开展政务服务，提供与群众生活相关的服务实用信息和便民服务,承担各类群众性文化、体育、科普、公益活动以及各类商务、会展、节庆等活动。</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（五）协调配合上级媒体和新闻单位来县采访及其他工作，维护县内舆论安全，做好网络舆情的监测管控处置工作。</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（六）承办县委、县政府交办的其他事项。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（七）职能转变。将县广播电视台、县委报道组、县外宣办、县政府网站、“两微一端”等涉及新闻宣传、政务信息等机构和职能进行全面整合，组建东乡县融媒体中心，全面负责全县新闻舆论工作。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(一)办公室。</w:t>
      </w:r>
      <w:r>
        <w:rPr>
          <w:rFonts w:hint="eastAsia" w:ascii="仿宋_GB2312" w:hAnsi="仿宋_GB2312" w:eastAsia="仿宋_GB2312" w:cs="仿宋_GB2312"/>
          <w:color w:val="000000"/>
          <w:kern w:val="0"/>
          <w:sz w:val="32"/>
          <w:szCs w:val="32"/>
          <w:lang w:val="en-US" w:eastAsia="zh-CN"/>
        </w:rPr>
        <w:t>协助中心领导抓好思想政治工作，处理日常内外事务，做好中心各部室协调工作；负责制定各项规章制度并监督执行，抓好工作督办；协助搞好中心人事调配、教育培训、劳资社保、绩效考核等工作，负责中心离退休人员管理服务工作；负责中心信息、档案、年鉴编纂及信访、综治、计生、安全生产等工作，管理好财物、资产；严格执行财务纪律，抓好财务管理；负责党报党刊的征订发行工作；完成领导交办的其他工作任务。</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（二）总编室。</w:t>
      </w:r>
      <w:r>
        <w:rPr>
          <w:rFonts w:hint="eastAsia" w:ascii="仿宋_GB2312" w:hAnsi="仿宋_GB2312" w:eastAsia="仿宋_GB2312" w:cs="仿宋_GB2312"/>
          <w:color w:val="000000"/>
          <w:kern w:val="0"/>
          <w:sz w:val="32"/>
          <w:szCs w:val="32"/>
          <w:lang w:val="en-US" w:eastAsia="zh-CN"/>
        </w:rPr>
        <w:t>负责制定县融媒体宣传报道计划，做好宣传总结，组织好每周例会；认真策划重要新闻、大型活动、专题及系列节目的报道；负责融媒体新闻稿件、影视节目播出的审查、校对、监制，确保刊播安全；负责节目引进、学术交流、作品评优，制定刊播计划；负责通联工作，抓好通讯员队伍、网点建设；负责宣传档案和音像资料的管理工作；完成领导交办的其他工作任务。</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（三）新闻中心。</w:t>
      </w:r>
      <w:r>
        <w:rPr>
          <w:rFonts w:hint="eastAsia" w:ascii="仿宋_GB2312" w:hAnsi="仿宋_GB2312" w:eastAsia="仿宋_GB2312" w:cs="仿宋_GB2312"/>
          <w:color w:val="000000"/>
          <w:kern w:val="0"/>
          <w:sz w:val="32"/>
          <w:szCs w:val="32"/>
          <w:lang w:val="en-US" w:eastAsia="zh-CN"/>
        </w:rPr>
        <w:t>负责日常新闻采编任务分派，及时提供文字、图片、视频、同期声等新闻素材；执行总编室制定的报道计划；对新闻爆料进行登记并及时处理；保质保量完成内外宣传任务；协助配合上级媒体和新闻单位来县采访及其他工作，维护县内舆论安全；完成领导、总编室交办的其他工作任务。</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（四）新媒体部。</w:t>
      </w:r>
      <w:r>
        <w:rPr>
          <w:rFonts w:hint="eastAsia" w:ascii="仿宋_GB2312" w:hAnsi="仿宋_GB2312" w:eastAsia="仿宋_GB2312" w:cs="仿宋_GB2312"/>
          <w:color w:val="000000"/>
          <w:kern w:val="0"/>
          <w:sz w:val="32"/>
          <w:szCs w:val="32"/>
          <w:lang w:val="en-US" w:eastAsia="zh-CN"/>
        </w:rPr>
        <w:t>负责对新闻记者、通讯员拍摄、采写的各类新闻（专题）素材进行二次加工，以更加适合微信、微博、微视频等传播特点、更好满足受众多样化阅读习惯；负责新媒体平台的日常运营推广工作；负责直播活动的摄制发布；对接智慧城市、政务服务及生活服务网络、手机平台开展相关工作；负责舆情信息的收集上报等。</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（五）节目中心。</w:t>
      </w:r>
      <w:r>
        <w:rPr>
          <w:rFonts w:hint="eastAsia" w:ascii="仿宋_GB2312" w:hAnsi="仿宋_GB2312" w:eastAsia="仿宋_GB2312" w:cs="仿宋_GB2312"/>
          <w:color w:val="000000"/>
          <w:kern w:val="0"/>
          <w:sz w:val="32"/>
          <w:szCs w:val="32"/>
          <w:lang w:val="en-US" w:eastAsia="zh-CN"/>
        </w:rPr>
        <w:t>负责全台除新闻报道以外的节目和栏目的整体策划，完成专题节目、纪录片、微电影的采集摄制任务，承担各类重大新闻事件、文艺晚会和各类赛事、公益广告的摄录工作；负责统筹完成广播电视台广告节目的制作、播出工作。</w:t>
      </w:r>
    </w:p>
    <w:p>
      <w:pPr>
        <w:keepNext w:val="0"/>
        <w:keepLines w:val="0"/>
        <w:pageBreakBefore w:val="0"/>
        <w:kinsoku/>
        <w:wordWrap/>
        <w:overflowPunct/>
        <w:topLinePunct w:val="0"/>
        <w:autoSpaceDE/>
        <w:autoSpaceDN/>
        <w:bidi w:val="0"/>
        <w:adjustRightInd/>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（六）技术保障部。</w:t>
      </w:r>
      <w:r>
        <w:rPr>
          <w:rFonts w:hint="eastAsia" w:ascii="仿宋_GB2312" w:hAnsi="仿宋_GB2312" w:eastAsia="仿宋_GB2312" w:cs="仿宋_GB2312"/>
          <w:color w:val="000000"/>
          <w:kern w:val="0"/>
          <w:sz w:val="32"/>
          <w:szCs w:val="32"/>
          <w:lang w:val="en-US" w:eastAsia="zh-CN"/>
        </w:rPr>
        <w:t>负责采编播等设备的维修、维护工作，提出技术更新及设备升级方案；认真做好技术设备的维管工作，保证各类机器设备安全运转、保证广播电视节目安全正常播出；负责广播、电视播出机房设备的安全运行，及时排除各类隐患；负责广播电视节目的技术服务和技术保障；负责做好各类会议及室外活动的音响设备正常运行。</w:t>
      </w:r>
    </w:p>
    <w:p>
      <w:pPr>
        <w:spacing w:line="840" w:lineRule="exact"/>
        <w:ind w:left="1767"/>
        <w:rPr>
          <w:rFonts w:ascii="仿宋_GB2312" w:hAnsi="黑体" w:eastAsia="仿宋_GB2312"/>
          <w:b/>
          <w:sz w:val="44"/>
          <w:szCs w:val="44"/>
        </w:rPr>
      </w:pP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6"/>
        <w:tblW w:w="90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41"/>
        <w:gridCol w:w="660"/>
        <w:gridCol w:w="1755"/>
        <w:gridCol w:w="2115"/>
        <w:gridCol w:w="90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194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部门：临夏州东乡族自治县融媒体中心</w:t>
            </w:r>
          </w:p>
        </w:tc>
        <w:tc>
          <w:tcPr>
            <w:tcW w:w="66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7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435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收入</w:t>
            </w:r>
          </w:p>
        </w:tc>
        <w:tc>
          <w:tcPr>
            <w:tcW w:w="4650"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7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66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90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三、国有资本经营预算财政拨款收入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四、上级补助收入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五、事业收入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六、经营收入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七、附属单位上缴收入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4,892,544.82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八、其他收入</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855,128.39</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5,518,330.37</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5,462,831.74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使用非财政拨款结余</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结余分配</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1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54.96</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55,553.59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17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163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17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5,518,385.33</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16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5,518,385.33</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tbl>
      <w:tblPr>
        <w:tblStyle w:val="6"/>
        <w:tblW w:w="9390" w:type="dxa"/>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5"/>
        <w:gridCol w:w="360"/>
        <w:gridCol w:w="450"/>
        <w:gridCol w:w="930"/>
        <w:gridCol w:w="1320"/>
        <w:gridCol w:w="1320"/>
        <w:gridCol w:w="795"/>
        <w:gridCol w:w="915"/>
        <w:gridCol w:w="705"/>
        <w:gridCol w:w="100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93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本年收入合计</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财政拨款收入</w:t>
            </w:r>
          </w:p>
        </w:tc>
        <w:tc>
          <w:tcPr>
            <w:tcW w:w="7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上级补助收入</w:t>
            </w:r>
          </w:p>
        </w:tc>
        <w:tc>
          <w:tcPr>
            <w:tcW w:w="9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事业收入</w:t>
            </w:r>
          </w:p>
        </w:tc>
        <w:tc>
          <w:tcPr>
            <w:tcW w:w="7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经营收入</w:t>
            </w:r>
          </w:p>
        </w:tc>
        <w:tc>
          <w:tcPr>
            <w:tcW w:w="10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附属单位上缴收入</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5"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36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45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7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5"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5,518,330.37</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4,663,201.98</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855,128.39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4,948,043.45</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855,128.39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新闻出版电影</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3,533,893.45</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855,128.39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3,533,893.45</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855,128.39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tbl>
      <w:tblPr>
        <w:tblStyle w:val="6"/>
        <w:tblW w:w="9790"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0"/>
        <w:gridCol w:w="435"/>
        <w:gridCol w:w="390"/>
        <w:gridCol w:w="1410"/>
        <w:gridCol w:w="1380"/>
        <w:gridCol w:w="1410"/>
        <w:gridCol w:w="1260"/>
        <w:gridCol w:w="930"/>
        <w:gridCol w:w="870"/>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41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本年支出合计</w:t>
            </w:r>
          </w:p>
        </w:tc>
        <w:tc>
          <w:tcPr>
            <w:tcW w:w="14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上缴上级支出</w:t>
            </w:r>
          </w:p>
        </w:tc>
        <w:tc>
          <w:tcPr>
            <w:tcW w:w="8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经营支出</w:t>
            </w:r>
          </w:p>
        </w:tc>
        <w:tc>
          <w:tcPr>
            <w:tcW w:w="13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0"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43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39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3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3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0"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5,462,831.74</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4,359,081.74</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1,103,750.00</w:t>
            </w: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4,892,544.82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3,788,794.82</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新闻出版电影</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3,478,394.82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3,478,394.82</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3,478,394.82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3,478,394.82</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tbl>
      <w:tblPr>
        <w:tblStyle w:val="6"/>
        <w:tblW w:w="10080" w:type="dxa"/>
        <w:tblInd w:w="-2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5"/>
        <w:gridCol w:w="705"/>
        <w:gridCol w:w="1360"/>
        <w:gridCol w:w="1290"/>
        <w:gridCol w:w="1140"/>
        <w:gridCol w:w="1305"/>
        <w:gridCol w:w="1515"/>
        <w:gridCol w:w="67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9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     入</w:t>
            </w:r>
          </w:p>
        </w:tc>
        <w:tc>
          <w:tcPr>
            <w:tcW w:w="669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3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3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12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130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6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7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2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70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14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6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年初财政拨款结转和结余</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年末财政拨款结转和结余</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一般公共预算财政拨款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政府性基金预算财政拨款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国有资本经营预算财政拨款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13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63</w:t>
            </w:r>
          </w:p>
        </w:tc>
        <w:tc>
          <w:tcPr>
            <w:tcW w:w="13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13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15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4,663,201.98</w:t>
            </w:r>
          </w:p>
        </w:tc>
        <w:tc>
          <w:tcPr>
            <w:tcW w:w="6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Style w:val="6"/>
        <w:tblW w:w="10785" w:type="dxa"/>
        <w:tblInd w:w="-7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5"/>
        <w:gridCol w:w="330"/>
        <w:gridCol w:w="375"/>
        <w:gridCol w:w="840"/>
        <w:gridCol w:w="570"/>
        <w:gridCol w:w="645"/>
        <w:gridCol w:w="645"/>
        <w:gridCol w:w="930"/>
        <w:gridCol w:w="795"/>
        <w:gridCol w:w="885"/>
        <w:gridCol w:w="735"/>
        <w:gridCol w:w="780"/>
        <w:gridCol w:w="810"/>
        <w:gridCol w:w="705"/>
        <w:gridCol w:w="450"/>
        <w:gridCol w:w="43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8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6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261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232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216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6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6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8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00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3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8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7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8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7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7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4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4,663,201.98</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3,559,451.98</w:t>
            </w: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1,103,750.00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4,663,201.98</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3,559,451.98</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1,103,750.00</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2,989,165.06</w:t>
            </w: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4,092,915.06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2,989,165.06</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289,200.00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新闻出版电影</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2070601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2,678,765.06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1,103,750.00</w:t>
            </w: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356,510.76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就业补助</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2080799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其他就业补助支出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24,000.00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49,500.00</w:t>
            </w:r>
          </w:p>
        </w:tc>
        <w:tc>
          <w:tcPr>
            <w:tcW w:w="8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Style w:val="6"/>
        <w:tblW w:w="10575" w:type="dxa"/>
        <w:tblInd w:w="-4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515"/>
        <w:gridCol w:w="1560"/>
        <w:gridCol w:w="930"/>
        <w:gridCol w:w="1125"/>
        <w:gridCol w:w="1335"/>
        <w:gridCol w:w="825"/>
        <w:gridCol w:w="141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2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675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5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3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8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工资福利支出</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2,784,848.62</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商品和服务支出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501,603.36</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债务利息及费用支出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基本工资</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2,122,381.50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30201</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20,337.00</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30701</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国内债务付息</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津贴补贴</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30202</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印刷费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国外债务付息</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30103</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81,965.00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30203</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咨询费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资本性支出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30106</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伙食补助费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30204</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手续费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31001</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房屋建筑物购建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30107</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绩效工资</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30205</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水费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办公设备购置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30108</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332,510.76</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30206</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电费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41,861.82</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31003</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专用设备购置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30109</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职业年金缴费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30207</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邮电费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16,500.00</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31005</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基础设施建设</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30110</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职工基本医疗保险缴费</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137,991.36</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30208</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取暖费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31006</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大型修缮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公务员医疗补助缴费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30209</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物业管理费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31007</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信息网络及软件购置更新</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其他社会保障缴费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30211</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差旅费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10,000.00</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31008</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物资储备</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30113</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30212</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因公出国（境）费用</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土地补偿</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30114</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30213</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维修（护）费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31010</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安置补助</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30199</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其他工资福利支出</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30214</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租赁费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31011</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地上附着物和青苗补偿</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对个人和家庭的补助</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273,000.00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30215</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会议费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拆迁补偿</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离休费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30216</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培训费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31013</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30302</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退休费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30217</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公务接待费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其他交通工具购置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30303</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退职（役）费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30218</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专用材料费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31021</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文物和陈列品购置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30304</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抚恤金</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30224</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被装购置费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31022</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无形资产购置</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30305</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生活补助</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79,800.00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30225</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专用燃料费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31099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其他资本性支出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30306</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救济费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30226</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劳务费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316,337.31</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30307</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医疗费补助</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30227</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委托业务费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70,282.43</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39906</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赠与</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30308</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助学金</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30228</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工会经费</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26,284.80</w:t>
            </w: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39907</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国家赔偿费用支出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30309</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奖励金</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193,200.00</w:t>
            </w: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30229</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福利费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39908</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对民间非营利组织和群众性自治组织补贴</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30310</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个人农业生产补贴</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30231</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公务用车运行维护费</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39999</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其他支出</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30311</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代缴社会保险费</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30239</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其他交通费用</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30399</w:t>
            </w:r>
          </w:p>
        </w:tc>
        <w:tc>
          <w:tcPr>
            <w:tcW w:w="1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其他对个人和家庭的补助</w:t>
            </w: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30240</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税金及附加费用</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30299</w:t>
            </w:r>
          </w:p>
        </w:tc>
        <w:tc>
          <w:tcPr>
            <w:tcW w:w="1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其他商品和服务支出</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5"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人员经费合计</w:t>
            </w:r>
          </w:p>
        </w:tc>
        <w:tc>
          <w:tcPr>
            <w:tcW w:w="15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3,057,848.62</w:t>
            </w:r>
          </w:p>
        </w:tc>
        <w:tc>
          <w:tcPr>
            <w:tcW w:w="5625"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公用经费合计</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501,603.36</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tbl>
      <w:tblPr>
        <w:tblStyle w:val="6"/>
        <w:tblW w:w="10689" w:type="dxa"/>
        <w:tblInd w:w="-4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420"/>
        <w:gridCol w:w="435"/>
        <w:gridCol w:w="945"/>
        <w:gridCol w:w="495"/>
        <w:gridCol w:w="630"/>
        <w:gridCol w:w="750"/>
        <w:gridCol w:w="448"/>
        <w:gridCol w:w="436"/>
        <w:gridCol w:w="635"/>
        <w:gridCol w:w="688"/>
        <w:gridCol w:w="778"/>
        <w:gridCol w:w="717"/>
        <w:gridCol w:w="701"/>
        <w:gridCol w:w="701"/>
        <w:gridCol w:w="568"/>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5"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9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87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151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218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2832"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6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7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4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6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7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7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7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7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43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8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35"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8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4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4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9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4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6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6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7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7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7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7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5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tbl>
      <w:tblPr>
        <w:tblStyle w:val="6"/>
        <w:tblW w:w="90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1058"/>
        <w:gridCol w:w="781"/>
        <w:gridCol w:w="587"/>
        <w:gridCol w:w="587"/>
        <w:gridCol w:w="781"/>
        <w:gridCol w:w="657"/>
        <w:gridCol w:w="767"/>
        <w:gridCol w:w="1250"/>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0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95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78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65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328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5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5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c>
          <w:tcPr>
            <w:tcW w:w="7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126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0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2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6"/>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2021年度收入总计5518330.37元，支出总计5462831.74元，与2020年决算数相比，收入增加1754441.64元，增长32%，支出增加1698990.59元，增长31%。主要原因是</w:t>
      </w:r>
      <w:r>
        <w:rPr>
          <w:rFonts w:hint="eastAsia" w:ascii="仿宋_GB2312" w:hAnsi="仿宋_GB2312" w:eastAsia="仿宋_GB2312" w:cs="仿宋_GB2312"/>
          <w:color w:val="000000"/>
          <w:spacing w:val="0"/>
          <w:w w:val="100"/>
          <w:position w:val="0"/>
          <w:sz w:val="32"/>
          <w:szCs w:val="32"/>
          <w:lang w:eastAsia="zh-CN"/>
        </w:rPr>
        <w:t>项目经费增加。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5518330.37</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4663201.98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85</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855128.39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15</w:t>
      </w:r>
      <w:r>
        <w:rPr>
          <w:rFonts w:hint="eastAsia" w:ascii="仿宋_GB2312" w:hAnsi="仿宋_GB2312" w:eastAsia="仿宋_GB2312" w:cs="仿宋_GB2312"/>
          <w:color w:val="000000"/>
          <w:spacing w:val="0"/>
          <w:w w:val="100"/>
          <w:position w:val="0"/>
          <w:sz w:val="32"/>
          <w:szCs w:val="32"/>
        </w:rPr>
        <w:t>%。（应根据实际情况补充，若某一项收入为零，将其删除，不用表述）。</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5462831.74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4359081.74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80</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1103750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%;（应根据实际情况补充，若某一项支岀为零，将其删除，不用表述）。</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6"/>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4663201.98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959313.25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项目经费增加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1547598.22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项目经费增加</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4663201.98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959313.25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项目经费增加</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6"/>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年度一般公共预算财政拨款支出4663201.98万元，占本年支出的 85%，较上年决算数增加959313.25万元，增长21%。主要原因：</w:t>
      </w:r>
      <w:r>
        <w:rPr>
          <w:rFonts w:hint="eastAsia" w:ascii="仿宋_GB2312" w:hAnsi="仿宋_GB2312" w:eastAsia="仿宋_GB2312" w:cs="仿宋_GB2312"/>
          <w:color w:val="000000"/>
          <w:spacing w:val="0"/>
          <w:w w:val="100"/>
          <w:position w:val="0"/>
          <w:sz w:val="32"/>
          <w:szCs w:val="32"/>
          <w:lang w:eastAsia="zh-CN"/>
        </w:rPr>
        <w:t>项目经费增加</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6"/>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26284.8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zh-CN"/>
        </w:rPr>
        <w:t>4092915.06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356510.76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137991.36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49500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6"/>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3559451.98</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3057848.62</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233167.92</w:t>
      </w:r>
      <w:r>
        <w:rPr>
          <w:rFonts w:hint="eastAsia" w:ascii="仿宋_GB2312" w:hAnsi="仿宋_GB2312" w:eastAsia="仿宋_GB2312" w:cs="仿宋_GB2312"/>
          <w:color w:val="000000"/>
          <w:spacing w:val="0"/>
          <w:w w:val="100"/>
          <w:position w:val="0"/>
          <w:sz w:val="32"/>
          <w:szCs w:val="32"/>
        </w:rPr>
        <w:t>元，主要原因是增人增资等。人员经费用途主要包括：基本工资、津贴补贴、奖金、社会保障缴费等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501603.36</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8645.33</w:t>
      </w:r>
      <w:r>
        <w:rPr>
          <w:rFonts w:hint="eastAsia" w:ascii="仿宋_GB2312" w:hAnsi="仿宋_GB2312" w:eastAsia="仿宋_GB2312" w:cs="仿宋_GB2312"/>
          <w:color w:val="000000"/>
          <w:spacing w:val="0"/>
          <w:w w:val="100"/>
          <w:position w:val="0"/>
          <w:sz w:val="32"/>
          <w:szCs w:val="32"/>
        </w:rPr>
        <w:t>元，主要原因是物价上涨等。公用经费用途主要包括：办公费、印刷费、</w:t>
      </w:r>
      <w:r>
        <w:rPr>
          <w:rFonts w:hint="eastAsia" w:ascii="仿宋_GB2312" w:hAnsi="仿宋_GB2312" w:eastAsia="仿宋_GB2312" w:cs="仿宋_GB2312"/>
          <w:color w:val="000000"/>
          <w:spacing w:val="0"/>
          <w:w w:val="100"/>
          <w:position w:val="0"/>
          <w:sz w:val="32"/>
          <w:szCs w:val="32"/>
          <w:lang w:eastAsia="zh-CN"/>
        </w:rPr>
        <w:t>维修</w:t>
      </w:r>
      <w:r>
        <w:rPr>
          <w:rFonts w:hint="eastAsia" w:ascii="仿宋_GB2312" w:hAnsi="仿宋_GB2312" w:eastAsia="仿宋_GB2312" w:cs="仿宋_GB2312"/>
          <w:color w:val="000000"/>
          <w:spacing w:val="0"/>
          <w:w w:val="100"/>
          <w:position w:val="0"/>
          <w:sz w:val="32"/>
          <w:szCs w:val="32"/>
        </w:rPr>
        <w:t>费、手续费等。</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6"/>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6"/>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6"/>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6"/>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6"/>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6"/>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6"/>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6"/>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501603.36</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办公费、电费、邮电费、劳务费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6"/>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6"/>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6"/>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6"/>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6"/>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tabs>
          <w:tab w:val="left" w:pos="7032"/>
        </w:tabs>
        <w:bidi w:val="0"/>
        <w:jc w:val="center"/>
        <w:rPr>
          <w:rFonts w:hint="default" w:ascii="楷体" w:hAnsi="楷体" w:eastAsia="楷体" w:cs="楷体"/>
          <w:b/>
          <w:bCs/>
          <w:color w:val="FF0000"/>
          <w:sz w:val="48"/>
          <w:szCs w:val="48"/>
          <w:lang w:val="en-US" w:eastAsia="zh-CN"/>
        </w:rPr>
      </w:pPr>
      <w:r>
        <w:rPr>
          <w:rFonts w:hint="eastAsia" w:ascii="仿宋_GB2312" w:hAnsi="仿宋_GB2312" w:eastAsia="仿宋_GB2312" w:cs="仿宋_GB2312"/>
          <w:b/>
          <w:bCs/>
          <w:color w:val="000000"/>
          <w:spacing w:val="0"/>
          <w:w w:val="100"/>
          <w:position w:val="0"/>
          <w:sz w:val="48"/>
          <w:szCs w:val="48"/>
          <w:lang w:eastAsia="zh-CN"/>
        </w:rPr>
        <w:t>融媒体中心</w:t>
      </w:r>
      <w:r>
        <w:rPr>
          <w:rFonts w:hint="eastAsia" w:ascii="仿宋_GB2312" w:hAnsi="仿宋_GB2312" w:eastAsia="仿宋_GB2312" w:cs="仿宋_GB2312"/>
          <w:b/>
          <w:bCs/>
          <w:color w:val="000000"/>
          <w:spacing w:val="0"/>
          <w:w w:val="100"/>
          <w:position w:val="0"/>
          <w:sz w:val="48"/>
          <w:szCs w:val="48"/>
        </w:rPr>
        <w:t>整体支出绩效自评报告</w:t>
      </w:r>
    </w:p>
    <w:p>
      <w:pPr>
        <w:bidi w:val="0"/>
        <w:rPr>
          <w:rFonts w:hint="default"/>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70" w:lineRule="exact"/>
        <w:ind w:left="0" w:right="0" w:rightChars="0" w:firstLine="640" w:firstLineChars="200"/>
        <w:jc w:val="both"/>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为进一步规范财政资金管理，牢固树立预算绩效理念，强化支出责任，提高财政资金使用效益，根据东财发[2022]220号  关于转发《临夏州财政局关于开展2021年度部门决算信息公开工作的通知》文件要求，结合</w:t>
      </w:r>
      <w:r>
        <w:rPr>
          <w:rFonts w:hint="eastAsia" w:ascii="仿宋_GB2312" w:hAnsi="仿宋_GB2312" w:eastAsia="仿宋_GB2312" w:cs="仿宋_GB2312"/>
          <w:sz w:val="32"/>
          <w:szCs w:val="32"/>
          <w:lang w:val="en-US" w:eastAsia="zh-CN"/>
        </w:rPr>
        <w:t>本单位</w:t>
      </w:r>
      <w:r>
        <w:rPr>
          <w:rFonts w:hint="default" w:ascii="仿宋_GB2312" w:hAnsi="仿宋_GB2312" w:eastAsia="仿宋_GB2312" w:cs="仿宋_GB2312"/>
          <w:sz w:val="32"/>
          <w:szCs w:val="32"/>
          <w:lang w:val="en-US" w:eastAsia="zh-CN"/>
        </w:rPr>
        <w:t>的具体情况，认真组织开展了2021年度部门预算绩效自评工作，现将我</w:t>
      </w:r>
      <w:r>
        <w:rPr>
          <w:rFonts w:hint="eastAsia" w:ascii="仿宋_GB2312" w:hAnsi="仿宋_GB2312" w:eastAsia="仿宋_GB2312" w:cs="仿宋_GB2312"/>
          <w:sz w:val="32"/>
          <w:szCs w:val="32"/>
          <w:lang w:val="en-US" w:eastAsia="zh-CN"/>
        </w:rPr>
        <w:t>中心</w:t>
      </w:r>
      <w:r>
        <w:rPr>
          <w:rFonts w:hint="default" w:ascii="仿宋_GB2312" w:hAnsi="仿宋_GB2312" w:eastAsia="仿宋_GB2312" w:cs="仿宋_GB2312"/>
          <w:sz w:val="32"/>
          <w:szCs w:val="32"/>
          <w:lang w:val="en-US" w:eastAsia="zh-CN"/>
        </w:rPr>
        <w:t>2021年度部门整体支出绩效评价情况报告如下：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default" w:ascii="黑体" w:hAnsi="黑体" w:eastAsia="黑体" w:cs="黑体"/>
          <w:b/>
          <w:sz w:val="32"/>
          <w:szCs w:val="32"/>
          <w:lang w:val="en-US" w:eastAsia="zh-CN"/>
        </w:rPr>
      </w:pPr>
      <w:r>
        <w:rPr>
          <w:rFonts w:hint="default" w:ascii="黑体" w:hAnsi="黑体" w:eastAsia="黑体" w:cs="黑体"/>
          <w:b/>
          <w:sz w:val="32"/>
          <w:szCs w:val="32"/>
          <w:lang w:val="en-US" w:eastAsia="zh-CN"/>
        </w:rPr>
        <w:t>一、基本情况</w:t>
      </w:r>
    </w:p>
    <w:p>
      <w:pPr>
        <w:bidi w:val="0"/>
        <w:ind w:firstLine="560" w:firstLineChars="200"/>
        <w:rPr>
          <w:rFonts w:hint="eastAsia" w:ascii="仿宋_GB2312" w:hAnsi="仿宋_GB2312" w:eastAsia="仿宋_GB2312" w:cs="仿宋_GB2312"/>
          <w:sz w:val="32"/>
          <w:szCs w:val="32"/>
          <w:lang w:val="en-US" w:eastAsia="zh-CN"/>
        </w:rPr>
      </w:pPr>
      <w:r>
        <w:rPr>
          <w:rFonts w:hint="eastAsia"/>
          <w:b/>
          <w:bCs/>
          <w:kern w:val="2"/>
          <w:sz w:val="28"/>
          <w:szCs w:val="28"/>
          <w:lang w:val="en-US" w:eastAsia="zh-CN" w:bidi="ar-SA"/>
        </w:rPr>
        <w:t>（一）机构设置</w:t>
      </w:r>
      <w:r>
        <w:rPr>
          <w:rFonts w:hint="eastAsia"/>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1</w:t>
      </w:r>
      <w:r>
        <w:rPr>
          <w:rFonts w:hint="eastAsia" w:ascii="仿宋_GB2312" w:hAnsi="仿宋_GB2312" w:eastAsia="仿宋_GB2312" w:cs="仿宋_GB2312"/>
          <w:sz w:val="32"/>
          <w:szCs w:val="32"/>
          <w:lang w:val="en-US" w:eastAsia="zh-CN"/>
        </w:rPr>
        <w:t>、办公室；2、总编室；3、新闻中心；4、新媒体部；5、节目中心；6、技术保障部。融媒体中心全部40人，其中在编26人(缺编1人)，项目生4人，招聘10人。单位其中有正科级1人，副科2人，八级职员2人，驻村干部8人、党员6名。</w:t>
      </w:r>
    </w:p>
    <w:p>
      <w:pPr>
        <w:bidi w:val="0"/>
        <w:ind w:firstLine="643" w:firstLineChars="200"/>
        <w:rPr>
          <w:rFonts w:hint="default" w:ascii="Times New Roman" w:hAnsi="Times New Roman" w:eastAsia="宋体" w:cs="Times New Roman"/>
          <w:kern w:val="2"/>
          <w:sz w:val="28"/>
          <w:szCs w:val="28"/>
          <w:lang w:val="en-US" w:eastAsia="zh-CN" w:bidi="ar-SA"/>
        </w:rPr>
      </w:pPr>
      <w:r>
        <w:rPr>
          <w:rFonts w:hint="eastAsia" w:ascii="仿宋_GB2312" w:hAnsi="仿宋_GB2312" w:eastAsia="仿宋_GB2312" w:cs="仿宋_GB2312"/>
          <w:b/>
          <w:bCs/>
          <w:color w:val="000000"/>
          <w:spacing w:val="0"/>
          <w:w w:val="100"/>
          <w:position w:val="0"/>
          <w:sz w:val="32"/>
          <w:szCs w:val="32"/>
          <w:lang w:eastAsia="zh-CN"/>
        </w:rPr>
        <w:t>（二）</w:t>
      </w:r>
      <w:r>
        <w:rPr>
          <w:rFonts w:hint="eastAsia" w:ascii="仿宋_GB2312" w:hAnsi="仿宋_GB2312" w:eastAsia="仿宋_GB2312" w:cs="仿宋_GB2312"/>
          <w:b/>
          <w:bCs/>
          <w:color w:val="000000"/>
          <w:spacing w:val="0"/>
          <w:w w:val="100"/>
          <w:position w:val="0"/>
          <w:sz w:val="32"/>
          <w:szCs w:val="32"/>
        </w:rPr>
        <w:t>职</w:t>
      </w:r>
      <w:r>
        <w:rPr>
          <w:rFonts w:hint="eastAsia"/>
          <w:b/>
          <w:bCs/>
          <w:kern w:val="2"/>
          <w:sz w:val="28"/>
          <w:szCs w:val="28"/>
          <w:lang w:val="en-US" w:eastAsia="zh-CN" w:bidi="ar-SA"/>
        </w:rPr>
        <w:t>能职责</w:t>
      </w:r>
      <w:r>
        <w:rPr>
          <w:rFonts w:hint="eastAsia" w:ascii="Times New Roman" w:hAnsi="Times New Roman" w:eastAsia="宋体" w:cs="Times New Roman"/>
          <w:kern w:val="2"/>
          <w:sz w:val="28"/>
          <w:szCs w:val="28"/>
          <w:lang w:val="en-US" w:eastAsia="zh-CN" w:bidi="ar-SA"/>
        </w:rPr>
        <w:t>：</w:t>
      </w:r>
      <w:r>
        <w:rPr>
          <w:rFonts w:hint="eastAsia" w:ascii="仿宋_GB2312" w:hAnsi="仿宋_GB2312" w:eastAsia="仿宋_GB2312" w:cs="仿宋_GB2312"/>
          <w:sz w:val="32"/>
          <w:szCs w:val="32"/>
          <w:lang w:val="en-US" w:eastAsia="zh-CN"/>
        </w:rPr>
        <w:t>县融媒体中心是县委、县政府的宣传阵地,其主要职责是贯彻落实党的新闻宣传方针政策，把握新闻宣传基调，为全县经济社会发展提供舆论支持；负责全县新闻平台的统一运营管理，抓好全县新闻网络宣传和人才队伍建设；负责县政府网站集群、政务网络平台和电子政务应用平台的建设、运行和维护工作，开展政务服务，提供与群众生活相关的服务实用信息和便民服务；维护县内舆论安全，做好网络舆情的监测管控处置工作；承办县委、县政府交办的其他事项。</w:t>
      </w:r>
    </w:p>
    <w:p>
      <w:pPr>
        <w:bidi w:val="0"/>
        <w:ind w:firstLine="560" w:firstLineChars="200"/>
        <w:rPr>
          <w:rFonts w:hint="default"/>
          <w:b/>
          <w:bCs/>
          <w:kern w:val="2"/>
          <w:sz w:val="28"/>
          <w:szCs w:val="28"/>
          <w:lang w:val="en-US" w:eastAsia="zh-CN" w:bidi="ar-SA"/>
        </w:rPr>
      </w:pPr>
      <w:r>
        <w:rPr>
          <w:rFonts w:hint="default"/>
          <w:b/>
          <w:bCs/>
          <w:kern w:val="2"/>
          <w:sz w:val="28"/>
          <w:szCs w:val="28"/>
          <w:lang w:val="en-US" w:eastAsia="zh-CN" w:bidi="ar-SA"/>
        </w:rPr>
        <w:t>（</w:t>
      </w:r>
      <w:r>
        <w:rPr>
          <w:rFonts w:hint="eastAsia"/>
          <w:b/>
          <w:bCs/>
          <w:kern w:val="2"/>
          <w:sz w:val="28"/>
          <w:szCs w:val="28"/>
          <w:lang w:val="en-US" w:eastAsia="zh-CN" w:bidi="ar-SA"/>
        </w:rPr>
        <w:t>三</w:t>
      </w:r>
      <w:r>
        <w:rPr>
          <w:rFonts w:hint="default"/>
          <w:b/>
          <w:bCs/>
          <w:kern w:val="2"/>
          <w:sz w:val="28"/>
          <w:szCs w:val="28"/>
          <w:lang w:val="en-US" w:eastAsia="zh-CN" w:bidi="ar-SA"/>
        </w:rPr>
        <w:t>）部门整体支出概况</w:t>
      </w:r>
    </w:p>
    <w:p>
      <w:pPr>
        <w:bidi w:val="0"/>
        <w:ind w:firstLine="560" w:firstLineChars="200"/>
        <w:rPr>
          <w:rFonts w:hint="default" w:ascii="仿宋_GB2312" w:hAnsi="仿宋_GB2312" w:eastAsia="仿宋_GB2312" w:cs="仿宋_GB2312"/>
          <w:sz w:val="32"/>
          <w:szCs w:val="32"/>
          <w:lang w:val="en-US" w:eastAsia="zh-CN"/>
        </w:rPr>
      </w:pPr>
      <w:r>
        <w:rPr>
          <w:rFonts w:hint="default"/>
          <w:b/>
          <w:bCs/>
          <w:kern w:val="2"/>
          <w:sz w:val="28"/>
          <w:szCs w:val="28"/>
          <w:lang w:val="en-US" w:eastAsia="zh-CN" w:bidi="ar-SA"/>
        </w:rPr>
        <w:t>收入</w:t>
      </w:r>
      <w:r>
        <w:rPr>
          <w:rFonts w:hint="eastAsia"/>
          <w:kern w:val="2"/>
          <w:sz w:val="28"/>
          <w:szCs w:val="28"/>
          <w:lang w:val="en-US" w:eastAsia="zh-CN" w:bidi="ar-SA"/>
        </w:rPr>
        <w:t xml:space="preserve">  </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2021年年初预算数</w:t>
      </w:r>
      <w:r>
        <w:rPr>
          <w:rFonts w:hint="eastAsia" w:ascii="仿宋_GB2312" w:hAnsi="仿宋_GB2312" w:eastAsia="仿宋_GB2312" w:cs="仿宋_GB2312"/>
          <w:sz w:val="32"/>
          <w:szCs w:val="32"/>
          <w:lang w:val="en-US" w:eastAsia="zh-CN"/>
        </w:rPr>
        <w:t>5518330.37</w:t>
      </w:r>
      <w:r>
        <w:rPr>
          <w:rFonts w:hint="default" w:ascii="仿宋_GB2312" w:hAnsi="仿宋_GB2312" w:eastAsia="仿宋_GB2312" w:cs="仿宋_GB2312"/>
          <w:sz w:val="32"/>
          <w:szCs w:val="32"/>
          <w:lang w:val="en-US" w:eastAsia="zh-CN"/>
        </w:rPr>
        <w:t>元，其中：一般公共预算财政拨款</w:t>
      </w:r>
      <w:r>
        <w:rPr>
          <w:rFonts w:hint="eastAsia" w:ascii="仿宋_GB2312" w:hAnsi="仿宋_GB2312" w:eastAsia="仿宋_GB2312" w:cs="仿宋_GB2312"/>
          <w:sz w:val="32"/>
          <w:szCs w:val="32"/>
          <w:lang w:val="en-US" w:eastAsia="zh-CN"/>
        </w:rPr>
        <w:t>4663201.98</w:t>
      </w:r>
      <w:r>
        <w:rPr>
          <w:rFonts w:hint="default"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lang w:val="en-US" w:eastAsia="zh-CN"/>
        </w:rPr>
        <w:t>其他</w:t>
      </w:r>
      <w:r>
        <w:rPr>
          <w:rFonts w:hint="default" w:ascii="仿宋_GB2312" w:hAnsi="仿宋_GB2312" w:eastAsia="仿宋_GB2312" w:cs="仿宋_GB2312"/>
          <w:sz w:val="32"/>
          <w:szCs w:val="32"/>
          <w:lang w:val="en-US" w:eastAsia="zh-CN"/>
        </w:rPr>
        <w:t>收入</w:t>
      </w:r>
      <w:r>
        <w:rPr>
          <w:rFonts w:hint="eastAsia" w:ascii="仿宋_GB2312" w:hAnsi="仿宋_GB2312" w:eastAsia="仿宋_GB2312" w:cs="仿宋_GB2312"/>
          <w:sz w:val="32"/>
          <w:szCs w:val="32"/>
          <w:lang w:val="en-US" w:eastAsia="zh-CN"/>
        </w:rPr>
        <w:t>855128.39</w:t>
      </w:r>
      <w:r>
        <w:rPr>
          <w:rFonts w:hint="default" w:ascii="仿宋_GB2312" w:hAnsi="仿宋_GB2312" w:eastAsia="仿宋_GB2312" w:cs="仿宋_GB2312"/>
          <w:sz w:val="32"/>
          <w:szCs w:val="32"/>
          <w:lang w:val="en-US" w:eastAsia="zh-CN"/>
        </w:rPr>
        <w:t>元。预算收入完成率100%</w:t>
      </w:r>
    </w:p>
    <w:p>
      <w:pPr>
        <w:bidi w:val="0"/>
        <w:ind w:firstLine="560" w:firstLineChars="200"/>
        <w:rPr>
          <w:rFonts w:hint="eastAsia" w:ascii="仿宋_GB2312" w:hAnsi="仿宋_GB2312" w:eastAsia="仿宋_GB2312" w:cs="仿宋_GB2312"/>
          <w:color w:val="000000"/>
          <w:spacing w:val="0"/>
          <w:w w:val="100"/>
          <w:position w:val="0"/>
          <w:sz w:val="32"/>
          <w:szCs w:val="32"/>
          <w:lang w:eastAsia="zh-CN"/>
        </w:rPr>
      </w:pPr>
      <w:r>
        <w:rPr>
          <w:rFonts w:hint="default"/>
          <w:b/>
          <w:bCs/>
          <w:kern w:val="2"/>
          <w:sz w:val="28"/>
          <w:szCs w:val="28"/>
          <w:lang w:val="en-US" w:eastAsia="zh-CN" w:bidi="ar-SA"/>
        </w:rPr>
        <w:t>支出</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en-US" w:eastAsia="zh-CN"/>
        </w:rPr>
        <w:t>合计支出5462831.74</w:t>
      </w:r>
      <w:r>
        <w:rPr>
          <w:rFonts w:hint="default" w:ascii="仿宋_GB2312" w:hAnsi="仿宋_GB2312" w:eastAsia="仿宋_GB2312" w:cs="仿宋_GB2312"/>
          <w:sz w:val="32"/>
          <w:szCs w:val="32"/>
          <w:lang w:val="en-US" w:eastAsia="zh-CN"/>
        </w:rPr>
        <w:t>元，其中：</w:t>
      </w:r>
      <w:r>
        <w:rPr>
          <w:rFonts w:hint="eastAsia" w:ascii="仿宋_GB2312" w:hAnsi="仿宋_GB2312" w:eastAsia="仿宋_GB2312" w:cs="仿宋_GB2312"/>
          <w:sz w:val="32"/>
          <w:szCs w:val="32"/>
          <w:lang w:val="en-US" w:eastAsia="zh-CN"/>
        </w:rPr>
        <w:t>基本支出4359081.74元，占80%；项目支出1103750元，占20%。</w:t>
      </w:r>
    </w:p>
    <w:p>
      <w:pPr>
        <w:bidi w:val="0"/>
        <w:ind w:firstLine="560" w:firstLineChars="200"/>
        <w:rPr>
          <w:rFonts w:hint="default"/>
          <w:b/>
          <w:bCs/>
          <w:kern w:val="2"/>
          <w:sz w:val="28"/>
          <w:szCs w:val="28"/>
          <w:lang w:val="en-US" w:eastAsia="zh-CN" w:bidi="ar-SA"/>
        </w:rPr>
      </w:pPr>
      <w:r>
        <w:rPr>
          <w:rFonts w:hint="default"/>
          <w:b/>
          <w:bCs/>
          <w:kern w:val="2"/>
          <w:sz w:val="28"/>
          <w:szCs w:val="28"/>
          <w:lang w:val="en-US" w:eastAsia="zh-CN" w:bidi="ar-SA"/>
        </w:rPr>
        <w:t>（</w:t>
      </w:r>
      <w:r>
        <w:rPr>
          <w:rFonts w:hint="eastAsia"/>
          <w:b/>
          <w:bCs/>
          <w:kern w:val="2"/>
          <w:sz w:val="28"/>
          <w:szCs w:val="28"/>
          <w:lang w:val="en-US" w:eastAsia="zh-CN" w:bidi="ar-SA"/>
        </w:rPr>
        <w:t>四</w:t>
      </w:r>
      <w:r>
        <w:rPr>
          <w:rFonts w:hint="default"/>
          <w:b/>
          <w:bCs/>
          <w:kern w:val="2"/>
          <w:sz w:val="28"/>
          <w:szCs w:val="28"/>
          <w:lang w:val="en-US" w:eastAsia="zh-CN" w:bidi="ar-SA"/>
        </w:rPr>
        <w:t>）部门整体支出绩效目标</w:t>
      </w:r>
    </w:p>
    <w:p>
      <w:pPr>
        <w:bidi w:val="0"/>
        <w:ind w:firstLine="560" w:firstLineChars="200"/>
        <w:rPr>
          <w:rFonts w:hint="default" w:ascii="仿宋_GB2312" w:hAnsi="仿宋_GB2312" w:eastAsia="仿宋_GB2312" w:cs="仿宋_GB2312"/>
          <w:sz w:val="32"/>
          <w:szCs w:val="32"/>
          <w:lang w:val="en-US" w:eastAsia="zh-CN"/>
        </w:rPr>
      </w:pPr>
      <w:r>
        <w:rPr>
          <w:rFonts w:hint="default"/>
          <w:b/>
          <w:bCs/>
          <w:kern w:val="2"/>
          <w:sz w:val="28"/>
          <w:szCs w:val="28"/>
          <w:lang w:val="en-US" w:eastAsia="zh-CN" w:bidi="ar-SA"/>
        </w:rPr>
        <w:t>预决算公开</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2021年，按照上级的要求，我</w:t>
      </w:r>
      <w:r>
        <w:rPr>
          <w:rFonts w:hint="eastAsia" w:ascii="仿宋_GB2312" w:hAnsi="仿宋_GB2312" w:eastAsia="仿宋_GB2312" w:cs="仿宋_GB2312"/>
          <w:sz w:val="32"/>
          <w:szCs w:val="32"/>
          <w:lang w:val="en-US" w:eastAsia="zh-CN"/>
        </w:rPr>
        <w:t>中心</w:t>
      </w:r>
      <w:r>
        <w:rPr>
          <w:rFonts w:hint="default" w:ascii="仿宋_GB2312" w:hAnsi="仿宋_GB2312" w:eastAsia="仿宋_GB2312" w:cs="仿宋_GB2312"/>
          <w:sz w:val="32"/>
          <w:szCs w:val="32"/>
          <w:lang w:val="en-US" w:eastAsia="zh-CN"/>
        </w:rPr>
        <w:t>在政府网站上进行了预决算公开。</w:t>
      </w:r>
    </w:p>
    <w:p>
      <w:pPr>
        <w:bidi w:val="0"/>
        <w:ind w:firstLine="560" w:firstLineChars="200"/>
        <w:rPr>
          <w:rFonts w:hint="default"/>
          <w:kern w:val="2"/>
          <w:sz w:val="28"/>
          <w:szCs w:val="28"/>
          <w:lang w:val="en-US" w:eastAsia="zh-CN" w:bidi="ar-SA"/>
        </w:rPr>
      </w:pPr>
      <w:r>
        <w:rPr>
          <w:rFonts w:hint="default"/>
          <w:b/>
          <w:bCs/>
          <w:kern w:val="2"/>
          <w:sz w:val="28"/>
          <w:szCs w:val="28"/>
          <w:lang w:val="en-US" w:eastAsia="zh-CN" w:bidi="ar-SA"/>
        </w:rPr>
        <w:t>资产管理</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我们进一步加强资产的管理，制定了《</w:t>
      </w:r>
      <w:r>
        <w:rPr>
          <w:rFonts w:hint="eastAsia" w:ascii="仿宋_GB2312" w:hAnsi="仿宋_GB2312" w:eastAsia="仿宋_GB2312" w:cs="仿宋_GB2312"/>
          <w:sz w:val="32"/>
          <w:szCs w:val="32"/>
          <w:lang w:val="en-US" w:eastAsia="zh-CN"/>
        </w:rPr>
        <w:t>东乡县融媒体中心</w:t>
      </w:r>
      <w:r>
        <w:rPr>
          <w:rFonts w:hint="default" w:ascii="仿宋_GB2312" w:hAnsi="仿宋_GB2312" w:eastAsia="仿宋_GB2312" w:cs="仿宋_GB2312"/>
          <w:sz w:val="32"/>
          <w:szCs w:val="32"/>
          <w:lang w:val="en-US" w:eastAsia="zh-CN"/>
        </w:rPr>
        <w:t>政府采购内部控制制度》等制度，明确了具体责任人，完善了固定资产档案，严格报批、销审等手续，做好资产登记工作，单位无任何资产流失现象</w:t>
      </w:r>
      <w:r>
        <w:rPr>
          <w:rFonts w:hint="default"/>
          <w:kern w:val="2"/>
          <w:sz w:val="28"/>
          <w:szCs w:val="28"/>
          <w:lang w:val="en-US" w:eastAsia="zh-CN" w:bidi="ar-SA"/>
        </w:rPr>
        <w:t>。</w:t>
      </w:r>
    </w:p>
    <w:p>
      <w:pPr>
        <w:bidi w:val="0"/>
        <w:ind w:firstLine="560" w:firstLineChars="200"/>
        <w:rPr>
          <w:rFonts w:hint="default" w:ascii="仿宋_GB2312" w:hAnsi="仿宋_GB2312" w:eastAsia="仿宋_GB2312" w:cs="仿宋_GB2312"/>
          <w:sz w:val="32"/>
          <w:szCs w:val="32"/>
          <w:lang w:val="en-US" w:eastAsia="zh-CN"/>
        </w:rPr>
      </w:pPr>
      <w:r>
        <w:rPr>
          <w:rFonts w:hint="default"/>
          <w:b/>
          <w:bCs/>
          <w:kern w:val="2"/>
          <w:sz w:val="28"/>
          <w:szCs w:val="28"/>
          <w:lang w:val="en-US" w:eastAsia="zh-CN" w:bidi="ar-SA"/>
        </w:rPr>
        <w:t>三公经费控制情况</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val="en-US" w:eastAsia="zh-CN"/>
        </w:rPr>
        <w:t>中心</w:t>
      </w:r>
      <w:r>
        <w:rPr>
          <w:rFonts w:hint="default" w:ascii="仿宋_GB2312" w:hAnsi="仿宋_GB2312" w:eastAsia="仿宋_GB2312" w:cs="仿宋_GB2312"/>
          <w:sz w:val="32"/>
          <w:szCs w:val="32"/>
          <w:lang w:val="en-US" w:eastAsia="zh-CN"/>
        </w:rPr>
        <w:t>贯彻落实上级有关精神，严格控制“三公经费”支出，取得了良好效果。具体情况如下：2021年“三公”经费</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元，无公务用车运行维护费和因公出国（境）费用。</w:t>
      </w:r>
    </w:p>
    <w:p>
      <w:pPr>
        <w:bidi w:val="0"/>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内部管理制度建设情况</w:t>
      </w:r>
      <w:r>
        <w:rPr>
          <w:rFonts w:hint="default" w:ascii="仿宋_GB2312" w:hAnsi="仿宋_GB2312" w:eastAsia="仿宋_GB2312" w:cs="仿宋_GB2312"/>
          <w:sz w:val="32"/>
          <w:szCs w:val="32"/>
          <w:lang w:val="en-US" w:eastAsia="zh-CN"/>
        </w:rPr>
        <w:t>：制定了《关于进一步规范内部管理的通知》等一系列内部管理制度。</w:t>
      </w:r>
    </w:p>
    <w:p>
      <w:pPr>
        <w:bidi w:val="0"/>
        <w:ind w:firstLine="560" w:firstLineChars="200"/>
        <w:rPr>
          <w:rFonts w:hint="default"/>
          <w:kern w:val="2"/>
          <w:sz w:val="28"/>
          <w:szCs w:val="28"/>
          <w:lang w:val="en-US" w:eastAsia="zh-CN" w:bidi="ar-SA"/>
        </w:rPr>
      </w:pPr>
      <w:r>
        <w:rPr>
          <w:rFonts w:hint="default"/>
          <w:b/>
          <w:bCs/>
          <w:kern w:val="2"/>
          <w:sz w:val="28"/>
          <w:szCs w:val="28"/>
          <w:lang w:val="en-US" w:eastAsia="zh-CN" w:bidi="ar-SA"/>
        </w:rPr>
        <w:t>项目绩效总目标完成情况</w:t>
      </w:r>
      <w:r>
        <w:rPr>
          <w:rFonts w:hint="default"/>
          <w:kern w:val="2"/>
          <w:sz w:val="28"/>
          <w:szCs w:val="28"/>
          <w:lang w:val="en-US" w:eastAsia="zh-CN" w:bidi="ar-SA"/>
        </w:rPr>
        <w:t>：</w:t>
      </w:r>
      <w:r>
        <w:rPr>
          <w:rFonts w:hint="default"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圆满完成各项业务工作任务。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default" w:ascii="黑体" w:hAnsi="黑体" w:eastAsia="黑体" w:cs="黑体"/>
          <w:b/>
          <w:sz w:val="32"/>
          <w:szCs w:val="32"/>
          <w:lang w:val="en-US" w:eastAsia="zh-CN"/>
        </w:rPr>
      </w:pPr>
      <w:r>
        <w:rPr>
          <w:rFonts w:hint="eastAsia" w:ascii="黑体" w:hAnsi="黑体" w:eastAsia="黑体" w:cs="黑体"/>
          <w:b/>
          <w:sz w:val="32"/>
          <w:szCs w:val="32"/>
          <w:lang w:val="en-US" w:eastAsia="zh-CN"/>
        </w:rPr>
        <w:t>二、</w:t>
      </w:r>
      <w:r>
        <w:rPr>
          <w:rFonts w:hint="default" w:ascii="黑体" w:hAnsi="黑体" w:eastAsia="黑体" w:cs="黑体"/>
          <w:b/>
          <w:sz w:val="32"/>
          <w:szCs w:val="32"/>
          <w:lang w:val="en-US" w:eastAsia="zh-CN"/>
        </w:rPr>
        <w:t>绩效评价工作情况</w:t>
      </w:r>
    </w:p>
    <w:p>
      <w:pPr>
        <w:numPr>
          <w:ilvl w:val="0"/>
          <w:numId w:val="0"/>
        </w:numPr>
        <w:bidi w:val="0"/>
        <w:ind w:firstLine="560" w:firstLineChars="200"/>
        <w:rPr>
          <w:rFonts w:hint="default"/>
          <w:b/>
          <w:bCs/>
          <w:kern w:val="2"/>
          <w:sz w:val="28"/>
          <w:szCs w:val="28"/>
          <w:lang w:val="en-US" w:eastAsia="zh-CN" w:bidi="ar-SA"/>
        </w:rPr>
      </w:pPr>
      <w:r>
        <w:rPr>
          <w:rFonts w:hint="default"/>
          <w:b/>
          <w:bCs/>
          <w:kern w:val="2"/>
          <w:sz w:val="28"/>
          <w:szCs w:val="28"/>
          <w:lang w:val="en-US" w:eastAsia="zh-CN" w:bidi="ar-SA"/>
        </w:rPr>
        <w:t>（一）绩效评价目的</w:t>
      </w:r>
    </w:p>
    <w:p>
      <w:pPr>
        <w:keepNext w:val="0"/>
        <w:keepLines w:val="0"/>
        <w:pageBreakBefore w:val="0"/>
        <w:widowControl w:val="0"/>
        <w:kinsoku/>
        <w:wordWrap/>
        <w:overflowPunct/>
        <w:topLinePunct w:val="0"/>
        <w:autoSpaceDE/>
        <w:autoSpaceDN/>
        <w:bidi w:val="0"/>
        <w:adjustRightInd/>
        <w:snapToGrid/>
        <w:spacing w:after="0" w:line="570" w:lineRule="exact"/>
        <w:ind w:left="0" w:right="0" w:rightChars="0" w:firstLine="640" w:firstLineChars="200"/>
        <w:jc w:val="both"/>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此次绩效评价的目的是：严格落实《预算法》及省、</w:t>
      </w:r>
      <w:r>
        <w:rPr>
          <w:rFonts w:hint="eastAsia" w:ascii="仿宋_GB2312" w:hAnsi="仿宋_GB2312" w:eastAsia="仿宋_GB2312" w:cs="仿宋_GB2312"/>
          <w:sz w:val="32"/>
          <w:szCs w:val="32"/>
          <w:lang w:val="en-US" w:eastAsia="zh-CN"/>
        </w:rPr>
        <w:t>州、县</w:t>
      </w:r>
      <w:r>
        <w:rPr>
          <w:rFonts w:hint="default" w:ascii="仿宋_GB2312" w:hAnsi="仿宋_GB2312" w:eastAsia="仿宋_GB2312" w:cs="仿宋_GB2312"/>
          <w:sz w:val="32"/>
          <w:szCs w:val="32"/>
          <w:lang w:val="en-US" w:eastAsia="zh-CN"/>
        </w:rPr>
        <w:t>绩效管理工作的有关规定，进一步规范财政资金的管理，强化财政支出绩效理念，提升部门责任意识，提高资金使用效益，促进</w:t>
      </w:r>
      <w:r>
        <w:rPr>
          <w:rFonts w:hint="eastAsia" w:ascii="仿宋_GB2312" w:hAnsi="仿宋_GB2312" w:eastAsia="仿宋_GB2312" w:cs="仿宋_GB2312"/>
          <w:sz w:val="32"/>
          <w:szCs w:val="32"/>
          <w:lang w:val="en-US" w:eastAsia="zh-CN"/>
        </w:rPr>
        <w:t>媒体融合</w:t>
      </w:r>
      <w:r>
        <w:rPr>
          <w:rFonts w:hint="default" w:ascii="仿宋_GB2312" w:hAnsi="仿宋_GB2312" w:eastAsia="仿宋_GB2312" w:cs="仿宋_GB2312"/>
          <w:sz w:val="32"/>
          <w:szCs w:val="32"/>
          <w:lang w:val="en-US" w:eastAsia="zh-CN"/>
        </w:rPr>
        <w:t>发展。</w:t>
      </w:r>
    </w:p>
    <w:p>
      <w:pPr>
        <w:bidi w:val="0"/>
        <w:ind w:firstLine="560" w:firstLineChars="200"/>
        <w:rPr>
          <w:rFonts w:hint="default"/>
          <w:b/>
          <w:bCs/>
          <w:kern w:val="2"/>
          <w:sz w:val="28"/>
          <w:szCs w:val="28"/>
          <w:lang w:val="en-US" w:eastAsia="zh-CN" w:bidi="ar-SA"/>
        </w:rPr>
      </w:pPr>
      <w:r>
        <w:rPr>
          <w:rFonts w:hint="eastAsia"/>
          <w:b/>
          <w:bCs/>
          <w:kern w:val="2"/>
          <w:sz w:val="28"/>
          <w:szCs w:val="28"/>
          <w:lang w:val="en-US" w:eastAsia="zh-CN" w:bidi="ar-SA"/>
        </w:rPr>
        <w:t>（二）</w:t>
      </w:r>
      <w:r>
        <w:rPr>
          <w:rFonts w:hint="default"/>
          <w:b/>
          <w:bCs/>
          <w:kern w:val="2"/>
          <w:sz w:val="28"/>
          <w:szCs w:val="28"/>
          <w:lang w:val="en-US" w:eastAsia="zh-CN" w:bidi="ar-SA"/>
        </w:rPr>
        <w:t>绩效评价工作的过程</w:t>
      </w:r>
    </w:p>
    <w:p>
      <w:pPr>
        <w:keepNext w:val="0"/>
        <w:keepLines w:val="0"/>
        <w:pageBreakBefore w:val="0"/>
        <w:widowControl w:val="0"/>
        <w:kinsoku/>
        <w:wordWrap/>
        <w:overflowPunct/>
        <w:topLinePunct w:val="0"/>
        <w:autoSpaceDE/>
        <w:autoSpaceDN/>
        <w:bidi w:val="0"/>
        <w:adjustRightInd/>
        <w:snapToGrid/>
        <w:spacing w:after="0" w:line="570" w:lineRule="exact"/>
        <w:ind w:left="0" w:right="0" w:rightChars="0" w:firstLine="640" w:firstLineChars="200"/>
        <w:jc w:val="both"/>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绩效评价的要求，成立自评工作领导小组，对照自评方案进行研究和部署，党组成员及各股室全程参与，按照自评方案的要求，对照各实施项目的内容逐条逐项自评。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eastAsia" w:ascii="黑体" w:hAnsi="黑体" w:eastAsia="黑体" w:cs="黑体"/>
          <w:b/>
          <w:sz w:val="32"/>
          <w:szCs w:val="32"/>
          <w:lang w:val="en-US" w:eastAsia="zh-CN"/>
        </w:rPr>
      </w:pPr>
      <w:r>
        <w:rPr>
          <w:rFonts w:hint="default" w:ascii="黑体" w:hAnsi="黑体" w:eastAsia="黑体" w:cs="黑体"/>
          <w:b/>
          <w:sz w:val="32"/>
          <w:szCs w:val="32"/>
          <w:lang w:val="en-US" w:eastAsia="zh-CN"/>
        </w:rPr>
        <w:t>三、主要绩效及评价结论</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（一）强化理论学习，加强思想政治建设</w:t>
      </w:r>
    </w:p>
    <w:p>
      <w:pPr>
        <w:keepNext w:val="0"/>
        <w:keepLines w:val="0"/>
        <w:pageBreakBefore w:val="0"/>
        <w:widowControl w:val="0"/>
        <w:kinsoku/>
        <w:wordWrap/>
        <w:overflowPunct/>
        <w:topLinePunct w:val="0"/>
        <w:autoSpaceDE/>
        <w:autoSpaceDN/>
        <w:bidi w:val="0"/>
        <w:adjustRightInd/>
        <w:snapToGrid/>
        <w:spacing w:after="0" w:line="570" w:lineRule="exact"/>
        <w:ind w:left="0" w:right="0" w:rightChars="0" w:firstLine="640" w:firstLineChars="200"/>
        <w:jc w:val="both"/>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2021年，我们在县委、县政府的正确领导下，始终坚持以习近平新时代中国特色社会主义思想为指导，牢牢把握正确的政治方向和舆论导向，增强“四个意识”、坚定“四个自信”、坚决做到“两个维护”，认真贯彻落实县委县政府关于新闻宣传工作的一系列决策部署，围绕县委县政府中心工作，全方位、多层次推进宣传报道，着力提升主流媒体传播力、引导力、影响力、公信力，为我县统筹推进疫情防控和经济社会发展，“十四五”规划顺利开展和“脱贫攻坚和乡村振兴有效衔接”营造了浓厚的舆论氛围。</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（二）围绕中心工作，打好新闻宣传主动仗</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今年以来，中心紧紧围绕县委、县政府中心工作，进一步拓宽宣传渠道，按照“电视+新媒体”的基本构架，发挥各自优势，在宣传宏观内容上形成主题主线，在微观内容和具体手段上互为补充，各有侧重。</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一是把握重点，传统媒体宣传持续发力。</w:t>
      </w:r>
      <w:r>
        <w:rPr>
          <w:rFonts w:hint="eastAsia" w:ascii="仿宋_GB2312" w:hAnsi="仿宋_GB2312" w:eastAsia="仿宋_GB2312" w:cs="仿宋_GB2312"/>
          <w:sz w:val="32"/>
          <w:szCs w:val="32"/>
        </w:rPr>
        <w:t>《东乡新闻》至今播出新闻报道16</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0余条，播发公益广告100余条，开设了《奋斗百年路 起航新征程》《党史学习教育——创新方式学党史 聚焦为民办实事》《县直部门落实脱贫攻坚专项责任纪实》《祖国诵》《优化营商环境 赋能经济发展》《河州味道 东乡美食》《喜迎党代会 铸就新辉煌》《疫情防控 东乡在行动》《三尺讲台写人生 四季耕耘润花红》专栏，拍摄了《走进东乡》《东</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味道》《东乡中学》《民族团结进步创建活动》《全面开启乡村振兴新征程》《荒山变绿林》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东西协作专题片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圆梦脱贫再出发 乡村振兴谱新篇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中央定点帮扶专题片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乡村振兴 不只是理想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等10</w:t>
      </w:r>
      <w:r>
        <w:rPr>
          <w:rFonts w:hint="eastAsia" w:ascii="仿宋_GB2312" w:hAnsi="仿宋_GB2312" w:eastAsia="仿宋_GB2312" w:cs="仿宋_GB2312"/>
          <w:sz w:val="32"/>
          <w:szCs w:val="32"/>
        </w:rPr>
        <w:t>部专题片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党员先锋微短片8期。</w:t>
      </w:r>
      <w:r>
        <w:rPr>
          <w:rFonts w:hint="eastAsia" w:ascii="仿宋_GB2312" w:hAnsi="仿宋_GB2312" w:eastAsia="仿宋_GB2312" w:cs="仿宋_GB2312"/>
          <w:sz w:val="32"/>
          <w:szCs w:val="32"/>
        </w:rPr>
        <w:t>深入全县各乡镇，采访拍摄精神文明创建及乡村振兴战略视频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制作视频短片30期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二是突出特色，品牌宣传有活力。</w:t>
      </w:r>
      <w:r>
        <w:rPr>
          <w:rFonts w:hint="eastAsia" w:ascii="仿宋_GB2312" w:hAnsi="仿宋_GB2312" w:eastAsia="仿宋_GB2312" w:cs="仿宋_GB2312"/>
          <w:kern w:val="2"/>
          <w:sz w:val="32"/>
          <w:szCs w:val="32"/>
          <w:lang w:val="en-US" w:eastAsia="zh-CN" w:bidi="ar-SA"/>
        </w:rPr>
        <w:t>精心策划，突出特色，制作</w:t>
      </w:r>
      <w:r>
        <w:rPr>
          <w:rFonts w:hint="eastAsia" w:ascii="仿宋_GB2312" w:hAnsi="仿宋_GB2312" w:eastAsia="仿宋_GB2312" w:cs="仿宋_GB2312"/>
          <w:sz w:val="32"/>
          <w:szCs w:val="32"/>
        </w:rPr>
        <w:t>《走进东乡》《东</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味道》</w:t>
      </w:r>
      <w:r>
        <w:rPr>
          <w:rFonts w:hint="eastAsia" w:ascii="仿宋_GB2312" w:hAnsi="仿宋_GB2312" w:eastAsia="仿宋_GB2312" w:cs="仿宋_GB2312"/>
          <w:kern w:val="2"/>
          <w:sz w:val="32"/>
          <w:szCs w:val="32"/>
          <w:lang w:val="en-US" w:eastAsia="zh-CN" w:bidi="ar-SA"/>
        </w:rPr>
        <w:t>等旅游宣传片，大力宣传东乡县旅游资源及羊等特色产业，有效提升东乡知名度。</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baseline"/>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三是丰富载体，新媒体宣传有声有色。</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baseline"/>
        <w:rPr>
          <w:rFonts w:hint="eastAsia"/>
          <w:lang w:val="en-US" w:eastAsia="zh-CN"/>
        </w:rPr>
      </w:pPr>
      <w:r>
        <w:rPr>
          <w:rFonts w:hint="eastAsia" w:ascii="仿宋_GB2312" w:hAnsi="仿宋_GB2312" w:eastAsia="仿宋_GB2312" w:cs="仿宋_GB2312"/>
          <w:sz w:val="32"/>
          <w:szCs w:val="32"/>
        </w:rPr>
        <w:t>按照新媒体市场需求，</w:t>
      </w:r>
      <w:r>
        <w:rPr>
          <w:rFonts w:hint="eastAsia" w:ascii="仿宋_GB2312" w:hAnsi="仿宋_GB2312" w:eastAsia="仿宋_GB2312" w:cs="仿宋_GB2312"/>
          <w:kern w:val="2"/>
          <w:sz w:val="32"/>
          <w:szCs w:val="32"/>
          <w:lang w:val="en-US" w:eastAsia="zh-CN" w:bidi="ar-SA"/>
        </w:rPr>
        <w:t>目前，已建成“多彩东乡”客户端和“多彩东乡”“东乡县电视台”“临夏东乡发布”微信公众号、“今日头条东乡发布”“东乡县融媒体微博”和“东乡县融媒体”抖音号“东乡县融媒体中心”视频号等十二个发布平台组成的县域新媒体矩阵，形成了各终端分众传播、分类覆盖的传播格局。据统计，各媒体平台总发稿7万余条，原创1.1w余条，总点击量（阅读数）达4000万人次，关注人数近12万余人；其中“多彩东乡”客户端发布信息32716条、原创2638条，下载量15155人，点击量53万次；东乡融媒体抖音发布1451条，粉丝量36796人，点击量3000万+，单个作品最高点击量达360多万。</w:t>
      </w:r>
      <w:r>
        <w:rPr>
          <w:rFonts w:hint="eastAsia" w:ascii="仿宋_GB2312" w:hAnsi="仿宋_GB2312" w:eastAsia="仿宋_GB2312" w:cs="仿宋_GB2312"/>
          <w:sz w:val="32"/>
          <w:szCs w:val="32"/>
        </w:rPr>
        <w:t>实现“一次采集、多元生成、全媒传播”的生产新模式。打破电视、新媒体等采编框架壁垒，将采编人员聚合在一起进行“统一报道部署、统一策划主题、统一组织采访、统一编发稿件”，实现集约化、全媒体化运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baseline"/>
        <w:rPr>
          <w:rFonts w:hint="eastAsia" w:ascii="Times New Roman" w:hAnsi="Times New Roman" w:eastAsia="宋体" w:cs="Times New Roman"/>
          <w:b/>
          <w:bCs/>
          <w:kern w:val="2"/>
          <w:sz w:val="28"/>
          <w:szCs w:val="28"/>
          <w:lang w:val="en-US" w:eastAsia="zh-CN" w:bidi="ar-SA"/>
        </w:rPr>
      </w:pPr>
      <w:r>
        <w:rPr>
          <w:rFonts w:hint="eastAsia" w:ascii="楷体" w:hAnsi="楷体" w:eastAsia="楷体" w:cs="楷体"/>
          <w:kern w:val="2"/>
          <w:sz w:val="32"/>
          <w:szCs w:val="32"/>
          <w:lang w:val="en-US" w:eastAsia="zh-CN" w:bidi="ar-SA"/>
        </w:rPr>
        <w:t>（</w:t>
      </w:r>
      <w:r>
        <w:rPr>
          <w:rFonts w:hint="eastAsia" w:ascii="Times New Roman" w:hAnsi="Times New Roman" w:eastAsia="宋体" w:cs="Times New Roman"/>
          <w:b/>
          <w:bCs/>
          <w:kern w:val="2"/>
          <w:sz w:val="28"/>
          <w:szCs w:val="28"/>
          <w:lang w:val="en-US" w:eastAsia="zh-CN" w:bidi="ar-SA"/>
        </w:rPr>
        <w:t>三）深化媒体改革，推进媒体深度融合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以来，县融媒体中心在重构县级媒体建设与运行机制基础上，坚定不移的推进媒体深度融合，着力深化媒体内部体制机制改革，着力拓宽传播平台载体，着力强化人才支撑和政策保障，推动传统媒体和新兴媒体尽快从相“加”迈向相“融”，传统媒体与新兴媒体优势互补、此长彼长的态势日益凸显，我县新闻舆论工作气象一新。为加速人员转型融合，中心坚持每周召开一次新闻阅评和业务研讨会，举办业务知识培训，通过交流学习，提升技能，从思想上、技术上彻底改变新闻从业人员的观念。不断完善全媒体考核评价，做到“同岗同责、同工同酬、优劳优酬”，极大调动人员的工作积极性和创造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四、存在的主要问题和困难</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baseline"/>
        <w:rPr>
          <w:rFonts w:hint="eastAsia" w:ascii="宋体" w:hAnsi="宋体" w:eastAsia="宋体" w:cs="宋体"/>
          <w:sz w:val="28"/>
          <w:szCs w:val="28"/>
          <w:lang w:val="en-US" w:eastAsia="zh-CN"/>
        </w:rPr>
      </w:pPr>
      <w:r>
        <w:rPr>
          <w:rFonts w:hint="eastAsia" w:ascii="仿宋_GB2312" w:hAnsi="仿宋_GB2312" w:eastAsia="仿宋_GB2312" w:cs="仿宋_GB2312"/>
          <w:kern w:val="2"/>
          <w:sz w:val="32"/>
          <w:szCs w:val="32"/>
          <w:lang w:val="en-US" w:eastAsia="zh-CN" w:bidi="ar-SA"/>
        </w:rPr>
        <w:t>一年来，在县委县政府的正确领导下，县融媒体中心围绕中心工作，强化工作举措，做了一定的工作，但与县委县政府的要求相比，还存在一定的差距和不足，主要表现在：阵地意识不够强，新闻宣传质量不高，对外宣传力度还需要进一步加大，没有真正发挥网络正面舆论阵地作用，特别是在新形势下提高引导舆论的本领仍需进一步增强。我县融媒体建设尚处在建设的初级阶段，存在缺技术、缺资金、缺专业人才等问题。</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无</w:t>
      </w:r>
      <w:bookmarkStart w:id="18" w:name="_GoBack"/>
      <w:bookmarkEnd w:id="18"/>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mMwNzk0MmFlY2Y5NDIzOGE5MDYzY2JlODViMTBkMjMifQ=="/>
  </w:docVars>
  <w:rsids>
    <w:rsidRoot w:val="00000000"/>
    <w:rsid w:val="0511788F"/>
    <w:rsid w:val="06AA1511"/>
    <w:rsid w:val="0A0F6D1D"/>
    <w:rsid w:val="0A4C6688"/>
    <w:rsid w:val="16AC54FC"/>
    <w:rsid w:val="1739327C"/>
    <w:rsid w:val="19BA4320"/>
    <w:rsid w:val="1A8336F5"/>
    <w:rsid w:val="1B205130"/>
    <w:rsid w:val="1E712589"/>
    <w:rsid w:val="1F523B54"/>
    <w:rsid w:val="202D264E"/>
    <w:rsid w:val="25FD0C5D"/>
    <w:rsid w:val="29C05E6C"/>
    <w:rsid w:val="2BD756D3"/>
    <w:rsid w:val="2F990904"/>
    <w:rsid w:val="39F46F0A"/>
    <w:rsid w:val="3ABD5DEE"/>
    <w:rsid w:val="3BD710AD"/>
    <w:rsid w:val="41670196"/>
    <w:rsid w:val="42736B67"/>
    <w:rsid w:val="43D445BB"/>
    <w:rsid w:val="4B60103E"/>
    <w:rsid w:val="4D9978A5"/>
    <w:rsid w:val="4F1428B3"/>
    <w:rsid w:val="537062B7"/>
    <w:rsid w:val="538D6236"/>
    <w:rsid w:val="5618477B"/>
    <w:rsid w:val="57D535F7"/>
    <w:rsid w:val="587D0FE2"/>
    <w:rsid w:val="58806626"/>
    <w:rsid w:val="5E2C2909"/>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HTML Definition"/>
    <w:basedOn w:val="7"/>
    <w:qFormat/>
    <w:uiPriority w:val="0"/>
    <w:rPr>
      <w:i/>
      <w:iCs/>
    </w:rPr>
  </w:style>
  <w:style w:type="character" w:styleId="11">
    <w:name w:val="Hyperlink"/>
    <w:basedOn w:val="7"/>
    <w:qFormat/>
    <w:uiPriority w:val="0"/>
    <w:rPr>
      <w:color w:val="333333"/>
      <w:u w:val="none"/>
    </w:rPr>
  </w:style>
  <w:style w:type="character" w:styleId="12">
    <w:name w:val="HTML Code"/>
    <w:basedOn w:val="7"/>
    <w:qFormat/>
    <w:uiPriority w:val="0"/>
    <w:rPr>
      <w:rFonts w:ascii="Consolas" w:hAnsi="Consolas" w:eastAsia="Consolas" w:cs="Consolas"/>
      <w:color w:val="C7254E"/>
      <w:sz w:val="21"/>
      <w:szCs w:val="21"/>
      <w:shd w:val="clear" w:fill="F9F2F4"/>
    </w:rPr>
  </w:style>
  <w:style w:type="character" w:styleId="13">
    <w:name w:val="HTML Keyboard"/>
    <w:basedOn w:val="7"/>
    <w:qFormat/>
    <w:uiPriority w:val="0"/>
    <w:rPr>
      <w:rFonts w:hint="default"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Body text|1_"/>
    <w:basedOn w:val="7"/>
    <w:link w:val="16"/>
    <w:qFormat/>
    <w:uiPriority w:val="0"/>
    <w:rPr>
      <w:rFonts w:ascii="宋体" w:hAnsi="宋体" w:eastAsia="宋体" w:cs="宋体"/>
      <w:sz w:val="30"/>
      <w:szCs w:val="30"/>
      <w:u w:val="none"/>
      <w:shd w:val="clear" w:color="auto" w:fill="auto"/>
      <w:lang w:val="zh-TW" w:eastAsia="zh-TW" w:bidi="zh-TW"/>
    </w:rPr>
  </w:style>
  <w:style w:type="paragraph" w:customStyle="1" w:styleId="16">
    <w:name w:val="Body text|1"/>
    <w:basedOn w:val="1"/>
    <w:link w:val="15"/>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7">
    <w:name w:val="Header or footer|2_"/>
    <w:basedOn w:val="7"/>
    <w:link w:val="18"/>
    <w:qFormat/>
    <w:uiPriority w:val="0"/>
    <w:rPr>
      <w:sz w:val="20"/>
      <w:szCs w:val="20"/>
      <w:u w:val="none"/>
      <w:shd w:val="clear" w:color="auto" w:fill="auto"/>
      <w:lang w:val="zh-TW" w:eastAsia="zh-TW" w:bidi="zh-TW"/>
    </w:rPr>
  </w:style>
  <w:style w:type="paragraph" w:customStyle="1" w:styleId="18">
    <w:name w:val="Header or footer|2"/>
    <w:basedOn w:val="1"/>
    <w:link w:val="17"/>
    <w:qFormat/>
    <w:uiPriority w:val="0"/>
    <w:pPr>
      <w:widowControl w:val="0"/>
      <w:shd w:val="clear" w:color="auto" w:fill="auto"/>
    </w:pPr>
    <w:rPr>
      <w:sz w:val="20"/>
      <w:szCs w:val="20"/>
      <w:u w:val="none"/>
      <w:shd w:val="clear" w:color="auto" w:fill="auto"/>
      <w:lang w:val="zh-TW" w:eastAsia="zh-TW" w:bidi="zh-TW"/>
    </w:rPr>
  </w:style>
  <w:style w:type="character" w:customStyle="1" w:styleId="19">
    <w:name w:val="Heading #1|1_"/>
    <w:basedOn w:val="7"/>
    <w:link w:val="20"/>
    <w:qFormat/>
    <w:uiPriority w:val="0"/>
    <w:rPr>
      <w:rFonts w:ascii="宋体" w:hAnsi="宋体" w:eastAsia="宋体" w:cs="宋体"/>
      <w:sz w:val="34"/>
      <w:szCs w:val="34"/>
      <w:u w:val="none"/>
      <w:shd w:val="clear" w:color="auto" w:fill="FFFFFF"/>
      <w:lang w:val="zh-TW" w:eastAsia="zh-TW" w:bidi="zh-TW"/>
    </w:rPr>
  </w:style>
  <w:style w:type="paragraph" w:customStyle="1" w:styleId="20">
    <w:name w:val="Heading #1|1"/>
    <w:basedOn w:val="1"/>
    <w:link w:val="19"/>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1">
    <w:name w:val="Header or footer|1_"/>
    <w:basedOn w:val="7"/>
    <w:link w:val="22"/>
    <w:qFormat/>
    <w:uiPriority w:val="0"/>
    <w:rPr>
      <w:sz w:val="17"/>
      <w:szCs w:val="17"/>
      <w:u w:val="none"/>
      <w:shd w:val="clear" w:color="auto" w:fill="auto"/>
      <w:lang w:val="zh-TW" w:eastAsia="zh-TW" w:bidi="zh-TW"/>
    </w:rPr>
  </w:style>
  <w:style w:type="paragraph" w:customStyle="1" w:styleId="22">
    <w:name w:val="Header or footer|1"/>
    <w:basedOn w:val="1"/>
    <w:link w:val="21"/>
    <w:qFormat/>
    <w:uiPriority w:val="0"/>
    <w:pPr>
      <w:widowControl w:val="0"/>
      <w:shd w:val="clear" w:color="auto" w:fill="auto"/>
    </w:pPr>
    <w:rPr>
      <w:sz w:val="17"/>
      <w:szCs w:val="17"/>
      <w:u w:val="none"/>
      <w:shd w:val="clear" w:color="auto" w:fill="auto"/>
      <w:lang w:val="zh-TW" w:eastAsia="zh-TW" w:bidi="zh-TW"/>
    </w:rPr>
  </w:style>
  <w:style w:type="character" w:customStyle="1" w:styleId="23">
    <w:name w:val="Table of contents|1_"/>
    <w:basedOn w:val="7"/>
    <w:link w:val="24"/>
    <w:qFormat/>
    <w:uiPriority w:val="0"/>
    <w:rPr>
      <w:rFonts w:ascii="宋体" w:hAnsi="宋体" w:eastAsia="宋体" w:cs="宋体"/>
      <w:sz w:val="30"/>
      <w:szCs w:val="30"/>
      <w:u w:val="none"/>
      <w:shd w:val="clear" w:color="auto" w:fill="auto"/>
      <w:lang w:val="zh-TW" w:eastAsia="zh-TW" w:bidi="zh-TW"/>
    </w:rPr>
  </w:style>
  <w:style w:type="paragraph" w:customStyle="1" w:styleId="24">
    <w:name w:val="Table of contents|1"/>
    <w:basedOn w:val="1"/>
    <w:link w:val="23"/>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5">
    <w:name w:val="zwxxgk_bnt6"/>
    <w:basedOn w:val="7"/>
    <w:qFormat/>
    <w:uiPriority w:val="0"/>
  </w:style>
  <w:style w:type="character" w:customStyle="1" w:styleId="26">
    <w:name w:val="zwxxgk_bnt61"/>
    <w:basedOn w:val="7"/>
    <w:qFormat/>
    <w:uiPriority w:val="0"/>
  </w:style>
  <w:style w:type="character" w:customStyle="1" w:styleId="27">
    <w:name w:val="zwxxgk_bnt62"/>
    <w:basedOn w:val="7"/>
    <w:qFormat/>
    <w:uiPriority w:val="0"/>
  </w:style>
  <w:style w:type="character" w:customStyle="1" w:styleId="28">
    <w:name w:val="zwxxgk_bnt5"/>
    <w:basedOn w:val="7"/>
    <w:qFormat/>
    <w:uiPriority w:val="0"/>
  </w:style>
  <w:style w:type="character" w:customStyle="1" w:styleId="29">
    <w:name w:val="zwxxgk_bnt51"/>
    <w:basedOn w:val="7"/>
    <w:qFormat/>
    <w:uiPriority w:val="0"/>
  </w:style>
  <w:style w:type="character" w:customStyle="1" w:styleId="30">
    <w:name w:val="zwxxgk_bnt52"/>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26</Pages>
  <Words>9010</Words>
  <Characters>12430</Characters>
  <TotalTime>1</TotalTime>
  <ScaleCrop>false</ScaleCrop>
  <LinksUpToDate>false</LinksUpToDate>
  <CharactersWithSpaces>12933</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2022-09-17T08:06:55Z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