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1"/>
      <w:bookmarkStart w:id="2" w:name="bookmark2"/>
      <w:r>
        <w:rPr>
          <w:rFonts w:hint="eastAsia" w:ascii="方正小标宋_GBK" w:hAnsi="方正小标宋_GBK" w:eastAsia="方正小标宋_GBK" w:cs="方正小标宋_GBK"/>
          <w:sz w:val="40"/>
          <w:szCs w:val="40"/>
          <w:lang w:val="en-US" w:eastAsia="zh-CN"/>
        </w:rPr>
        <w:t>东乡族自治县第五中学</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spacing w:line="360" w:lineRule="auto"/>
        <w:ind w:firstLine="640" w:firstLineChars="200"/>
        <w:jc w:val="both"/>
        <w:textAlignment w:val="baseline"/>
        <w:rPr>
          <w:rFonts w:hint="eastAsia" w:ascii="黑体" w:hAnsi="黑体" w:eastAsia="黑体"/>
          <w:sz w:val="30"/>
          <w:szCs w:val="30"/>
        </w:rPr>
      </w:pPr>
      <w:r>
        <w:rPr>
          <w:rStyle w:val="29"/>
          <w:rFonts w:hint="eastAsia" w:ascii="仿宋" w:hAnsi="仿宋" w:eastAsia="仿宋" w:cs="仿宋"/>
          <w:color w:val="000000"/>
          <w:kern w:val="2"/>
          <w:sz w:val="32"/>
          <w:szCs w:val="32"/>
          <w:lang w:val="en-US" w:eastAsia="zh-CN" w:bidi="ar-SA"/>
        </w:rPr>
        <w:t>东乡族自治县第五中学位于甘肃省临夏州东乡县那勒寺镇南门村，始建于1976年8月，是一所农村寄宿制学校，学校服务半径辐射那勒寺镇和赵家乡两个乡镇。学校占地面积36600平方米，校舍建筑面积6999平方米（综合楼3146、教学楼1024、学生公寓楼793、教职工周转房1496、幼儿园390、学生餐厅150）。近年来，学校在各级领导和社会各界的关心和支持下，加大了校园建设力度，学校面貌日新月异。校领导班子带领全体师生，进一步理清思路，提高认识，扎实工作，紧紧抓住教育优先发展战略，力争在校容校貌、校园文化建设、教育教学质量等方面取得更大的进步，努力把我校办成一所社会认可、家长放心、学生喜欢、人民满意的标准化农村寄宿制学校。</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320" w:leftChars="0" w:right="0" w:firstLine="640" w:firstLine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下设办公室、政教处、教导处、教研室、总务处。</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5"/>
      <w:r>
        <w:rPr>
          <w:rFonts w:hint="eastAsia" w:ascii="仿宋_GB2312" w:hAnsi="仿宋_GB2312" w:eastAsia="仿宋_GB2312" w:cs="仿宋_GB2312"/>
          <w:color w:val="000000"/>
          <w:spacing w:val="0"/>
          <w:w w:val="100"/>
          <w:position w:val="0"/>
          <w:sz w:val="32"/>
          <w:szCs w:val="32"/>
        </w:rPr>
        <w:t>一</w:t>
      </w:r>
      <w:bookmarkEnd w:id="4"/>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6"/>
      <w:r>
        <w:rPr>
          <w:rFonts w:hint="eastAsia" w:ascii="仿宋_GB2312" w:hAnsi="仿宋_GB2312" w:eastAsia="仿宋_GB2312" w:cs="仿宋_GB2312"/>
          <w:color w:val="000000"/>
          <w:spacing w:val="0"/>
          <w:w w:val="100"/>
          <w:position w:val="0"/>
          <w:sz w:val="32"/>
          <w:szCs w:val="32"/>
        </w:rPr>
        <w:t>二</w:t>
      </w:r>
      <w:bookmarkEnd w:id="5"/>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7"/>
      <w:r>
        <w:rPr>
          <w:rFonts w:hint="eastAsia" w:ascii="仿宋_GB2312" w:hAnsi="仿宋_GB2312" w:eastAsia="仿宋_GB2312" w:cs="仿宋_GB2312"/>
          <w:color w:val="000000"/>
          <w:spacing w:val="0"/>
          <w:w w:val="100"/>
          <w:position w:val="0"/>
          <w:sz w:val="32"/>
          <w:szCs w:val="32"/>
        </w:rPr>
        <w:t>三</w:t>
      </w:r>
      <w:bookmarkEnd w:id="6"/>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8"/>
      <w:r>
        <w:rPr>
          <w:rFonts w:hint="eastAsia" w:ascii="仿宋_GB2312" w:hAnsi="仿宋_GB2312" w:eastAsia="仿宋_GB2312" w:cs="仿宋_GB2312"/>
          <w:color w:val="000000"/>
          <w:spacing w:val="0"/>
          <w:w w:val="100"/>
          <w:position w:val="0"/>
          <w:sz w:val="32"/>
          <w:szCs w:val="32"/>
        </w:rPr>
        <w:t>四</w:t>
      </w:r>
      <w:bookmarkEnd w:id="7"/>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9"/>
      <w:r>
        <w:rPr>
          <w:rFonts w:hint="eastAsia" w:ascii="仿宋_GB2312" w:hAnsi="仿宋_GB2312" w:eastAsia="仿宋_GB2312" w:cs="仿宋_GB2312"/>
          <w:color w:val="000000"/>
          <w:spacing w:val="0"/>
          <w:w w:val="100"/>
          <w:position w:val="0"/>
          <w:sz w:val="32"/>
          <w:szCs w:val="32"/>
        </w:rPr>
        <w:t>五</w:t>
      </w:r>
      <w:bookmarkEnd w:id="8"/>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9" w:name="bookmark10"/>
      <w:r>
        <w:rPr>
          <w:rFonts w:hint="eastAsia" w:ascii="仿宋_GB2312" w:hAnsi="仿宋_GB2312" w:eastAsia="仿宋_GB2312" w:cs="仿宋_GB2312"/>
          <w:color w:val="000000"/>
          <w:spacing w:val="0"/>
          <w:w w:val="100"/>
          <w:position w:val="0"/>
          <w:sz w:val="32"/>
          <w:szCs w:val="32"/>
        </w:rPr>
        <w:t>六</w:t>
      </w:r>
      <w:bookmarkEnd w:id="9"/>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1"/>
      <w:r>
        <w:rPr>
          <w:rFonts w:hint="eastAsia" w:ascii="仿宋_GB2312" w:hAnsi="仿宋_GB2312" w:eastAsia="仿宋_GB2312" w:cs="仿宋_GB2312"/>
          <w:color w:val="000000"/>
          <w:spacing w:val="0"/>
          <w:w w:val="100"/>
          <w:position w:val="0"/>
          <w:sz w:val="32"/>
          <w:szCs w:val="32"/>
        </w:rPr>
        <w:t>七</w:t>
      </w:r>
      <w:bookmarkEnd w:id="10"/>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2"/>
      <w:r>
        <w:rPr>
          <w:rFonts w:hint="eastAsia" w:ascii="仿宋_GB2312" w:hAnsi="仿宋_GB2312" w:eastAsia="仿宋_GB2312" w:cs="仿宋_GB2312"/>
          <w:color w:val="000000"/>
          <w:spacing w:val="0"/>
          <w:w w:val="100"/>
          <w:position w:val="0"/>
          <w:sz w:val="32"/>
          <w:szCs w:val="32"/>
        </w:rPr>
        <w:t>八</w:t>
      </w:r>
      <w:bookmarkEnd w:id="11"/>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3"/>
      <w:r>
        <w:rPr>
          <w:rFonts w:hint="eastAsia" w:ascii="仿宋_GB2312" w:hAnsi="仿宋_GB2312" w:eastAsia="仿宋_GB2312" w:cs="仿宋_GB2312"/>
          <w:color w:val="000000"/>
          <w:spacing w:val="0"/>
          <w:w w:val="100"/>
          <w:position w:val="0"/>
          <w:sz w:val="32"/>
          <w:szCs w:val="32"/>
        </w:rPr>
        <w:t>九</w:t>
      </w:r>
      <w:bookmarkEnd w:id="12"/>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3" w:name="bookmark14"/>
      <w:r>
        <w:rPr>
          <w:rFonts w:hint="eastAsia" w:ascii="仿宋_GB2312" w:hAnsi="仿宋_GB2312" w:eastAsia="仿宋_GB2312" w:cs="仿宋_GB2312"/>
          <w:color w:val="000000"/>
          <w:spacing w:val="0"/>
          <w:w w:val="100"/>
          <w:position w:val="0"/>
          <w:sz w:val="32"/>
          <w:szCs w:val="32"/>
        </w:rPr>
        <w:t>一</w:t>
      </w:r>
      <w:bookmarkEnd w:id="13"/>
      <w:r>
        <w:rPr>
          <w:rFonts w:hint="eastAsia" w:ascii="仿宋_GB2312" w:hAnsi="仿宋_GB2312" w:eastAsia="仿宋_GB2312" w:cs="仿宋_GB2312"/>
          <w:color w:val="000000"/>
          <w:spacing w:val="0"/>
          <w:w w:val="100"/>
          <w:position w:val="0"/>
          <w:sz w:val="32"/>
          <w:szCs w:val="32"/>
        </w:rPr>
        <w:t>、收入支出决算总体情况说明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2021年度收入总计10937236.91元，支出总计10938827.45元，与2020年决算数相比，收入增加2635298.17元，增长32%，支出增加2392648.95元，增长28%。主要原因是</w:t>
      </w:r>
      <w:r>
        <w:rPr>
          <w:rFonts w:hint="eastAsia" w:ascii="仿宋_GB2312" w:eastAsia="仿宋_GB2312"/>
          <w:sz w:val="30"/>
          <w:szCs w:val="30"/>
          <w:lang w:val="en-US" w:eastAsia="zh-CN"/>
        </w:rPr>
        <w:t>教师增加，学生人数增加，公用经费及工资增加</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10937236.91</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10932836.91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99.96</w:t>
      </w:r>
      <w:r>
        <w:rPr>
          <w:rFonts w:hint="eastAsia" w:ascii="仿宋_GB2312" w:hAnsi="仿宋_GB2312" w:eastAsia="仿宋_GB2312" w:cs="仿宋_GB2312"/>
          <w:color w:val="000000"/>
          <w:spacing w:val="0"/>
          <w:w w:val="100"/>
          <w:position w:val="0"/>
          <w:sz w:val="32"/>
          <w:szCs w:val="32"/>
        </w:rPr>
        <w:t>%;其他收入</w:t>
      </w:r>
      <w:r>
        <w:rPr>
          <w:rFonts w:hint="eastAsia" w:ascii="仿宋_GB2312" w:hAnsi="仿宋_GB2312" w:eastAsia="仿宋_GB2312" w:cs="仿宋_GB2312"/>
          <w:color w:val="000000"/>
          <w:spacing w:val="0"/>
          <w:w w:val="100"/>
          <w:position w:val="0"/>
          <w:sz w:val="32"/>
          <w:szCs w:val="32"/>
          <w:lang w:val="en-US" w:eastAsia="zh-CN"/>
        </w:rPr>
        <w:t>4400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0.04</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三、支出决算情况说明</w:t>
      </w:r>
    </w:p>
    <w:p>
      <w:pPr>
        <w:pStyle w:val="14"/>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10938827.45</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其</w:t>
      </w:r>
      <w:r>
        <w:rPr>
          <w:rFonts w:hint="eastAsia" w:ascii="仿宋_GB2312" w:hAnsi="仿宋_GB2312" w:eastAsia="仿宋_GB2312" w:cs="仿宋_GB2312"/>
          <w:color w:val="000000"/>
          <w:spacing w:val="0"/>
          <w:w w:val="100"/>
          <w:position w:val="0"/>
          <w:sz w:val="32"/>
          <w:szCs w:val="32"/>
        </w:rPr>
        <w:t>中：基本支出</w:t>
      </w:r>
      <w:r>
        <w:rPr>
          <w:rFonts w:hint="eastAsia" w:ascii="仿宋_GB2312" w:hAnsi="仿宋_GB2312" w:eastAsia="仿宋_GB2312" w:cs="仿宋_GB2312"/>
          <w:color w:val="000000"/>
          <w:spacing w:val="0"/>
          <w:w w:val="100"/>
          <w:position w:val="0"/>
          <w:sz w:val="32"/>
          <w:szCs w:val="32"/>
          <w:lang w:val="en-US" w:eastAsia="zh-CN"/>
        </w:rPr>
        <w:t>10938827.45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bidi="en-US"/>
        </w:rPr>
        <w:t>10932836.91</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2643523.17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主要原因是</w:t>
      </w:r>
      <w:r>
        <w:rPr>
          <w:rFonts w:hint="eastAsia" w:ascii="仿宋_GB2312" w:eastAsia="仿宋_GB2312"/>
          <w:sz w:val="30"/>
          <w:szCs w:val="30"/>
          <w:lang w:val="en-US" w:eastAsia="zh-CN"/>
        </w:rPr>
        <w:t>教师增加，学生人数增加，公用经费及工资增加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（根据实际情况补充原因，例如：年中追加安排基础设施建设专项经费支出预算****元等）。</w:t>
      </w:r>
    </w:p>
    <w:p>
      <w:pPr>
        <w:pStyle w:val="14"/>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10934427.45</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bidi="en-US"/>
        </w:rPr>
        <w:t>2400873.95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主要原因是</w:t>
      </w:r>
      <w:r>
        <w:rPr>
          <w:rFonts w:hint="eastAsia" w:ascii="仿宋_GB2312" w:eastAsia="仿宋_GB2312"/>
          <w:sz w:val="30"/>
          <w:szCs w:val="30"/>
          <w:lang w:val="en-US" w:eastAsia="zh-CN"/>
        </w:rPr>
        <w:t>教师增加，学生人数增加，公用经费及工资增加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元，增长***%（如果是减少，则应改为"较年初预算数减少***元，降低***%”）。主要原因是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（例如：减少的原因是：部分支出年初未申请财政拨款预算，而是按规定通过使用以前年度财政拨款结转和结余资金解决等）</w:t>
      </w:r>
    </w:p>
    <w:p>
      <w:pPr>
        <w:pStyle w:val="14"/>
        <w:keepNext w:val="0"/>
        <w:keepLines w:val="0"/>
        <w:pageBreakBefore w:val="0"/>
        <w:widowControl w:val="0"/>
        <w:numPr>
          <w:numId w:val="0"/>
        </w:numPr>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Chars="200" w:right="0" w:rightChars="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numPr>
          <w:numId w:val="0"/>
        </w:numPr>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Chars="0" w:right="0" w:right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2021年度一般公共预算财政拨款支出 1093.44万元，占本年支出的99.96%，较上年决算数增加240.09 万元，增长28%。主要原因：，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元，增长***%（如果是减少，则应改为"较年初预算数减少***元，降低***%”）。主要原因是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bidi="en-US"/>
        </w:rPr>
        <w:t>28814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0.26</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教育支出</w:t>
      </w:r>
      <w:r>
        <w:rPr>
          <w:rFonts w:hint="eastAsia" w:ascii="仿宋_GB2312" w:hAnsi="仿宋_GB2312" w:eastAsia="仿宋_GB2312" w:cs="仿宋_GB2312"/>
          <w:color w:val="000000"/>
          <w:spacing w:val="0"/>
          <w:w w:val="100"/>
          <w:position w:val="0"/>
          <w:sz w:val="32"/>
          <w:szCs w:val="32"/>
          <w:lang w:val="en-US" w:eastAsia="zh-CN"/>
        </w:rPr>
        <w:t>9925077.73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90.73</w:t>
      </w:r>
      <w:r>
        <w:rPr>
          <w:rFonts w:hint="eastAsia" w:ascii="仿宋_GB2312" w:hAnsi="仿宋_GB2312" w:eastAsia="仿宋_GB2312" w:cs="仿宋_GB2312"/>
          <w:color w:val="000000"/>
          <w:spacing w:val="0"/>
          <w:w w:val="100"/>
          <w:position w:val="0"/>
          <w:sz w:val="32"/>
          <w:szCs w:val="32"/>
        </w:rPr>
        <w:t>%,较年初预算数增加***元，主要原因是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703342.04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6.43</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lang w:val="en-US" w:eastAsia="zh-CN"/>
        </w:rPr>
        <w:t>281593.68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2.58</w:t>
      </w:r>
      <w:r>
        <w:rPr>
          <w:rFonts w:hint="eastAsia" w:ascii="仿宋_GB2312" w:hAnsi="仿宋_GB2312" w:eastAsia="仿宋_GB2312" w:cs="仿宋_GB2312"/>
          <w:color w:val="000000"/>
          <w:spacing w:val="0"/>
          <w:w w:val="100"/>
          <w:position w:val="0"/>
          <w:sz w:val="32"/>
          <w:szCs w:val="32"/>
        </w:rPr>
        <w:t>%,较年初预算数增加***元，主要原因是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lang w:val="en-US"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10934427.45</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9433571.3</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1800952.68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教师人员和学生数增加</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对个人和家庭补助、生活补助、奖励金</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1500856.15</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599921.27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学生人数增加、取暖费增加</w:t>
      </w:r>
      <w:r>
        <w:rPr>
          <w:rFonts w:hint="eastAsia" w:ascii="仿宋_GB2312" w:hAnsi="仿宋_GB2312" w:eastAsia="仿宋_GB2312" w:cs="仿宋_GB2312"/>
          <w:color w:val="000000"/>
          <w:spacing w:val="0"/>
          <w:w w:val="100"/>
          <w:position w:val="0"/>
          <w:sz w:val="32"/>
          <w:szCs w:val="32"/>
        </w:rPr>
        <w:t>，公用经费用途主要包括办公费、印刷费、</w:t>
      </w:r>
      <w:r>
        <w:rPr>
          <w:rFonts w:hint="eastAsia" w:ascii="仿宋_GB2312" w:hAnsi="仿宋_GB2312" w:eastAsia="仿宋_GB2312" w:cs="仿宋_GB2312"/>
          <w:color w:val="000000"/>
          <w:spacing w:val="0"/>
          <w:w w:val="100"/>
          <w:position w:val="0"/>
          <w:sz w:val="32"/>
          <w:szCs w:val="32"/>
          <w:lang w:val="en-US" w:eastAsia="zh-CN"/>
        </w:rPr>
        <w:t>水费、电费、邮电费、取暖费、差旅费、维修费、租赁费、培训费、专用材料费、劳务费、委托业务费及其它商品服务支出</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0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度年末结转和结余</w:t>
      </w:r>
      <w:r>
        <w:rPr>
          <w:rFonts w:hint="eastAsia" w:ascii="仿宋_GB2312" w:eastAsia="仿宋_GB2312"/>
          <w:sz w:val="30"/>
          <w:szCs w:val="30"/>
          <w:lang w:val="en-US" w:eastAsia="zh-CN"/>
        </w:rPr>
        <w:t>3488.5</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减少1590.54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本年实行国库集中支付制度，没有支出的资金财政收回</w:t>
      </w:r>
      <w:r>
        <w:rPr>
          <w:rFonts w:hint="eastAsia" w:ascii="仿宋_GB2312" w:eastAsia="仿宋_GB2312"/>
          <w:sz w:val="30"/>
          <w:szCs w:val="30"/>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七</w:t>
      </w:r>
      <w:r>
        <w:rPr>
          <w:rFonts w:hint="eastAsia" w:ascii="仿宋_GB2312" w:hAnsi="仿宋_GB2312" w:eastAsia="仿宋_GB2312" w:cs="仿宋_GB2312"/>
          <w:color w:val="000000"/>
          <w:spacing w:val="0"/>
          <w:w w:val="100"/>
          <w:position w:val="0"/>
          <w:sz w:val="32"/>
          <w:szCs w:val="32"/>
          <w:lang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val="en-US" w:eastAsia="zh-CN"/>
        </w:rPr>
        <w:t>是</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初预算数减少元</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4"/>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right="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1500856.15</w:t>
      </w:r>
      <w:r>
        <w:rPr>
          <w:rFonts w:hint="eastAsia" w:ascii="仿宋_GB2312" w:hAnsi="仿宋_GB2312" w:eastAsia="仿宋_GB2312" w:cs="仿宋_GB2312"/>
          <w:color w:val="000000"/>
          <w:spacing w:val="0"/>
          <w:w w:val="100"/>
          <w:position w:val="0"/>
          <w:sz w:val="32"/>
          <w:szCs w:val="32"/>
        </w:rPr>
        <w:t>元，机关运行经费主要用于开</w:t>
      </w:r>
      <w:r>
        <w:rPr>
          <w:rFonts w:hint="eastAsia" w:ascii="仿宋_GB2312" w:hAnsi="仿宋_GB2312" w:eastAsia="仿宋_GB2312" w:cs="仿宋_GB2312"/>
          <w:color w:val="000000"/>
          <w:spacing w:val="0"/>
          <w:w w:val="100"/>
          <w:position w:val="0"/>
          <w:sz w:val="32"/>
          <w:szCs w:val="32"/>
          <w:lang w:val="en-US" w:eastAsia="zh-CN"/>
        </w:rPr>
        <w:t>支</w:t>
      </w:r>
      <w:r>
        <w:rPr>
          <w:rFonts w:hint="eastAsia" w:ascii="仿宋_GB2312" w:hAnsi="仿宋_GB2312" w:eastAsia="仿宋_GB2312" w:cs="仿宋_GB2312"/>
          <w:color w:val="000000"/>
          <w:spacing w:val="0"/>
          <w:w w:val="100"/>
          <w:position w:val="0"/>
          <w:sz w:val="32"/>
          <w:szCs w:val="32"/>
        </w:rPr>
        <w:t>办公费、印刷费、</w:t>
      </w:r>
      <w:r>
        <w:rPr>
          <w:rFonts w:hint="eastAsia" w:ascii="仿宋_GB2312" w:hAnsi="仿宋_GB2312" w:eastAsia="仿宋_GB2312" w:cs="仿宋_GB2312"/>
          <w:color w:val="000000"/>
          <w:spacing w:val="0"/>
          <w:w w:val="100"/>
          <w:position w:val="0"/>
          <w:sz w:val="32"/>
          <w:szCs w:val="32"/>
          <w:lang w:val="en-US" w:eastAsia="zh-CN"/>
        </w:rPr>
        <w:t>水费、电费、邮电费、取暖费、差旅费、维修费、租赁费、培训费、专用材料费、劳务费、委托业务费及其它商品服务支出</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rPr>
        <w:t>599921.27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66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物价上涨导致的维修成本增加及劳务人员工资增加。</w:t>
      </w:r>
    </w:p>
    <w:p>
      <w:pPr>
        <w:pStyle w:val="14"/>
        <w:keepNext w:val="0"/>
        <w:keepLines w:val="0"/>
        <w:pageBreakBefore w:val="0"/>
        <w:widowControl w:val="0"/>
        <w:numPr>
          <w:ilvl w:val="0"/>
          <w:numId w:val="2"/>
        </w:numPr>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辆。单价50万元以上通用设</w:t>
      </w:r>
      <w:r>
        <w:rPr>
          <w:rFonts w:hint="eastAsia" w:ascii="仿宋_GB2312" w:hAnsi="仿宋_GB2312" w:eastAsia="仿宋_GB2312" w:cs="仿宋_GB2312"/>
          <w:color w:val="000000"/>
          <w:spacing w:val="0"/>
          <w:w w:val="100"/>
          <w:position w:val="0"/>
          <w:sz w:val="32"/>
          <w:szCs w:val="32"/>
          <w:lang w:val="en-US" w:eastAsia="zh-CN"/>
        </w:rPr>
        <w:t>备0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4"/>
        <w:keepNext w:val="0"/>
        <w:keepLines w:val="0"/>
        <w:pageBreakBefore w:val="0"/>
        <w:widowControl w:val="0"/>
        <w:numPr>
          <w:ilvl w:val="0"/>
          <w:numId w:val="3"/>
        </w:numPr>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rPr>
        <w:t>78900.74</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rPr>
        <w:t>78900.74</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val="en-US" w:eastAsia="zh-CN"/>
        </w:rPr>
        <w:t>LED屏、办公耗材、办公用品、办公家具等</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numPr>
          <w:ilvl w:val="0"/>
          <w:numId w:val="3"/>
        </w:numPr>
        <w:shd w:val="clear" w:color="auto" w:fill="auto"/>
        <w:tabs>
          <w:tab w:val="left" w:pos="1315"/>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lang w:val="en-US" w:eastAsia="zh-CN"/>
        </w:rPr>
        <w:sectPr>
          <w:footerReference r:id="rId5" w:type="default"/>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w:t>
      </w:r>
      <w:bookmarkStart w:id="19" w:name="_GoBack"/>
      <w:bookmarkEnd w:id="19"/>
      <w:r>
        <w:rPr>
          <w:rFonts w:hint="eastAsia" w:ascii="仿宋_GB2312" w:hAnsi="仿宋_GB2312" w:eastAsia="仿宋_GB2312" w:cs="仿宋_GB2312"/>
          <w:color w:val="000000"/>
          <w:spacing w:val="0"/>
          <w:w w:val="100"/>
          <w:position w:val="0"/>
          <w:sz w:val="32"/>
          <w:szCs w:val="32"/>
        </w:rPr>
        <w:t>出</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360" w:lineRule="auto"/>
        <w:ind w:right="0" w:rightChars="0"/>
        <w:jc w:val="left"/>
        <w:textAlignment w:val="auto"/>
        <w:rPr>
          <w:rFonts w:hint="default" w:ascii="仿宋_GB2312" w:hAnsi="仿宋_GB2312" w:eastAsia="仿宋_GB2312" w:cs="仿宋_GB2312"/>
          <w:color w:val="000000"/>
          <w:spacing w:val="0"/>
          <w:w w:val="100"/>
          <w:position w:val="0"/>
          <w:sz w:val="32"/>
          <w:szCs w:val="32"/>
          <w:lang w:val="en-US" w:eastAsia="zh-CN"/>
        </w:rPr>
      </w:pPr>
    </w:p>
    <w:p>
      <w:pPr>
        <w:pStyle w:val="14"/>
        <w:keepNext w:val="0"/>
        <w:keepLines w:val="0"/>
        <w:pageBreakBefore w:val="0"/>
        <w:widowControl w:val="0"/>
        <w:numPr>
          <w:ilvl w:val="0"/>
          <w:numId w:val="3"/>
        </w:numPr>
        <w:shd w:val="clear" w:color="auto" w:fill="auto"/>
        <w:tabs>
          <w:tab w:val="left" w:pos="1315"/>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6"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4" w:name="bookmark23"/>
      <w:r>
        <w:rPr>
          <w:rFonts w:hint="eastAsia" w:ascii="仿宋_GB2312" w:hAnsi="仿宋_GB2312" w:eastAsia="仿宋_GB2312" w:cs="仿宋_GB2312"/>
          <w:b/>
          <w:bCs/>
          <w:color w:val="000000"/>
          <w:spacing w:val="0"/>
          <w:w w:val="100"/>
          <w:position w:val="0"/>
          <w:sz w:val="32"/>
          <w:szCs w:val="32"/>
        </w:rPr>
        <w:t>（</w:t>
      </w:r>
      <w:bookmarkEnd w:id="14"/>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（部门、单位根据实际情况详细说明）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4"/>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（由部门、单位根据实际情况详细说明）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（本部分至少应包含本部门（本单位）职责、机构设置两项详细信息，如有其他需要说明的情况，应单独在此进行补充说明。）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4"/>
        <w:keepNext w:val="0"/>
        <w:keepLines w:val="0"/>
        <w:pageBreakBefore w:val="0"/>
        <w:widowControl w:val="0"/>
        <w:numPr>
          <w:ilvl w:val="0"/>
          <w:numId w:val="4"/>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2021年度收入总计***元，支出总计***元，与2020年决算数相比，收入增加***元，增长***%，支出增加***元，增长***%。主要原因是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（应根据实际情况补充原因，如果是减少，则应改为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rPr>
        <w:t>“减少</w:t>
      </w:r>
      <w:r>
        <w:rPr>
          <w:rFonts w:hint="eastAsia" w:ascii="仿宋_GB2312" w:hAnsi="仿宋_GB2312" w:eastAsia="仿宋_GB2312" w:cs="仿宋_GB2312"/>
          <w:color w:val="000000"/>
          <w:spacing w:val="0"/>
          <w:w w:val="100"/>
          <w:position w:val="0"/>
          <w:sz w:val="32"/>
          <w:szCs w:val="32"/>
          <w:lang w:val="en-US" w:eastAsia="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其中：财政拨款收入***元，占***%;上级补助收入***元，占***%;事业收入***元，占***%；经营收入***元，占***%；附属部门（本单位）上缴收入***元，占***%；其他收入***元，占***%。（应根据实际情况补充，若某一项收入为零，将其删除，不用表述）。</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年度支出合计***元，其中：基本支出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元，占***%；项目支出***元，占***%;上缴上级支出*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元，占***%；经营支出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元，占***%；对附属部门（本单位）补助支出***元，占***%。（应根据实际情况补充，若某一项支岀为零，将其删除，不用表述）。</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元，较上年决算数增加***元，增长***%。主要原因是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（根据实际情况补充原因，例如：年中追加安排基础设施建设专项经费支出预算****元等）。</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年度财政拨款支出***元，较上年决算数增加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上年决算数减少***元，降低***%。主要原因是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元，增长***%（如果是减少，则应改为"较年初预算数减少***元，降低***%”）。主要原因是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（例如：减少的原因是：部分支出年初未申请财政拨款预算，而是按规定通过使用以前年度财政拨款结转和结余资金解决等）</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***万元，占本年支出的 ***%，较上年决算数增加*** 万元，增长***%。主要原因：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上年决算数减少***元，降低***%。主要原因是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元，增长***%（如果是减少，则应改为"较年初预算数减少***元，降低***%”）。主要原因是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国防支出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公共安全支出***元，占***%,较年初预算数增加***元，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教育支出***元，占***%,较年初预算数增加***元，主</w:t>
      </w:r>
    </w:p>
    <w:p>
      <w:pPr>
        <w:pStyle w:val="22"/>
        <w:keepNext w:val="0"/>
        <w:keepLines w:val="0"/>
        <w:pageBreakBefore w:val="0"/>
        <w:widowControl w:val="0"/>
        <w:shd w:val="clear" w:color="auto" w:fill="auto"/>
        <w:tabs>
          <w:tab w:val="left" w:leader="dot" w:pos="2146"/>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科学技术支出***元，占***%,较年初预算数增加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文化旅游体育与传媒支出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w:t>
      </w:r>
    </w:p>
    <w:p>
      <w:pPr>
        <w:pStyle w:val="22"/>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w:t>
      </w:r>
    </w:p>
    <w:p>
      <w:pPr>
        <w:pStyle w:val="22"/>
        <w:keepNext w:val="0"/>
        <w:keepLines w:val="0"/>
        <w:pageBreakBefore w:val="0"/>
        <w:widowControl w:val="0"/>
        <w:shd w:val="clear" w:color="auto" w:fill="auto"/>
        <w:tabs>
          <w:tab w:val="left" w:leader="dot" w:pos="3914"/>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卫生健康支出***元，占***%,较年初预算数增加***元，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节能环保支出***元，占***%,较年初预算数增加***元，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城乡社区支出***元，占***%,较年初预算数增加***元，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交通运输支出***元，占***%,较年初预算数增加***元，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资源勘探信息等支出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end"/>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商业服务业等支出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5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金融支出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359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援助其他地区支出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自然资源海洋气象等支出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4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住房保障支出***元，占***%,较年初预算数增加***元,主要原因是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358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粮油物资储备支出***元，占***%,较年初预算数增加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424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国有资本经营预算支出***元，占***%,较年初预算数增加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454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灾害防治及应急管理支出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3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其他支出***元，占***%,较年初预算数增加***元，主要原因是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rPr>
        <w:t>抗疫特别国债安排的支出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4"/>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lang w:eastAsia="zh-CN"/>
        </w:rPr>
        <w:t>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根据部门、单位实际情况补充原因，若某一项支出为零，将其删除，不用表述。如果是减少，则应改为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元。其中：人员经费***元，较上年增加***元，主要原因是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（根据实际情况补充原因，如：增人增资等。如果是减少，则应改为"较上年减少***元，主要原因是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”）。人员经费用途主要包括……（根据实际情况补充原因，如：基本工资、津贴补贴、奖金、社会保障缴费等</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公用经费***元，较上年增加***元，主要原因是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（根据实际情况补充原因，如：物价上涨等。如果是减少，则应改为“较上年减少***元，主要原因是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”），公用经费用途主要包括</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（根据实际情况补充原因，如：办公费、印刷费、咨询费、手续费等）。</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：本部分至少应包括部门（本单位）收入、支出、结转（余）等决算数据的具体情况，并说明上下年收支增减变化情况和原因、预决算收支差异情况和原因等，不得删减。其他内容可根据需要进行增加补充。）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元，支出决算数为***元，主要是用于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：根据实际情况补充原因，如：主要用于与世界银行等国际组织开展项目磋商谈判，到英国学习财政管理先进经验等），费用支出较年初预算数增加***元，主要原因是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年初预算数为***元，支出决算数为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年初预算数为***元，支出决算数为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（注：根据实际情况补充原因车辆用途，如：主要用于购买执法检查用车、监测车等），费用支出较年初预算数增加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：根据实际情况补充原因，如果是减少，则应改为“较支出数减少***元，主要原因是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年初预算数为***元，支出决算数为</w:t>
      </w:r>
    </w:p>
    <w:p>
      <w:pPr>
        <w:pStyle w:val="14"/>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：根据实际情况补充原因，如:主要用于机要文件交换、市内因公出行、财政业务检查等工作所需车辆的燃料费、维修费、过桥过路费、保险费等），费用支出较年初预算数增加***元，主要原因是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元，支出决算数为***元，主要用于接待</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接待事项，如:主要用于接待国内其他省市财政厅到我部门（本单位）学习调研政府财务报告编制工作，接受相关部门（本单位）检查指导工作发生的接待支出等），费用支出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元，主要原因是……），较上年支出数增加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辆；国内公务接待***批次，</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人，其中：国内外事接待***批次，</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年度本部门（本单位）人均接待费***元，车均购置费***元，车均维护费***元。</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4"/>
        <w:keepNext w:val="0"/>
        <w:keepLines w:val="0"/>
        <w:pageBreakBefore w:val="0"/>
        <w:widowControl w:val="0"/>
        <w:numPr>
          <w:ilvl w:val="0"/>
          <w:numId w:val="5"/>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年本部门（本单位）机关运行经费支出***元，机关运行经费主要用于开支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（具体开支情况由部门（本单位）根据实际情况填列，可对支出金额较大的经济科目进行说明。如主要用于办公费、公务车运行维护费、信息网络购置更新费等，也可具体说明支出事由）。机关运行经费较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w:t>
      </w:r>
      <w:r>
        <w:rPr>
          <w:rFonts w:hint="eastAsia" w:ascii="仿宋_GB2312" w:hAnsi="仿宋_GB2312" w:eastAsia="仿宋_GB2312" w:cs="仿宋_GB2312"/>
          <w:color w:val="000000"/>
          <w:spacing w:val="0"/>
          <w:w w:val="100"/>
          <w:position w:val="0"/>
          <w:sz w:val="32"/>
          <w:szCs w:val="32"/>
          <w:lang w:val="zh-CN" w:eastAsia="zh-CN" w:bidi="zh-CN"/>
        </w:rPr>
        <w:t>“减</w:t>
      </w:r>
      <w:r>
        <w:rPr>
          <w:rFonts w:hint="eastAsia" w:ascii="仿宋_GB2312" w:hAnsi="仿宋_GB2312" w:eastAsia="仿宋_GB2312" w:cs="仿宋_GB2312"/>
          <w:color w:val="000000"/>
          <w:spacing w:val="0"/>
          <w:w w:val="100"/>
          <w:position w:val="0"/>
          <w:sz w:val="32"/>
          <w:szCs w:val="32"/>
        </w:rPr>
        <w:t>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（根据实际情况补充原因，例如：本部门（本单位）今年召开了部门决算公开培训会议，会议费较上年增长较大，此外部分原因是由物价上涨造成等）。</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辆，其中：主要领导干部用车***辆、机要通信用车***辆、应急保障用车***辆、执法执勤用车***辆、特种专业技术用车其***辆、离退休干部用车***辆、其他用车***辆,其他用车主要是（其他用车根据汽车用途情况进行说明）。单价50万元以上通用设备***台（套），单价100万元以上专用设备***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元、政府釆购服务支出***元。主要用于釆购</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（根据实际釆购情况补充说明）。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：如果无收支，则写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default"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8"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3"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HgG76oBAABuAwAADgAAAGRycy9lMm9Eb2MueG1srVPB&#10;btswDL0X2D8Iui92G6wtjDhFi6DDgGEr0O4DFFmKBUiiICqx8/ejZCcd0ksPu8gUST3yPdKrh9FZ&#10;dlARDfiWXy9qzpSX0Bm/a/mft+ev95xhEr4TFrxq+VEhf1h/uVoNoVE30IPtVGQE4rEZQsv7lEJT&#10;VSh75QQuIChPQQ3RiUTXuKu6KAZCd7a6qevbaoDYhQhSIZJ3MwX5jBg/AwhaG6k2IPdO+TShRmVF&#10;IkrYm4B8XbrVWsn0W2tUidmWE9NUTipC9jaf1Xolml0UoTdybkF8poULTk4YT0XPUBuRBNtH8wHK&#10;GRkBQaeFBFdNRIoixOK6vtDmtRdBFS4kNYaz6Pj/YOWvw0tkpmv5kjMvHA28VGXfsjRDwIYyXgPl&#10;pPEJRlqYkx/JmRmPOrr8JS6M4iTs8SysGhOT+VFdL5cUkRS6u6UtyCDV+9sQMX1X4Fg2Wh5pbEVN&#10;cfiJaUo9peRSHp6NtdmfG5wayVYat+Pc9Ra6IzU90GRb7mmRObM/PAmXl+BkxJOxnY0MjuFxn6hA&#10;qZtRJ6i5GI2hdD6vTJ7zv/eS9f6brP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B4Bu+q&#10;AQAAbgMAAA4AAAAAAAAAAQAgAAAAJwEAAGRycy9lMm9Eb2MueG1sUEsFBgAAAAAGAAYAWQEAAEMF&#10;A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B29685"/>
    <w:multiLevelType w:val="singleLevel"/>
    <w:tmpl w:val="E0B29685"/>
    <w:lvl w:ilvl="0" w:tentative="0">
      <w:start w:val="10"/>
      <w:numFmt w:val="chineseCounting"/>
      <w:lvlText w:val="%1、"/>
      <w:lvlJc w:val="left"/>
      <w:rPr>
        <w:rFonts w:hint="eastAsia"/>
      </w:rPr>
    </w:lvl>
  </w:abstractNum>
  <w:abstractNum w:abstractNumId="1">
    <w:nsid w:val="EAC8CC3F"/>
    <w:multiLevelType w:val="singleLevel"/>
    <w:tmpl w:val="EAC8CC3F"/>
    <w:lvl w:ilvl="0" w:tentative="0">
      <w:start w:val="2"/>
      <w:numFmt w:val="chineseCounting"/>
      <w:lvlText w:val="%1、"/>
      <w:lvlJc w:val="left"/>
      <w:pPr>
        <w:ind w:left="320"/>
      </w:pPr>
      <w:rPr>
        <w:rFonts w:hint="eastAsia"/>
      </w:rPr>
    </w:lvl>
  </w:abstractNum>
  <w:abstractNum w:abstractNumId="2">
    <w:nsid w:val="2EA131BA"/>
    <w:multiLevelType w:val="singleLevel"/>
    <w:tmpl w:val="2EA131BA"/>
    <w:lvl w:ilvl="0" w:tentative="0">
      <w:start w:val="9"/>
      <w:numFmt w:val="chineseCounting"/>
      <w:lvlText w:val="%1、"/>
      <w:lvlJc w:val="left"/>
      <w:rPr>
        <w:rFonts w:hint="eastAsia"/>
      </w:rPr>
    </w:lvl>
  </w:abstractNum>
  <w:abstractNum w:abstractNumId="3">
    <w:nsid w:val="37BE8353"/>
    <w:multiLevelType w:val="singleLevel"/>
    <w:tmpl w:val="37BE8353"/>
    <w:lvl w:ilvl="0" w:tentative="0">
      <w:start w:val="3"/>
      <w:numFmt w:val="chineseCounting"/>
      <w:suff w:val="space"/>
      <w:lvlText w:val="第%1部分"/>
      <w:lvlJc w:val="left"/>
      <w:rPr>
        <w:rFonts w:hint="eastAsia"/>
      </w:rPr>
    </w:lvl>
  </w:abstractNum>
  <w:abstractNum w:abstractNumId="4">
    <w:nsid w:val="3FA184EB"/>
    <w:multiLevelType w:val="singleLevel"/>
    <w:tmpl w:val="3FA184EB"/>
    <w:lvl w:ilvl="0" w:tentative="0">
      <w:start w:val="8"/>
      <w:numFmt w:val="chineseCounting"/>
      <w:lvlText w:val="%1、"/>
      <w:lvlJc w:val="left"/>
      <w:rPr>
        <w:rFonts w:hint="eastAsia"/>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ZTM4NWQwOWZlYzQ1NzI4YjhlZTA0NDFlZTIwYzgwMTYifQ=="/>
  </w:docVars>
  <w:rsids>
    <w:rsidRoot w:val="00000000"/>
    <w:rsid w:val="0511788F"/>
    <w:rsid w:val="06AA1511"/>
    <w:rsid w:val="07DA0789"/>
    <w:rsid w:val="0A4C6688"/>
    <w:rsid w:val="0A7B4D81"/>
    <w:rsid w:val="0FFF12F9"/>
    <w:rsid w:val="1739327C"/>
    <w:rsid w:val="19BA4320"/>
    <w:rsid w:val="1B205130"/>
    <w:rsid w:val="1BD8046C"/>
    <w:rsid w:val="1E712589"/>
    <w:rsid w:val="1F523B54"/>
    <w:rsid w:val="25FD0C5D"/>
    <w:rsid w:val="29C05E6C"/>
    <w:rsid w:val="2F990904"/>
    <w:rsid w:val="308E663F"/>
    <w:rsid w:val="31344D88"/>
    <w:rsid w:val="390346E3"/>
    <w:rsid w:val="39F46F0A"/>
    <w:rsid w:val="3A7B68CA"/>
    <w:rsid w:val="3ABD5DEE"/>
    <w:rsid w:val="3BD710AD"/>
    <w:rsid w:val="41670196"/>
    <w:rsid w:val="42736B67"/>
    <w:rsid w:val="43D445BB"/>
    <w:rsid w:val="4B60103E"/>
    <w:rsid w:val="4CD90E06"/>
    <w:rsid w:val="4F1428B3"/>
    <w:rsid w:val="537062B7"/>
    <w:rsid w:val="57D535F7"/>
    <w:rsid w:val="58806626"/>
    <w:rsid w:val="60D720E0"/>
    <w:rsid w:val="62922058"/>
    <w:rsid w:val="62B24547"/>
    <w:rsid w:val="65515894"/>
    <w:rsid w:val="68C2505F"/>
    <w:rsid w:val="696D41B9"/>
    <w:rsid w:val="6D5E06E9"/>
    <w:rsid w:val="720E4E8D"/>
    <w:rsid w:val="726D3C91"/>
    <w:rsid w:val="745D61E5"/>
    <w:rsid w:val="785A5C57"/>
    <w:rsid w:val="794C38BE"/>
    <w:rsid w:val="7C584EE5"/>
    <w:rsid w:val="7CF44998"/>
    <w:rsid w:val="7F8D0A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uiPriority w:val="0"/>
    <w:rPr>
      <w:i/>
      <w:iCs/>
    </w:rPr>
  </w:style>
  <w:style w:type="character" w:styleId="9">
    <w:name w:val="Hyperlink"/>
    <w:basedOn w:val="5"/>
    <w:qFormat/>
    <w:uiPriority w:val="0"/>
    <w:rPr>
      <w:color w:val="333333"/>
      <w:u w:val="none"/>
    </w:rPr>
  </w:style>
  <w:style w:type="character" w:styleId="10">
    <w:name w:val="HTML Code"/>
    <w:basedOn w:val="5"/>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uiPriority w:val="0"/>
  </w:style>
  <w:style w:type="character" w:customStyle="1" w:styleId="29">
    <w:name w:val="NormalCharacter"/>
    <w:semiHidden/>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10373</Words>
  <Characters>11400</Characters>
  <TotalTime>14</TotalTime>
  <ScaleCrop>false</ScaleCrop>
  <LinksUpToDate>false</LinksUpToDate>
  <CharactersWithSpaces>11637</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儒雅正之道</cp:lastModifiedBy>
  <cp:lastPrinted>2022-08-31T08:40:00Z</cp:lastPrinted>
  <dcterms:modified xsi:type="dcterms:W3CDTF">2022-09-13T16:33:51Z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3FB965A942B84C0B8C0D4DECFF396933</vt:lpwstr>
  </property>
</Properties>
</file>