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hAnsi="方正小标宋简体" w:eastAsia="方正小标宋简体" w:cs="方正小标宋简体"/>
          <w:b/>
          <w:sz w:val="44"/>
          <w:szCs w:val="44"/>
        </w:rPr>
      </w:pPr>
      <w:r>
        <w:rPr>
          <w:rFonts w:hint="eastAsia" w:ascii="方正小标宋简体" w:hAnsi="方正小标宋简体" w:eastAsia="方正小标宋简体" w:cs="方正小标宋简体"/>
          <w:b/>
          <w:sz w:val="44"/>
          <w:szCs w:val="44"/>
        </w:rPr>
        <w:t>东乡县《</w:t>
      </w:r>
      <w:bookmarkStart w:id="0" w:name="_Hlk118708569"/>
      <w:r>
        <w:rPr>
          <w:rFonts w:hint="eastAsia" w:ascii="方正小标宋简体" w:hAnsi="方正小标宋简体" w:eastAsia="方正小标宋简体" w:cs="方正小标宋简体"/>
          <w:b/>
          <w:sz w:val="44"/>
          <w:szCs w:val="44"/>
        </w:rPr>
        <w:t>锁南镇巴牙村村庄规划(2022-2035年)</w:t>
      </w:r>
      <w:bookmarkEnd w:id="0"/>
      <w:r>
        <w:rPr>
          <w:rFonts w:hint="eastAsia" w:ascii="方正小标宋简体" w:hAnsi="方正小标宋简体" w:eastAsia="方正小标宋简体" w:cs="方正小标宋简体"/>
          <w:b/>
          <w:sz w:val="44"/>
          <w:szCs w:val="44"/>
        </w:rPr>
        <w:t>》的公示</w:t>
      </w:r>
    </w:p>
    <w:p>
      <w:pPr>
        <w:widowControl/>
        <w:shd w:val="clear" w:color="auto" w:fill="FFFFFF"/>
        <w:ind w:firstLine="420" w:firstLineChars="200"/>
        <w:jc w:val="left"/>
        <w:rPr>
          <w:rFonts w:ascii="仿宋" w:hAnsi="仿宋" w:eastAsia="仿宋"/>
          <w:szCs w:val="21"/>
        </w:rPr>
      </w:pPr>
    </w:p>
    <w:p>
      <w:pPr>
        <w:keepNext w:val="0"/>
        <w:keepLines w:val="0"/>
        <w:pageBreakBefore w:val="0"/>
        <w:widowControl/>
        <w:shd w:val="clear" w:color="auto" w:fill="FFFFFF"/>
        <w:kinsoku/>
        <w:wordWrap/>
        <w:overflowPunct/>
        <w:topLinePunct w:val="0"/>
        <w:bidi w:val="0"/>
        <w:snapToGrid/>
        <w:spacing w:line="48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为实现“产业兴旺、生态宜居、乡风文明、治理有效、生活富裕”的乡村振兴战略的总要求，建立健全城乡融合发展体制机制和政策体系，加快推进农业农村现代化。强化土地资源利用的宏观调控作用，切实保护耕地和永久基本农田，优化建设用地结构和布局，提高土地节约集约利用水平和综合产出效益；构筑农村生产集约高效、农居生活特色传承、生态空间山清水秀的空间格局，建设美丽乡村，根据《中共中央国务院关于建立国土空间规划体系并监督实施的若干意见》（中发〔2019〕18 号）、《自然资源部办公厅关于加强村庄规划促进乡村振兴的通知》（自然资办发〔2019〕35号）等文件精神，积极有序推进</w:t>
      </w:r>
      <w:r>
        <w:rPr>
          <w:rFonts w:hint="eastAsia" w:ascii="宋体" w:hAnsi="宋体" w:eastAsia="宋体" w:cs="宋体"/>
          <w:bCs/>
          <w:sz w:val="24"/>
          <w:szCs w:val="24"/>
        </w:rPr>
        <w:t>《东乡族自治县锁南镇巴牙村村庄规划(2022-2035年)》（</w:t>
      </w:r>
      <w:r>
        <w:rPr>
          <w:rFonts w:hint="eastAsia" w:ascii="宋体" w:hAnsi="宋体" w:eastAsia="宋体" w:cs="宋体"/>
          <w:sz w:val="24"/>
          <w:szCs w:val="24"/>
        </w:rPr>
        <w:t>以下简称《规划》）的编制工作，目前已取得阶段性成效。</w:t>
      </w:r>
    </w:p>
    <w:p>
      <w:pPr>
        <w:keepNext w:val="0"/>
        <w:keepLines w:val="0"/>
        <w:pageBreakBefore w:val="0"/>
        <w:widowControl/>
        <w:shd w:val="clear" w:color="auto" w:fill="FFFFFF"/>
        <w:kinsoku/>
        <w:wordWrap/>
        <w:overflowPunct/>
        <w:topLinePunct w:val="0"/>
        <w:bidi w:val="0"/>
        <w:snapToGrid/>
        <w:spacing w:line="480" w:lineRule="auto"/>
        <w:ind w:firstLine="482" w:firstLineChars="200"/>
        <w:jc w:val="left"/>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一、规划基本情况</w:t>
      </w:r>
    </w:p>
    <w:p>
      <w:pPr>
        <w:keepNext w:val="0"/>
        <w:keepLines w:val="0"/>
        <w:pageBreakBefore w:val="0"/>
        <w:widowControl/>
        <w:shd w:val="clear" w:color="auto" w:fill="FFFFFF"/>
        <w:kinsoku/>
        <w:wordWrap/>
        <w:overflowPunct/>
        <w:topLinePunct w:val="0"/>
        <w:bidi w:val="0"/>
        <w:snapToGrid/>
        <w:spacing w:line="480" w:lineRule="auto"/>
        <w:ind w:firstLine="480" w:firstLineChars="20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为了提高群众参与实施规划的积极性，让规划充分体现广大农民的意愿，提高规划的科学性和可操作性，现将锁南镇巴牙村村庄规划初步成果向社会公示，听取公众意见。欢迎社会各界提出意见和建议，现将有关事项公示如下：</w:t>
      </w:r>
    </w:p>
    <w:p>
      <w:pPr>
        <w:keepNext w:val="0"/>
        <w:keepLines w:val="0"/>
        <w:pageBreakBefore w:val="0"/>
        <w:kinsoku/>
        <w:wordWrap/>
        <w:overflowPunct/>
        <w:topLinePunct w:val="0"/>
        <w:autoSpaceDE w:val="0"/>
        <w:autoSpaceDN w:val="0"/>
        <w:bidi w:val="0"/>
        <w:adjustRightInd w:val="0"/>
        <w:snapToGrid/>
        <w:spacing w:line="480" w:lineRule="auto"/>
        <w:ind w:firstLine="480" w:firstLineChars="200"/>
        <w:jc w:val="left"/>
        <w:rPr>
          <w:rFonts w:hint="eastAsia" w:ascii="宋体" w:hAnsi="宋体" w:eastAsia="宋体" w:cs="宋体"/>
          <w:sz w:val="24"/>
          <w:szCs w:val="24"/>
        </w:rPr>
      </w:pPr>
      <w:r>
        <w:rPr>
          <w:rFonts w:hint="eastAsia" w:ascii="宋体" w:hAnsi="宋体" w:eastAsia="宋体" w:cs="宋体"/>
          <w:color w:val="000000"/>
          <w:kern w:val="0"/>
          <w:sz w:val="24"/>
          <w:szCs w:val="24"/>
        </w:rPr>
        <w:t>1</w:t>
      </w:r>
      <w:r>
        <w:rPr>
          <w:rFonts w:hint="eastAsia" w:ascii="宋体" w:hAnsi="宋体" w:eastAsia="宋体" w:cs="宋体"/>
          <w:sz w:val="24"/>
          <w:szCs w:val="24"/>
        </w:rPr>
        <w:t>.规划范围及期限：规划范围为东乡族自治县锁南镇巴牙村村域，面积约256.01公顷。规划期限为2022-2035年，基期年为2021年，近期为2022-2025年，远期为2026-2035年。</w:t>
      </w:r>
    </w:p>
    <w:p>
      <w:pPr>
        <w:pStyle w:val="13"/>
        <w:keepNext w:val="0"/>
        <w:keepLines w:val="0"/>
        <w:pageBreakBefore w:val="0"/>
        <w:kinsoku/>
        <w:wordWrap/>
        <w:overflowPunct/>
        <w:topLinePunct w:val="0"/>
        <w:bidi w:val="0"/>
        <w:snapToGrid/>
        <w:spacing w:line="48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2.村庄类型：城郊融合类村庄。</w:t>
      </w:r>
    </w:p>
    <w:p>
      <w:pPr>
        <w:pStyle w:val="13"/>
        <w:keepNext w:val="0"/>
        <w:keepLines w:val="0"/>
        <w:pageBreakBefore w:val="0"/>
        <w:kinsoku/>
        <w:wordWrap/>
        <w:overflowPunct/>
        <w:topLinePunct w:val="0"/>
        <w:bidi w:val="0"/>
        <w:snapToGrid/>
        <w:spacing w:line="48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3.人口规模：预测巴牙村户籍总人口为110户556人。</w:t>
      </w:r>
    </w:p>
    <w:p>
      <w:pPr>
        <w:keepNext w:val="0"/>
        <w:keepLines w:val="0"/>
        <w:pageBreakBefore w:val="0"/>
        <w:widowControl/>
        <w:shd w:val="clear" w:color="auto" w:fill="FFFFFF"/>
        <w:kinsoku/>
        <w:wordWrap/>
        <w:overflowPunct/>
        <w:topLinePunct w:val="0"/>
        <w:bidi w:val="0"/>
        <w:snapToGrid/>
        <w:spacing w:line="480" w:lineRule="auto"/>
        <w:ind w:firstLine="480" w:firstLineChars="20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4.村庄规划定位及发展目标：</w:t>
      </w:r>
    </w:p>
    <w:p>
      <w:pPr>
        <w:keepNext w:val="0"/>
        <w:keepLines w:val="0"/>
        <w:pageBreakBefore w:val="0"/>
        <w:widowControl/>
        <w:shd w:val="clear" w:color="auto" w:fill="FFFFFF"/>
        <w:kinsoku/>
        <w:wordWrap/>
        <w:overflowPunct/>
        <w:topLinePunct w:val="0"/>
        <w:bidi w:val="0"/>
        <w:snapToGrid/>
        <w:spacing w:line="480" w:lineRule="auto"/>
        <w:ind w:firstLine="480" w:firstLineChars="200"/>
        <w:jc w:val="left"/>
        <w:rPr>
          <w:rFonts w:hint="eastAsia" w:ascii="宋体" w:hAnsi="宋体" w:eastAsia="宋体" w:cs="宋体"/>
          <w:sz w:val="24"/>
          <w:szCs w:val="24"/>
        </w:rPr>
      </w:pPr>
      <w:r>
        <w:rPr>
          <w:rFonts w:hint="eastAsia" w:ascii="宋体" w:hAnsi="宋体" w:eastAsia="宋体" w:cs="宋体"/>
          <w:color w:val="000000"/>
          <w:kern w:val="0"/>
          <w:sz w:val="24"/>
          <w:szCs w:val="24"/>
        </w:rPr>
        <w:t>规划定位：</w:t>
      </w:r>
      <w:r>
        <w:rPr>
          <w:rFonts w:hint="eastAsia" w:ascii="宋体" w:hAnsi="宋体" w:eastAsia="宋体" w:cs="宋体"/>
          <w:sz w:val="24"/>
          <w:szCs w:val="24"/>
        </w:rPr>
        <w:t>城南绿屏，共享宜居</w:t>
      </w:r>
    </w:p>
    <w:p>
      <w:pPr>
        <w:keepNext w:val="0"/>
        <w:keepLines w:val="0"/>
        <w:pageBreakBefore w:val="0"/>
        <w:widowControl/>
        <w:shd w:val="clear" w:color="auto" w:fill="FFFFFF"/>
        <w:kinsoku/>
        <w:wordWrap/>
        <w:overflowPunct/>
        <w:topLinePunct w:val="0"/>
        <w:bidi w:val="0"/>
        <w:snapToGrid/>
        <w:spacing w:line="48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依托自身自然生长的优良生态本底，作为县城南部绿色屏障主要组成部分，彰显绿色林地风光；共建共享县级设施体系，将自身发展与县城发展需求紧密相连的城郊村。</w:t>
      </w:r>
    </w:p>
    <w:p>
      <w:pPr>
        <w:keepNext w:val="0"/>
        <w:keepLines w:val="0"/>
        <w:pageBreakBefore w:val="0"/>
        <w:widowControl/>
        <w:shd w:val="clear" w:color="auto" w:fill="FFFFFF"/>
        <w:kinsoku/>
        <w:wordWrap/>
        <w:overflowPunct/>
        <w:topLinePunct w:val="0"/>
        <w:bidi w:val="0"/>
        <w:snapToGrid/>
        <w:spacing w:line="48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5.空间布局：</w:t>
      </w:r>
    </w:p>
    <w:p>
      <w:pPr>
        <w:pStyle w:val="5"/>
        <w:keepNext w:val="0"/>
        <w:keepLines w:val="0"/>
        <w:pageBreakBefore w:val="0"/>
        <w:kinsoku/>
        <w:wordWrap/>
        <w:overflowPunct/>
        <w:topLinePunct w:val="0"/>
        <w:bidi w:val="0"/>
        <w:snapToGrid/>
        <w:spacing w:line="480" w:lineRule="auto"/>
        <w:ind w:right="48"/>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　巴牙村国土空间功能结构调整表</w:t>
      </w:r>
    </w:p>
    <w:tbl>
      <w:tblPr>
        <w:tblStyle w:val="9"/>
        <w:tblW w:w="13135" w:type="dxa"/>
        <w:jc w:val="center"/>
        <w:tblLayout w:type="fixed"/>
        <w:tblCellMar>
          <w:top w:w="0" w:type="dxa"/>
          <w:left w:w="108" w:type="dxa"/>
          <w:bottom w:w="0" w:type="dxa"/>
          <w:right w:w="108" w:type="dxa"/>
        </w:tblCellMar>
      </w:tblPr>
      <w:tblGrid>
        <w:gridCol w:w="1102"/>
        <w:gridCol w:w="1159"/>
        <w:gridCol w:w="922"/>
        <w:gridCol w:w="1620"/>
        <w:gridCol w:w="1428"/>
        <w:gridCol w:w="1534"/>
        <w:gridCol w:w="1489"/>
        <w:gridCol w:w="1798"/>
        <w:gridCol w:w="1847"/>
        <w:gridCol w:w="236"/>
      </w:tblGrid>
      <w:tr>
        <w:tblPrEx>
          <w:tblCellMar>
            <w:top w:w="0" w:type="dxa"/>
            <w:left w:w="108" w:type="dxa"/>
            <w:bottom w:w="0" w:type="dxa"/>
            <w:right w:w="108" w:type="dxa"/>
          </w:tblCellMar>
        </w:tblPrEx>
        <w:trPr>
          <w:gridAfter w:val="1"/>
          <w:wAfter w:w="236" w:type="dxa"/>
          <w:trHeight w:val="312" w:hRule="atLeast"/>
          <w:jc w:val="center"/>
        </w:trPr>
        <w:tc>
          <w:tcPr>
            <w:tcW w:w="2261"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国土空间功能结构调整表</w:t>
            </w:r>
          </w:p>
        </w:tc>
        <w:tc>
          <w:tcPr>
            <w:tcW w:w="2542"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《国土空间调查、规划、用途管制用地用海分类指南》</w:t>
            </w:r>
          </w:p>
        </w:tc>
        <w:tc>
          <w:tcPr>
            <w:tcW w:w="2962"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规划基期年</w:t>
            </w:r>
          </w:p>
        </w:tc>
        <w:tc>
          <w:tcPr>
            <w:tcW w:w="3287"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规划目标年</w:t>
            </w:r>
          </w:p>
        </w:tc>
        <w:tc>
          <w:tcPr>
            <w:tcW w:w="1847"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b/>
                <w:bCs/>
                <w:color w:val="000000"/>
                <w:kern w:val="0"/>
                <w:sz w:val="24"/>
                <w:szCs w:val="24"/>
              </w:rPr>
            </w:pPr>
            <w:r>
              <w:rPr>
                <w:rFonts w:hint="eastAsia" w:ascii="宋体" w:hAnsi="宋体" w:eastAsia="宋体" w:cs="宋体"/>
                <w:b/>
                <w:bCs/>
                <w:color w:val="000000"/>
                <w:sz w:val="24"/>
                <w:szCs w:val="24"/>
              </w:rPr>
              <w:t>规划期内增减（公顷）</w:t>
            </w:r>
          </w:p>
        </w:tc>
      </w:tr>
      <w:tr>
        <w:tblPrEx>
          <w:tblCellMar>
            <w:top w:w="0" w:type="dxa"/>
            <w:left w:w="108" w:type="dxa"/>
            <w:bottom w:w="0" w:type="dxa"/>
            <w:right w:w="108" w:type="dxa"/>
          </w:tblCellMar>
        </w:tblPrEx>
        <w:trPr>
          <w:trHeight w:val="300" w:hRule="atLeast"/>
          <w:jc w:val="center"/>
        </w:trPr>
        <w:tc>
          <w:tcPr>
            <w:tcW w:w="2261" w:type="dxa"/>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b/>
                <w:bCs/>
                <w:color w:val="000000"/>
                <w:sz w:val="24"/>
                <w:szCs w:val="24"/>
              </w:rPr>
            </w:pPr>
          </w:p>
        </w:tc>
        <w:tc>
          <w:tcPr>
            <w:tcW w:w="2542" w:type="dxa"/>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b/>
                <w:bCs/>
                <w:color w:val="000000"/>
                <w:sz w:val="24"/>
                <w:szCs w:val="24"/>
              </w:rPr>
            </w:pPr>
          </w:p>
        </w:tc>
        <w:tc>
          <w:tcPr>
            <w:tcW w:w="2962" w:type="dxa"/>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b/>
                <w:bCs/>
                <w:color w:val="000000"/>
                <w:sz w:val="24"/>
                <w:szCs w:val="24"/>
              </w:rPr>
            </w:pPr>
          </w:p>
        </w:tc>
        <w:tc>
          <w:tcPr>
            <w:tcW w:w="3287" w:type="dxa"/>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b/>
                <w:bCs/>
                <w:color w:val="000000"/>
                <w:sz w:val="24"/>
                <w:szCs w:val="24"/>
              </w:rPr>
            </w:pPr>
          </w:p>
        </w:tc>
        <w:tc>
          <w:tcPr>
            <w:tcW w:w="1847"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bidi w:val="0"/>
              <w:snapToGrid/>
              <w:spacing w:line="480" w:lineRule="auto"/>
              <w:jc w:val="left"/>
              <w:rPr>
                <w:rFonts w:hint="eastAsia" w:ascii="宋体" w:hAnsi="宋体" w:eastAsia="宋体" w:cs="宋体"/>
                <w:b/>
                <w:bCs/>
                <w:color w:val="000000"/>
                <w:kern w:val="0"/>
                <w:sz w:val="24"/>
                <w:szCs w:val="24"/>
              </w:rPr>
            </w:pPr>
          </w:p>
        </w:tc>
        <w:tc>
          <w:tcPr>
            <w:tcW w:w="236" w:type="dxa"/>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rPr>
                <w:rFonts w:hint="eastAsia" w:ascii="宋体" w:hAnsi="宋体" w:eastAsia="宋体" w:cs="宋体"/>
                <w:b/>
                <w:bCs/>
                <w:color w:val="000000"/>
                <w:kern w:val="0"/>
                <w:sz w:val="24"/>
                <w:szCs w:val="24"/>
              </w:rPr>
            </w:pPr>
          </w:p>
        </w:tc>
      </w:tr>
      <w:tr>
        <w:tblPrEx>
          <w:tblCellMar>
            <w:top w:w="0" w:type="dxa"/>
            <w:left w:w="108" w:type="dxa"/>
            <w:bottom w:w="0" w:type="dxa"/>
            <w:right w:w="108" w:type="dxa"/>
          </w:tblCellMar>
        </w:tblPrEx>
        <w:trPr>
          <w:trHeight w:val="864" w:hRule="atLeast"/>
          <w:jc w:val="center"/>
        </w:trPr>
        <w:tc>
          <w:tcPr>
            <w:tcW w:w="2261" w:type="dxa"/>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b/>
                <w:bCs/>
                <w:color w:val="000000"/>
                <w:sz w:val="24"/>
                <w:szCs w:val="24"/>
              </w:rPr>
            </w:pPr>
          </w:p>
        </w:tc>
        <w:tc>
          <w:tcPr>
            <w:tcW w:w="92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代码</w:t>
            </w:r>
          </w:p>
        </w:tc>
        <w:tc>
          <w:tcPr>
            <w:tcW w:w="162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名称</w:t>
            </w:r>
          </w:p>
        </w:tc>
        <w:tc>
          <w:tcPr>
            <w:tcW w:w="14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面积（公顷）</w:t>
            </w:r>
          </w:p>
        </w:tc>
        <w:tc>
          <w:tcPr>
            <w:tcW w:w="153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比例（%）</w:t>
            </w:r>
          </w:p>
        </w:tc>
        <w:tc>
          <w:tcPr>
            <w:tcW w:w="148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面积（公顷）</w:t>
            </w:r>
          </w:p>
        </w:tc>
        <w:tc>
          <w:tcPr>
            <w:tcW w:w="17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比例（%）</w:t>
            </w:r>
          </w:p>
        </w:tc>
        <w:tc>
          <w:tcPr>
            <w:tcW w:w="1847"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480" w:lineRule="auto"/>
              <w:jc w:val="left"/>
              <w:rPr>
                <w:rFonts w:hint="eastAsia" w:ascii="宋体" w:hAnsi="宋体" w:eastAsia="宋体" w:cs="宋体"/>
                <w:b/>
                <w:bCs/>
                <w:color w:val="000000"/>
                <w:kern w:val="0"/>
                <w:sz w:val="24"/>
                <w:szCs w:val="24"/>
              </w:rPr>
            </w:pPr>
          </w:p>
        </w:tc>
        <w:tc>
          <w:tcPr>
            <w:tcW w:w="236" w:type="dxa"/>
            <w:vAlign w:val="center"/>
          </w:tcPr>
          <w:p>
            <w:pPr>
              <w:keepNext w:val="0"/>
              <w:keepLines w:val="0"/>
              <w:pageBreakBefore w:val="0"/>
              <w:widowControl/>
              <w:kinsoku/>
              <w:wordWrap/>
              <w:overflowPunct/>
              <w:topLinePunct w:val="0"/>
              <w:bidi w:val="0"/>
              <w:snapToGrid/>
              <w:spacing w:line="480" w:lineRule="auto"/>
              <w:jc w:val="left"/>
              <w:rPr>
                <w:rFonts w:hint="eastAsia" w:ascii="宋体" w:hAnsi="宋体" w:eastAsia="宋体" w:cs="宋体"/>
                <w:kern w:val="0"/>
                <w:sz w:val="24"/>
                <w:szCs w:val="24"/>
              </w:rPr>
            </w:pPr>
          </w:p>
        </w:tc>
      </w:tr>
      <w:tr>
        <w:tblPrEx>
          <w:tblCellMar>
            <w:top w:w="0" w:type="dxa"/>
            <w:left w:w="108" w:type="dxa"/>
            <w:bottom w:w="0" w:type="dxa"/>
            <w:right w:w="108" w:type="dxa"/>
          </w:tblCellMar>
        </w:tblPrEx>
        <w:trPr>
          <w:trHeight w:val="288" w:hRule="atLeast"/>
          <w:jc w:val="center"/>
        </w:trPr>
        <w:tc>
          <w:tcPr>
            <w:tcW w:w="226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耕地</w:t>
            </w:r>
          </w:p>
        </w:tc>
        <w:tc>
          <w:tcPr>
            <w:tcW w:w="92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01</w:t>
            </w:r>
          </w:p>
        </w:tc>
        <w:tc>
          <w:tcPr>
            <w:tcW w:w="162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耕地</w:t>
            </w:r>
          </w:p>
        </w:tc>
        <w:tc>
          <w:tcPr>
            <w:tcW w:w="142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133.60 </w:t>
            </w:r>
          </w:p>
        </w:tc>
        <w:tc>
          <w:tcPr>
            <w:tcW w:w="1534"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52.19%</w:t>
            </w:r>
          </w:p>
        </w:tc>
        <w:tc>
          <w:tcPr>
            <w:tcW w:w="1489" w:type="dxa"/>
            <w:tcBorders>
              <w:top w:val="nil"/>
              <w:left w:val="nil"/>
              <w:bottom w:val="single" w:color="auto" w:sz="4" w:space="0"/>
              <w:right w:val="single" w:color="auto" w:sz="4" w:space="0"/>
            </w:tcBorders>
            <w:shd w:val="clear" w:color="auto" w:fill="auto"/>
            <w:noWrap/>
            <w:vAlign w:val="bottom"/>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131.04 </w:t>
            </w:r>
          </w:p>
        </w:tc>
        <w:tc>
          <w:tcPr>
            <w:tcW w:w="179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51.18%</w:t>
            </w:r>
          </w:p>
        </w:tc>
        <w:tc>
          <w:tcPr>
            <w:tcW w:w="184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-2.56</w:t>
            </w:r>
          </w:p>
        </w:tc>
        <w:tc>
          <w:tcPr>
            <w:tcW w:w="236" w:type="dxa"/>
            <w:vAlign w:val="center"/>
          </w:tcPr>
          <w:p>
            <w:pPr>
              <w:keepNext w:val="0"/>
              <w:keepLines w:val="0"/>
              <w:pageBreakBefore w:val="0"/>
              <w:widowControl/>
              <w:kinsoku/>
              <w:wordWrap/>
              <w:overflowPunct/>
              <w:topLinePunct w:val="0"/>
              <w:bidi w:val="0"/>
              <w:snapToGrid/>
              <w:spacing w:line="480" w:lineRule="auto"/>
              <w:jc w:val="center"/>
              <w:rPr>
                <w:rFonts w:hint="eastAsia" w:ascii="宋体" w:hAnsi="宋体" w:eastAsia="宋体" w:cs="宋体"/>
                <w:kern w:val="0"/>
                <w:sz w:val="24"/>
                <w:szCs w:val="24"/>
              </w:rPr>
            </w:pPr>
          </w:p>
        </w:tc>
      </w:tr>
      <w:tr>
        <w:tblPrEx>
          <w:tblCellMar>
            <w:top w:w="0" w:type="dxa"/>
            <w:left w:w="108" w:type="dxa"/>
            <w:bottom w:w="0" w:type="dxa"/>
            <w:right w:w="108" w:type="dxa"/>
          </w:tblCellMar>
        </w:tblPrEx>
        <w:trPr>
          <w:trHeight w:val="288" w:hRule="atLeast"/>
          <w:jc w:val="center"/>
        </w:trPr>
        <w:tc>
          <w:tcPr>
            <w:tcW w:w="226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林地</w:t>
            </w:r>
          </w:p>
        </w:tc>
        <w:tc>
          <w:tcPr>
            <w:tcW w:w="92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03</w:t>
            </w:r>
          </w:p>
        </w:tc>
        <w:tc>
          <w:tcPr>
            <w:tcW w:w="162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林地</w:t>
            </w:r>
          </w:p>
        </w:tc>
        <w:tc>
          <w:tcPr>
            <w:tcW w:w="142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45.65 </w:t>
            </w:r>
          </w:p>
        </w:tc>
        <w:tc>
          <w:tcPr>
            <w:tcW w:w="1534"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17.83%</w:t>
            </w:r>
          </w:p>
        </w:tc>
        <w:tc>
          <w:tcPr>
            <w:tcW w:w="1489"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45.33 </w:t>
            </w:r>
          </w:p>
        </w:tc>
        <w:tc>
          <w:tcPr>
            <w:tcW w:w="179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17.71%</w:t>
            </w:r>
          </w:p>
        </w:tc>
        <w:tc>
          <w:tcPr>
            <w:tcW w:w="184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-0.32</w:t>
            </w:r>
          </w:p>
        </w:tc>
        <w:tc>
          <w:tcPr>
            <w:tcW w:w="236" w:type="dxa"/>
            <w:vAlign w:val="center"/>
          </w:tcPr>
          <w:p>
            <w:pPr>
              <w:keepNext w:val="0"/>
              <w:keepLines w:val="0"/>
              <w:pageBreakBefore w:val="0"/>
              <w:widowControl/>
              <w:kinsoku/>
              <w:wordWrap/>
              <w:overflowPunct/>
              <w:topLinePunct w:val="0"/>
              <w:bidi w:val="0"/>
              <w:snapToGrid/>
              <w:spacing w:line="480" w:lineRule="auto"/>
              <w:jc w:val="center"/>
              <w:rPr>
                <w:rFonts w:hint="eastAsia" w:ascii="宋体" w:hAnsi="宋体" w:eastAsia="宋体" w:cs="宋体"/>
                <w:kern w:val="0"/>
                <w:sz w:val="24"/>
                <w:szCs w:val="24"/>
              </w:rPr>
            </w:pPr>
          </w:p>
        </w:tc>
      </w:tr>
      <w:tr>
        <w:tblPrEx>
          <w:tblCellMar>
            <w:top w:w="0" w:type="dxa"/>
            <w:left w:w="108" w:type="dxa"/>
            <w:bottom w:w="0" w:type="dxa"/>
            <w:right w:w="108" w:type="dxa"/>
          </w:tblCellMar>
        </w:tblPrEx>
        <w:trPr>
          <w:trHeight w:val="288" w:hRule="atLeast"/>
          <w:jc w:val="center"/>
        </w:trPr>
        <w:tc>
          <w:tcPr>
            <w:tcW w:w="226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草地</w:t>
            </w:r>
          </w:p>
        </w:tc>
        <w:tc>
          <w:tcPr>
            <w:tcW w:w="92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04</w:t>
            </w:r>
          </w:p>
        </w:tc>
        <w:tc>
          <w:tcPr>
            <w:tcW w:w="162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草地</w:t>
            </w:r>
          </w:p>
        </w:tc>
        <w:tc>
          <w:tcPr>
            <w:tcW w:w="142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45.88 </w:t>
            </w:r>
          </w:p>
        </w:tc>
        <w:tc>
          <w:tcPr>
            <w:tcW w:w="1534"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17.92%</w:t>
            </w:r>
          </w:p>
        </w:tc>
        <w:tc>
          <w:tcPr>
            <w:tcW w:w="1489"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45.45 </w:t>
            </w:r>
          </w:p>
        </w:tc>
        <w:tc>
          <w:tcPr>
            <w:tcW w:w="179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17.75%</w:t>
            </w:r>
          </w:p>
        </w:tc>
        <w:tc>
          <w:tcPr>
            <w:tcW w:w="184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-0.43</w:t>
            </w:r>
          </w:p>
        </w:tc>
        <w:tc>
          <w:tcPr>
            <w:tcW w:w="236" w:type="dxa"/>
            <w:vAlign w:val="center"/>
          </w:tcPr>
          <w:p>
            <w:pPr>
              <w:keepNext w:val="0"/>
              <w:keepLines w:val="0"/>
              <w:pageBreakBefore w:val="0"/>
              <w:widowControl/>
              <w:kinsoku/>
              <w:wordWrap/>
              <w:overflowPunct/>
              <w:topLinePunct w:val="0"/>
              <w:bidi w:val="0"/>
              <w:snapToGrid/>
              <w:spacing w:line="480" w:lineRule="auto"/>
              <w:jc w:val="center"/>
              <w:rPr>
                <w:rFonts w:hint="eastAsia" w:ascii="宋体" w:hAnsi="宋体" w:eastAsia="宋体" w:cs="宋体"/>
                <w:kern w:val="0"/>
                <w:sz w:val="24"/>
                <w:szCs w:val="24"/>
              </w:rPr>
            </w:pPr>
          </w:p>
        </w:tc>
      </w:tr>
      <w:tr>
        <w:tblPrEx>
          <w:tblCellMar>
            <w:top w:w="0" w:type="dxa"/>
            <w:left w:w="108" w:type="dxa"/>
            <w:bottom w:w="0" w:type="dxa"/>
            <w:right w:w="108" w:type="dxa"/>
          </w:tblCellMar>
        </w:tblPrEx>
        <w:trPr>
          <w:trHeight w:val="576" w:hRule="atLeast"/>
          <w:jc w:val="center"/>
        </w:trPr>
        <w:tc>
          <w:tcPr>
            <w:tcW w:w="2261"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农业设施建设用地</w:t>
            </w:r>
          </w:p>
        </w:tc>
        <w:tc>
          <w:tcPr>
            <w:tcW w:w="92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0601</w:t>
            </w:r>
          </w:p>
        </w:tc>
        <w:tc>
          <w:tcPr>
            <w:tcW w:w="162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乡村道路用地</w:t>
            </w:r>
          </w:p>
        </w:tc>
        <w:tc>
          <w:tcPr>
            <w:tcW w:w="142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2.60 </w:t>
            </w:r>
          </w:p>
        </w:tc>
        <w:tc>
          <w:tcPr>
            <w:tcW w:w="1534"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1.02%</w:t>
            </w:r>
          </w:p>
        </w:tc>
        <w:tc>
          <w:tcPr>
            <w:tcW w:w="1489"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2.60 </w:t>
            </w:r>
          </w:p>
        </w:tc>
        <w:tc>
          <w:tcPr>
            <w:tcW w:w="179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1.02%</w:t>
            </w:r>
          </w:p>
        </w:tc>
        <w:tc>
          <w:tcPr>
            <w:tcW w:w="184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0.00</w:t>
            </w:r>
          </w:p>
        </w:tc>
        <w:tc>
          <w:tcPr>
            <w:tcW w:w="236" w:type="dxa"/>
            <w:vAlign w:val="center"/>
          </w:tcPr>
          <w:p>
            <w:pPr>
              <w:keepNext w:val="0"/>
              <w:keepLines w:val="0"/>
              <w:pageBreakBefore w:val="0"/>
              <w:widowControl/>
              <w:kinsoku/>
              <w:wordWrap/>
              <w:overflowPunct/>
              <w:topLinePunct w:val="0"/>
              <w:bidi w:val="0"/>
              <w:snapToGrid/>
              <w:spacing w:line="480" w:lineRule="auto"/>
              <w:jc w:val="center"/>
              <w:rPr>
                <w:rFonts w:hint="eastAsia" w:ascii="宋体" w:hAnsi="宋体" w:eastAsia="宋体" w:cs="宋体"/>
                <w:kern w:val="0"/>
                <w:sz w:val="24"/>
                <w:szCs w:val="24"/>
              </w:rPr>
            </w:pPr>
          </w:p>
        </w:tc>
      </w:tr>
      <w:tr>
        <w:tblPrEx>
          <w:tblCellMar>
            <w:top w:w="0" w:type="dxa"/>
            <w:left w:w="108" w:type="dxa"/>
            <w:bottom w:w="0" w:type="dxa"/>
            <w:right w:w="108" w:type="dxa"/>
          </w:tblCellMar>
        </w:tblPrEx>
        <w:trPr>
          <w:trHeight w:val="576" w:hRule="atLeast"/>
          <w:jc w:val="center"/>
        </w:trPr>
        <w:tc>
          <w:tcPr>
            <w:tcW w:w="2261" w:type="dxa"/>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p>
        </w:tc>
        <w:tc>
          <w:tcPr>
            <w:tcW w:w="92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0602</w:t>
            </w:r>
          </w:p>
        </w:tc>
        <w:tc>
          <w:tcPr>
            <w:tcW w:w="162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种植设施建设用地</w:t>
            </w:r>
          </w:p>
        </w:tc>
        <w:tc>
          <w:tcPr>
            <w:tcW w:w="142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0.08 </w:t>
            </w:r>
          </w:p>
        </w:tc>
        <w:tc>
          <w:tcPr>
            <w:tcW w:w="1534"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0.03%</w:t>
            </w:r>
          </w:p>
        </w:tc>
        <w:tc>
          <w:tcPr>
            <w:tcW w:w="1489"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0.08 </w:t>
            </w:r>
          </w:p>
        </w:tc>
        <w:tc>
          <w:tcPr>
            <w:tcW w:w="179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0.03%</w:t>
            </w:r>
          </w:p>
        </w:tc>
        <w:tc>
          <w:tcPr>
            <w:tcW w:w="184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0.00</w:t>
            </w:r>
          </w:p>
        </w:tc>
        <w:tc>
          <w:tcPr>
            <w:tcW w:w="236" w:type="dxa"/>
            <w:vAlign w:val="center"/>
          </w:tcPr>
          <w:p>
            <w:pPr>
              <w:keepNext w:val="0"/>
              <w:keepLines w:val="0"/>
              <w:pageBreakBefore w:val="0"/>
              <w:widowControl/>
              <w:kinsoku/>
              <w:wordWrap/>
              <w:overflowPunct/>
              <w:topLinePunct w:val="0"/>
              <w:bidi w:val="0"/>
              <w:snapToGrid/>
              <w:spacing w:line="480" w:lineRule="auto"/>
              <w:jc w:val="center"/>
              <w:rPr>
                <w:rFonts w:hint="eastAsia" w:ascii="宋体" w:hAnsi="宋体" w:eastAsia="宋体" w:cs="宋体"/>
                <w:kern w:val="0"/>
                <w:sz w:val="24"/>
                <w:szCs w:val="24"/>
              </w:rPr>
            </w:pPr>
          </w:p>
        </w:tc>
      </w:tr>
      <w:tr>
        <w:tblPrEx>
          <w:tblCellMar>
            <w:top w:w="0" w:type="dxa"/>
            <w:left w:w="108" w:type="dxa"/>
            <w:bottom w:w="0" w:type="dxa"/>
            <w:right w:w="108" w:type="dxa"/>
          </w:tblCellMar>
        </w:tblPrEx>
        <w:trPr>
          <w:trHeight w:val="864" w:hRule="atLeast"/>
          <w:jc w:val="center"/>
        </w:trPr>
        <w:tc>
          <w:tcPr>
            <w:tcW w:w="2261" w:type="dxa"/>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p>
        </w:tc>
        <w:tc>
          <w:tcPr>
            <w:tcW w:w="92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0603</w:t>
            </w:r>
          </w:p>
        </w:tc>
        <w:tc>
          <w:tcPr>
            <w:tcW w:w="162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畜禽养殖设施建设用地</w:t>
            </w:r>
          </w:p>
        </w:tc>
        <w:tc>
          <w:tcPr>
            <w:tcW w:w="142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0.07 </w:t>
            </w:r>
          </w:p>
        </w:tc>
        <w:tc>
          <w:tcPr>
            <w:tcW w:w="1534"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0.03%</w:t>
            </w:r>
          </w:p>
        </w:tc>
        <w:tc>
          <w:tcPr>
            <w:tcW w:w="1489"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0.07 </w:t>
            </w:r>
          </w:p>
        </w:tc>
        <w:tc>
          <w:tcPr>
            <w:tcW w:w="179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0.03%</w:t>
            </w:r>
          </w:p>
        </w:tc>
        <w:tc>
          <w:tcPr>
            <w:tcW w:w="184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0.00</w:t>
            </w:r>
          </w:p>
        </w:tc>
        <w:tc>
          <w:tcPr>
            <w:tcW w:w="236" w:type="dxa"/>
            <w:vAlign w:val="center"/>
          </w:tcPr>
          <w:p>
            <w:pPr>
              <w:keepNext w:val="0"/>
              <w:keepLines w:val="0"/>
              <w:pageBreakBefore w:val="0"/>
              <w:widowControl/>
              <w:kinsoku/>
              <w:wordWrap/>
              <w:overflowPunct/>
              <w:topLinePunct w:val="0"/>
              <w:bidi w:val="0"/>
              <w:snapToGrid/>
              <w:spacing w:line="480" w:lineRule="auto"/>
              <w:jc w:val="center"/>
              <w:rPr>
                <w:rFonts w:hint="eastAsia" w:ascii="宋体" w:hAnsi="宋体" w:eastAsia="宋体" w:cs="宋体"/>
                <w:kern w:val="0"/>
                <w:sz w:val="24"/>
                <w:szCs w:val="24"/>
              </w:rPr>
            </w:pPr>
          </w:p>
        </w:tc>
      </w:tr>
      <w:tr>
        <w:tblPrEx>
          <w:tblCellMar>
            <w:top w:w="0" w:type="dxa"/>
            <w:left w:w="108" w:type="dxa"/>
            <w:bottom w:w="0" w:type="dxa"/>
            <w:right w:w="108" w:type="dxa"/>
          </w:tblCellMar>
        </w:tblPrEx>
        <w:trPr>
          <w:trHeight w:val="576" w:hRule="atLeast"/>
          <w:jc w:val="center"/>
        </w:trPr>
        <w:tc>
          <w:tcPr>
            <w:tcW w:w="1102"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城乡建设用地</w:t>
            </w: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城镇用地</w:t>
            </w:r>
          </w:p>
        </w:tc>
        <w:tc>
          <w:tcPr>
            <w:tcW w:w="92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1207</w:t>
            </w:r>
          </w:p>
        </w:tc>
        <w:tc>
          <w:tcPr>
            <w:tcW w:w="162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城镇道路用地</w:t>
            </w:r>
          </w:p>
        </w:tc>
        <w:tc>
          <w:tcPr>
            <w:tcW w:w="142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0.05 </w:t>
            </w:r>
          </w:p>
        </w:tc>
        <w:tc>
          <w:tcPr>
            <w:tcW w:w="1534"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0.02%</w:t>
            </w:r>
          </w:p>
        </w:tc>
        <w:tc>
          <w:tcPr>
            <w:tcW w:w="1489"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0.05 </w:t>
            </w:r>
          </w:p>
        </w:tc>
        <w:tc>
          <w:tcPr>
            <w:tcW w:w="179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0.02%</w:t>
            </w:r>
          </w:p>
        </w:tc>
        <w:tc>
          <w:tcPr>
            <w:tcW w:w="184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0.00</w:t>
            </w:r>
          </w:p>
        </w:tc>
        <w:tc>
          <w:tcPr>
            <w:tcW w:w="236" w:type="dxa"/>
            <w:vAlign w:val="center"/>
          </w:tcPr>
          <w:p>
            <w:pPr>
              <w:keepNext w:val="0"/>
              <w:keepLines w:val="0"/>
              <w:pageBreakBefore w:val="0"/>
              <w:widowControl/>
              <w:kinsoku/>
              <w:wordWrap/>
              <w:overflowPunct/>
              <w:topLinePunct w:val="0"/>
              <w:bidi w:val="0"/>
              <w:snapToGrid/>
              <w:spacing w:line="480" w:lineRule="auto"/>
              <w:jc w:val="center"/>
              <w:rPr>
                <w:rFonts w:hint="eastAsia" w:ascii="宋体" w:hAnsi="宋体" w:eastAsia="宋体" w:cs="宋体"/>
                <w:kern w:val="0"/>
                <w:sz w:val="24"/>
                <w:szCs w:val="24"/>
              </w:rPr>
            </w:pPr>
          </w:p>
        </w:tc>
      </w:tr>
      <w:tr>
        <w:tblPrEx>
          <w:tblCellMar>
            <w:top w:w="0" w:type="dxa"/>
            <w:left w:w="108" w:type="dxa"/>
            <w:bottom w:w="0" w:type="dxa"/>
            <w:right w:w="108" w:type="dxa"/>
          </w:tblCellMar>
        </w:tblPrEx>
        <w:trPr>
          <w:trHeight w:val="288" w:hRule="atLeast"/>
          <w:jc w:val="center"/>
        </w:trPr>
        <w:tc>
          <w:tcPr>
            <w:tcW w:w="1102"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p>
        </w:tc>
        <w:tc>
          <w:tcPr>
            <w:tcW w:w="1159"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村庄用地</w:t>
            </w:r>
          </w:p>
        </w:tc>
        <w:tc>
          <w:tcPr>
            <w:tcW w:w="92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07</w:t>
            </w:r>
          </w:p>
        </w:tc>
        <w:tc>
          <w:tcPr>
            <w:tcW w:w="162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居住用地</w:t>
            </w:r>
          </w:p>
        </w:tc>
        <w:tc>
          <w:tcPr>
            <w:tcW w:w="142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9.29 </w:t>
            </w:r>
          </w:p>
        </w:tc>
        <w:tc>
          <w:tcPr>
            <w:tcW w:w="1534"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3.63%</w:t>
            </w:r>
          </w:p>
        </w:tc>
        <w:tc>
          <w:tcPr>
            <w:tcW w:w="1489"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9.54 </w:t>
            </w:r>
          </w:p>
        </w:tc>
        <w:tc>
          <w:tcPr>
            <w:tcW w:w="179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3.73%</w:t>
            </w:r>
          </w:p>
        </w:tc>
        <w:tc>
          <w:tcPr>
            <w:tcW w:w="184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0.25</w:t>
            </w:r>
          </w:p>
        </w:tc>
        <w:tc>
          <w:tcPr>
            <w:tcW w:w="236" w:type="dxa"/>
            <w:vAlign w:val="center"/>
          </w:tcPr>
          <w:p>
            <w:pPr>
              <w:keepNext w:val="0"/>
              <w:keepLines w:val="0"/>
              <w:pageBreakBefore w:val="0"/>
              <w:widowControl/>
              <w:kinsoku/>
              <w:wordWrap/>
              <w:overflowPunct/>
              <w:topLinePunct w:val="0"/>
              <w:bidi w:val="0"/>
              <w:snapToGrid/>
              <w:spacing w:line="480" w:lineRule="auto"/>
              <w:jc w:val="center"/>
              <w:rPr>
                <w:rFonts w:hint="eastAsia" w:ascii="宋体" w:hAnsi="宋体" w:eastAsia="宋体" w:cs="宋体"/>
                <w:kern w:val="0"/>
                <w:sz w:val="24"/>
                <w:szCs w:val="24"/>
              </w:rPr>
            </w:pPr>
          </w:p>
        </w:tc>
      </w:tr>
      <w:tr>
        <w:tblPrEx>
          <w:tblCellMar>
            <w:top w:w="0" w:type="dxa"/>
            <w:left w:w="108" w:type="dxa"/>
            <w:bottom w:w="0" w:type="dxa"/>
            <w:right w:w="108" w:type="dxa"/>
          </w:tblCellMar>
        </w:tblPrEx>
        <w:trPr>
          <w:trHeight w:val="864" w:hRule="atLeast"/>
          <w:jc w:val="center"/>
        </w:trPr>
        <w:tc>
          <w:tcPr>
            <w:tcW w:w="1102"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p>
        </w:tc>
        <w:tc>
          <w:tcPr>
            <w:tcW w:w="1159"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p>
        </w:tc>
        <w:tc>
          <w:tcPr>
            <w:tcW w:w="92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08</w:t>
            </w:r>
          </w:p>
        </w:tc>
        <w:tc>
          <w:tcPr>
            <w:tcW w:w="162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公共管理与公共服务用地</w:t>
            </w:r>
          </w:p>
        </w:tc>
        <w:tc>
          <w:tcPr>
            <w:tcW w:w="142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1.12 </w:t>
            </w:r>
          </w:p>
        </w:tc>
        <w:tc>
          <w:tcPr>
            <w:tcW w:w="1534"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0.44%</w:t>
            </w:r>
          </w:p>
        </w:tc>
        <w:tc>
          <w:tcPr>
            <w:tcW w:w="1489"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1.12 </w:t>
            </w:r>
          </w:p>
        </w:tc>
        <w:tc>
          <w:tcPr>
            <w:tcW w:w="179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0.44%</w:t>
            </w:r>
          </w:p>
        </w:tc>
        <w:tc>
          <w:tcPr>
            <w:tcW w:w="184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0.00</w:t>
            </w:r>
          </w:p>
        </w:tc>
        <w:tc>
          <w:tcPr>
            <w:tcW w:w="236" w:type="dxa"/>
            <w:vAlign w:val="center"/>
          </w:tcPr>
          <w:p>
            <w:pPr>
              <w:keepNext w:val="0"/>
              <w:keepLines w:val="0"/>
              <w:pageBreakBefore w:val="0"/>
              <w:widowControl/>
              <w:kinsoku/>
              <w:wordWrap/>
              <w:overflowPunct/>
              <w:topLinePunct w:val="0"/>
              <w:bidi w:val="0"/>
              <w:snapToGrid/>
              <w:spacing w:line="480" w:lineRule="auto"/>
              <w:jc w:val="center"/>
              <w:rPr>
                <w:rFonts w:hint="eastAsia" w:ascii="宋体" w:hAnsi="宋体" w:eastAsia="宋体" w:cs="宋体"/>
                <w:kern w:val="0"/>
                <w:sz w:val="24"/>
                <w:szCs w:val="24"/>
              </w:rPr>
            </w:pPr>
          </w:p>
        </w:tc>
      </w:tr>
      <w:tr>
        <w:tblPrEx>
          <w:tblCellMar>
            <w:top w:w="0" w:type="dxa"/>
            <w:left w:w="108" w:type="dxa"/>
            <w:bottom w:w="0" w:type="dxa"/>
            <w:right w:w="108" w:type="dxa"/>
          </w:tblCellMar>
        </w:tblPrEx>
        <w:trPr>
          <w:trHeight w:val="864" w:hRule="atLeast"/>
          <w:jc w:val="center"/>
        </w:trPr>
        <w:tc>
          <w:tcPr>
            <w:tcW w:w="1102"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p>
        </w:tc>
        <w:tc>
          <w:tcPr>
            <w:tcW w:w="1159"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p>
        </w:tc>
        <w:tc>
          <w:tcPr>
            <w:tcW w:w="92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14</w:t>
            </w:r>
          </w:p>
        </w:tc>
        <w:tc>
          <w:tcPr>
            <w:tcW w:w="162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绿地与开敞空间用地</w:t>
            </w:r>
          </w:p>
        </w:tc>
        <w:tc>
          <w:tcPr>
            <w:tcW w:w="142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0.00 </w:t>
            </w:r>
          </w:p>
        </w:tc>
        <w:tc>
          <w:tcPr>
            <w:tcW w:w="1534"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0.00 </w:t>
            </w:r>
          </w:p>
        </w:tc>
        <w:tc>
          <w:tcPr>
            <w:tcW w:w="1489"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0.20 </w:t>
            </w:r>
          </w:p>
        </w:tc>
        <w:tc>
          <w:tcPr>
            <w:tcW w:w="179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0.08%</w:t>
            </w:r>
          </w:p>
        </w:tc>
        <w:tc>
          <w:tcPr>
            <w:tcW w:w="184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0.20</w:t>
            </w:r>
          </w:p>
        </w:tc>
        <w:tc>
          <w:tcPr>
            <w:tcW w:w="236" w:type="dxa"/>
            <w:vAlign w:val="center"/>
          </w:tcPr>
          <w:p>
            <w:pPr>
              <w:keepNext w:val="0"/>
              <w:keepLines w:val="0"/>
              <w:pageBreakBefore w:val="0"/>
              <w:widowControl/>
              <w:kinsoku/>
              <w:wordWrap/>
              <w:overflowPunct/>
              <w:topLinePunct w:val="0"/>
              <w:bidi w:val="0"/>
              <w:snapToGrid/>
              <w:spacing w:line="480" w:lineRule="auto"/>
              <w:jc w:val="center"/>
              <w:rPr>
                <w:rFonts w:hint="eastAsia" w:ascii="宋体" w:hAnsi="宋体" w:eastAsia="宋体" w:cs="宋体"/>
                <w:kern w:val="0"/>
                <w:sz w:val="24"/>
                <w:szCs w:val="24"/>
              </w:rPr>
            </w:pPr>
          </w:p>
        </w:tc>
      </w:tr>
      <w:tr>
        <w:tblPrEx>
          <w:tblCellMar>
            <w:top w:w="0" w:type="dxa"/>
            <w:left w:w="108" w:type="dxa"/>
            <w:bottom w:w="0" w:type="dxa"/>
            <w:right w:w="108" w:type="dxa"/>
          </w:tblCellMar>
        </w:tblPrEx>
        <w:trPr>
          <w:trHeight w:val="288" w:hRule="atLeast"/>
          <w:jc w:val="center"/>
        </w:trPr>
        <w:tc>
          <w:tcPr>
            <w:tcW w:w="1102"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p>
        </w:tc>
        <w:tc>
          <w:tcPr>
            <w:tcW w:w="1159"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p>
        </w:tc>
        <w:tc>
          <w:tcPr>
            <w:tcW w:w="92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1001</w:t>
            </w:r>
          </w:p>
        </w:tc>
        <w:tc>
          <w:tcPr>
            <w:tcW w:w="162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工业用地</w:t>
            </w:r>
          </w:p>
        </w:tc>
        <w:tc>
          <w:tcPr>
            <w:tcW w:w="142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3.41 </w:t>
            </w:r>
          </w:p>
        </w:tc>
        <w:tc>
          <w:tcPr>
            <w:tcW w:w="1534"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1.33%</w:t>
            </w:r>
          </w:p>
        </w:tc>
        <w:tc>
          <w:tcPr>
            <w:tcW w:w="1489"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3.41 </w:t>
            </w:r>
          </w:p>
        </w:tc>
        <w:tc>
          <w:tcPr>
            <w:tcW w:w="179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1.33%</w:t>
            </w:r>
          </w:p>
        </w:tc>
        <w:tc>
          <w:tcPr>
            <w:tcW w:w="184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0.00</w:t>
            </w:r>
          </w:p>
        </w:tc>
        <w:tc>
          <w:tcPr>
            <w:tcW w:w="236" w:type="dxa"/>
            <w:vAlign w:val="center"/>
          </w:tcPr>
          <w:p>
            <w:pPr>
              <w:keepNext w:val="0"/>
              <w:keepLines w:val="0"/>
              <w:pageBreakBefore w:val="0"/>
              <w:widowControl/>
              <w:kinsoku/>
              <w:wordWrap/>
              <w:overflowPunct/>
              <w:topLinePunct w:val="0"/>
              <w:bidi w:val="0"/>
              <w:snapToGrid/>
              <w:spacing w:line="480" w:lineRule="auto"/>
              <w:jc w:val="center"/>
              <w:rPr>
                <w:rFonts w:hint="eastAsia" w:ascii="宋体" w:hAnsi="宋体" w:eastAsia="宋体" w:cs="宋体"/>
                <w:kern w:val="0"/>
                <w:sz w:val="24"/>
                <w:szCs w:val="24"/>
              </w:rPr>
            </w:pPr>
          </w:p>
        </w:tc>
      </w:tr>
      <w:tr>
        <w:tblPrEx>
          <w:tblCellMar>
            <w:top w:w="0" w:type="dxa"/>
            <w:left w:w="108" w:type="dxa"/>
            <w:bottom w:w="0" w:type="dxa"/>
            <w:right w:w="108" w:type="dxa"/>
          </w:tblCellMar>
        </w:tblPrEx>
        <w:trPr>
          <w:trHeight w:val="576" w:hRule="atLeast"/>
          <w:jc w:val="center"/>
        </w:trPr>
        <w:tc>
          <w:tcPr>
            <w:tcW w:w="1102"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p>
        </w:tc>
        <w:tc>
          <w:tcPr>
            <w:tcW w:w="1159"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p>
        </w:tc>
        <w:tc>
          <w:tcPr>
            <w:tcW w:w="92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0601</w:t>
            </w:r>
          </w:p>
        </w:tc>
        <w:tc>
          <w:tcPr>
            <w:tcW w:w="162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乡村道路用地</w:t>
            </w:r>
          </w:p>
        </w:tc>
        <w:tc>
          <w:tcPr>
            <w:tcW w:w="142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0.70 </w:t>
            </w:r>
          </w:p>
        </w:tc>
        <w:tc>
          <w:tcPr>
            <w:tcW w:w="1534"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0.27%</w:t>
            </w:r>
          </w:p>
        </w:tc>
        <w:tc>
          <w:tcPr>
            <w:tcW w:w="1489"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0.72 </w:t>
            </w:r>
          </w:p>
        </w:tc>
        <w:tc>
          <w:tcPr>
            <w:tcW w:w="179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0.28%</w:t>
            </w:r>
          </w:p>
        </w:tc>
        <w:tc>
          <w:tcPr>
            <w:tcW w:w="184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0.02</w:t>
            </w:r>
          </w:p>
        </w:tc>
        <w:tc>
          <w:tcPr>
            <w:tcW w:w="236" w:type="dxa"/>
            <w:vAlign w:val="center"/>
          </w:tcPr>
          <w:p>
            <w:pPr>
              <w:keepNext w:val="0"/>
              <w:keepLines w:val="0"/>
              <w:pageBreakBefore w:val="0"/>
              <w:widowControl/>
              <w:kinsoku/>
              <w:wordWrap/>
              <w:overflowPunct/>
              <w:topLinePunct w:val="0"/>
              <w:bidi w:val="0"/>
              <w:snapToGrid/>
              <w:spacing w:line="480" w:lineRule="auto"/>
              <w:jc w:val="center"/>
              <w:rPr>
                <w:rFonts w:hint="eastAsia" w:ascii="宋体" w:hAnsi="宋体" w:eastAsia="宋体" w:cs="宋体"/>
                <w:kern w:val="0"/>
                <w:sz w:val="24"/>
                <w:szCs w:val="24"/>
              </w:rPr>
            </w:pPr>
          </w:p>
        </w:tc>
      </w:tr>
      <w:tr>
        <w:tblPrEx>
          <w:tblCellMar>
            <w:top w:w="0" w:type="dxa"/>
            <w:left w:w="108" w:type="dxa"/>
            <w:bottom w:w="0" w:type="dxa"/>
            <w:right w:w="108" w:type="dxa"/>
          </w:tblCellMar>
        </w:tblPrEx>
        <w:trPr>
          <w:trHeight w:val="288" w:hRule="atLeast"/>
          <w:jc w:val="center"/>
        </w:trPr>
        <w:tc>
          <w:tcPr>
            <w:tcW w:w="2261"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区域基础设施建设用地</w:t>
            </w:r>
          </w:p>
        </w:tc>
        <w:tc>
          <w:tcPr>
            <w:tcW w:w="92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1202</w:t>
            </w:r>
          </w:p>
        </w:tc>
        <w:tc>
          <w:tcPr>
            <w:tcW w:w="162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公路用地</w:t>
            </w:r>
          </w:p>
        </w:tc>
        <w:tc>
          <w:tcPr>
            <w:tcW w:w="142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3.53 </w:t>
            </w:r>
          </w:p>
        </w:tc>
        <w:tc>
          <w:tcPr>
            <w:tcW w:w="1534"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1.38%</w:t>
            </w:r>
          </w:p>
        </w:tc>
        <w:tc>
          <w:tcPr>
            <w:tcW w:w="1489"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6.42 </w:t>
            </w:r>
          </w:p>
        </w:tc>
        <w:tc>
          <w:tcPr>
            <w:tcW w:w="179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2.51%</w:t>
            </w:r>
          </w:p>
        </w:tc>
        <w:tc>
          <w:tcPr>
            <w:tcW w:w="184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2.89</w:t>
            </w:r>
          </w:p>
        </w:tc>
        <w:tc>
          <w:tcPr>
            <w:tcW w:w="236" w:type="dxa"/>
            <w:vAlign w:val="center"/>
          </w:tcPr>
          <w:p>
            <w:pPr>
              <w:keepNext w:val="0"/>
              <w:keepLines w:val="0"/>
              <w:pageBreakBefore w:val="0"/>
              <w:widowControl/>
              <w:kinsoku/>
              <w:wordWrap/>
              <w:overflowPunct/>
              <w:topLinePunct w:val="0"/>
              <w:bidi w:val="0"/>
              <w:snapToGrid/>
              <w:spacing w:line="480" w:lineRule="auto"/>
              <w:jc w:val="center"/>
              <w:rPr>
                <w:rFonts w:hint="eastAsia" w:ascii="宋体" w:hAnsi="宋体" w:eastAsia="宋体" w:cs="宋体"/>
                <w:kern w:val="0"/>
                <w:sz w:val="24"/>
                <w:szCs w:val="24"/>
              </w:rPr>
            </w:pPr>
          </w:p>
        </w:tc>
      </w:tr>
      <w:tr>
        <w:tblPrEx>
          <w:tblCellMar>
            <w:top w:w="0" w:type="dxa"/>
            <w:left w:w="108" w:type="dxa"/>
            <w:bottom w:w="0" w:type="dxa"/>
            <w:right w:w="108" w:type="dxa"/>
          </w:tblCellMar>
        </w:tblPrEx>
        <w:trPr>
          <w:trHeight w:val="576" w:hRule="atLeast"/>
          <w:jc w:val="center"/>
        </w:trPr>
        <w:tc>
          <w:tcPr>
            <w:tcW w:w="2261" w:type="dxa"/>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p>
        </w:tc>
        <w:tc>
          <w:tcPr>
            <w:tcW w:w="92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1312</w:t>
            </w:r>
          </w:p>
        </w:tc>
        <w:tc>
          <w:tcPr>
            <w:tcW w:w="162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水工设施用地</w:t>
            </w:r>
          </w:p>
        </w:tc>
        <w:tc>
          <w:tcPr>
            <w:tcW w:w="142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0.61 </w:t>
            </w:r>
          </w:p>
        </w:tc>
        <w:tc>
          <w:tcPr>
            <w:tcW w:w="1534"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0.24%</w:t>
            </w:r>
          </w:p>
        </w:tc>
        <w:tc>
          <w:tcPr>
            <w:tcW w:w="1489"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0.61 </w:t>
            </w:r>
          </w:p>
        </w:tc>
        <w:tc>
          <w:tcPr>
            <w:tcW w:w="179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0.24%</w:t>
            </w:r>
          </w:p>
        </w:tc>
        <w:tc>
          <w:tcPr>
            <w:tcW w:w="184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0.00</w:t>
            </w:r>
          </w:p>
        </w:tc>
        <w:tc>
          <w:tcPr>
            <w:tcW w:w="236" w:type="dxa"/>
            <w:vAlign w:val="center"/>
          </w:tcPr>
          <w:p>
            <w:pPr>
              <w:keepNext w:val="0"/>
              <w:keepLines w:val="0"/>
              <w:pageBreakBefore w:val="0"/>
              <w:widowControl/>
              <w:kinsoku/>
              <w:wordWrap/>
              <w:overflowPunct/>
              <w:topLinePunct w:val="0"/>
              <w:bidi w:val="0"/>
              <w:snapToGrid/>
              <w:spacing w:line="480" w:lineRule="auto"/>
              <w:jc w:val="center"/>
              <w:rPr>
                <w:rFonts w:hint="eastAsia" w:ascii="宋体" w:hAnsi="宋体" w:eastAsia="宋体" w:cs="宋体"/>
                <w:kern w:val="0"/>
                <w:sz w:val="24"/>
                <w:szCs w:val="24"/>
              </w:rPr>
            </w:pPr>
          </w:p>
        </w:tc>
      </w:tr>
      <w:tr>
        <w:tblPrEx>
          <w:tblCellMar>
            <w:top w:w="0" w:type="dxa"/>
            <w:left w:w="108" w:type="dxa"/>
            <w:bottom w:w="0" w:type="dxa"/>
            <w:right w:w="108" w:type="dxa"/>
          </w:tblCellMar>
        </w:tblPrEx>
        <w:trPr>
          <w:trHeight w:val="288" w:hRule="atLeast"/>
          <w:jc w:val="center"/>
        </w:trPr>
        <w:tc>
          <w:tcPr>
            <w:tcW w:w="226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其他建设用地</w:t>
            </w:r>
          </w:p>
        </w:tc>
        <w:tc>
          <w:tcPr>
            <w:tcW w:w="92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15</w:t>
            </w:r>
          </w:p>
        </w:tc>
        <w:tc>
          <w:tcPr>
            <w:tcW w:w="162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特殊用地</w:t>
            </w:r>
          </w:p>
        </w:tc>
        <w:tc>
          <w:tcPr>
            <w:tcW w:w="142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0.73 </w:t>
            </w:r>
          </w:p>
        </w:tc>
        <w:tc>
          <w:tcPr>
            <w:tcW w:w="1534"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0.29%</w:t>
            </w:r>
          </w:p>
        </w:tc>
        <w:tc>
          <w:tcPr>
            <w:tcW w:w="1489"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0.73 </w:t>
            </w:r>
          </w:p>
        </w:tc>
        <w:tc>
          <w:tcPr>
            <w:tcW w:w="179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0.29%</w:t>
            </w:r>
          </w:p>
        </w:tc>
        <w:tc>
          <w:tcPr>
            <w:tcW w:w="184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0.00</w:t>
            </w:r>
          </w:p>
        </w:tc>
        <w:tc>
          <w:tcPr>
            <w:tcW w:w="236" w:type="dxa"/>
            <w:vAlign w:val="center"/>
          </w:tcPr>
          <w:p>
            <w:pPr>
              <w:keepNext w:val="0"/>
              <w:keepLines w:val="0"/>
              <w:pageBreakBefore w:val="0"/>
              <w:widowControl/>
              <w:kinsoku/>
              <w:wordWrap/>
              <w:overflowPunct/>
              <w:topLinePunct w:val="0"/>
              <w:bidi w:val="0"/>
              <w:snapToGrid/>
              <w:spacing w:line="480" w:lineRule="auto"/>
              <w:jc w:val="center"/>
              <w:rPr>
                <w:rFonts w:hint="eastAsia" w:ascii="宋体" w:hAnsi="宋体" w:eastAsia="宋体" w:cs="宋体"/>
                <w:kern w:val="0"/>
                <w:sz w:val="24"/>
                <w:szCs w:val="24"/>
              </w:rPr>
            </w:pPr>
          </w:p>
        </w:tc>
      </w:tr>
      <w:tr>
        <w:tblPrEx>
          <w:tblCellMar>
            <w:top w:w="0" w:type="dxa"/>
            <w:left w:w="108" w:type="dxa"/>
            <w:bottom w:w="0" w:type="dxa"/>
            <w:right w:w="108" w:type="dxa"/>
          </w:tblCellMar>
        </w:tblPrEx>
        <w:trPr>
          <w:trHeight w:val="288" w:hRule="atLeast"/>
          <w:jc w:val="center"/>
        </w:trPr>
        <w:tc>
          <w:tcPr>
            <w:tcW w:w="2261"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陆地水域</w:t>
            </w:r>
          </w:p>
        </w:tc>
        <w:tc>
          <w:tcPr>
            <w:tcW w:w="92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1701</w:t>
            </w:r>
          </w:p>
        </w:tc>
        <w:tc>
          <w:tcPr>
            <w:tcW w:w="162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河流水面</w:t>
            </w:r>
          </w:p>
        </w:tc>
        <w:tc>
          <w:tcPr>
            <w:tcW w:w="142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2.02 </w:t>
            </w:r>
          </w:p>
        </w:tc>
        <w:tc>
          <w:tcPr>
            <w:tcW w:w="1534"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0.79%</w:t>
            </w:r>
          </w:p>
        </w:tc>
        <w:tc>
          <w:tcPr>
            <w:tcW w:w="1489"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1.97 </w:t>
            </w:r>
          </w:p>
        </w:tc>
        <w:tc>
          <w:tcPr>
            <w:tcW w:w="179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0.77%</w:t>
            </w:r>
          </w:p>
        </w:tc>
        <w:tc>
          <w:tcPr>
            <w:tcW w:w="184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-0.05</w:t>
            </w:r>
          </w:p>
        </w:tc>
        <w:tc>
          <w:tcPr>
            <w:tcW w:w="236" w:type="dxa"/>
            <w:vAlign w:val="center"/>
          </w:tcPr>
          <w:p>
            <w:pPr>
              <w:keepNext w:val="0"/>
              <w:keepLines w:val="0"/>
              <w:pageBreakBefore w:val="0"/>
              <w:widowControl/>
              <w:kinsoku/>
              <w:wordWrap/>
              <w:overflowPunct/>
              <w:topLinePunct w:val="0"/>
              <w:bidi w:val="0"/>
              <w:snapToGrid/>
              <w:spacing w:line="480" w:lineRule="auto"/>
              <w:jc w:val="center"/>
              <w:rPr>
                <w:rFonts w:hint="eastAsia" w:ascii="宋体" w:hAnsi="宋体" w:eastAsia="宋体" w:cs="宋体"/>
                <w:kern w:val="0"/>
                <w:sz w:val="24"/>
                <w:szCs w:val="24"/>
              </w:rPr>
            </w:pPr>
          </w:p>
        </w:tc>
      </w:tr>
      <w:tr>
        <w:tblPrEx>
          <w:tblCellMar>
            <w:top w:w="0" w:type="dxa"/>
            <w:left w:w="108" w:type="dxa"/>
            <w:bottom w:w="0" w:type="dxa"/>
            <w:right w:w="108" w:type="dxa"/>
          </w:tblCellMar>
        </w:tblPrEx>
        <w:trPr>
          <w:trHeight w:val="288" w:hRule="atLeast"/>
          <w:jc w:val="center"/>
        </w:trPr>
        <w:tc>
          <w:tcPr>
            <w:tcW w:w="2261" w:type="dxa"/>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p>
        </w:tc>
        <w:tc>
          <w:tcPr>
            <w:tcW w:w="92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1705</w:t>
            </w:r>
          </w:p>
        </w:tc>
        <w:tc>
          <w:tcPr>
            <w:tcW w:w="162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沟渠</w:t>
            </w:r>
          </w:p>
        </w:tc>
        <w:tc>
          <w:tcPr>
            <w:tcW w:w="142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0.36 </w:t>
            </w:r>
          </w:p>
        </w:tc>
        <w:tc>
          <w:tcPr>
            <w:tcW w:w="1534"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0.14%</w:t>
            </w:r>
          </w:p>
        </w:tc>
        <w:tc>
          <w:tcPr>
            <w:tcW w:w="1489"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0.36 </w:t>
            </w:r>
          </w:p>
        </w:tc>
        <w:tc>
          <w:tcPr>
            <w:tcW w:w="179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0.14%</w:t>
            </w:r>
          </w:p>
        </w:tc>
        <w:tc>
          <w:tcPr>
            <w:tcW w:w="184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0.00</w:t>
            </w:r>
          </w:p>
        </w:tc>
        <w:tc>
          <w:tcPr>
            <w:tcW w:w="236" w:type="dxa"/>
            <w:vAlign w:val="center"/>
          </w:tcPr>
          <w:p>
            <w:pPr>
              <w:keepNext w:val="0"/>
              <w:keepLines w:val="0"/>
              <w:pageBreakBefore w:val="0"/>
              <w:widowControl/>
              <w:kinsoku/>
              <w:wordWrap/>
              <w:overflowPunct/>
              <w:topLinePunct w:val="0"/>
              <w:bidi w:val="0"/>
              <w:snapToGrid/>
              <w:spacing w:line="480" w:lineRule="auto"/>
              <w:jc w:val="center"/>
              <w:rPr>
                <w:rFonts w:hint="eastAsia" w:ascii="宋体" w:hAnsi="宋体" w:eastAsia="宋体" w:cs="宋体"/>
                <w:kern w:val="0"/>
                <w:sz w:val="24"/>
                <w:szCs w:val="24"/>
              </w:rPr>
            </w:pPr>
          </w:p>
        </w:tc>
      </w:tr>
      <w:tr>
        <w:tblPrEx>
          <w:tblCellMar>
            <w:top w:w="0" w:type="dxa"/>
            <w:left w:w="108" w:type="dxa"/>
            <w:bottom w:w="0" w:type="dxa"/>
            <w:right w:w="108" w:type="dxa"/>
          </w:tblCellMar>
        </w:tblPrEx>
        <w:trPr>
          <w:trHeight w:val="288" w:hRule="atLeast"/>
          <w:jc w:val="center"/>
        </w:trPr>
        <w:tc>
          <w:tcPr>
            <w:tcW w:w="226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其他土地</w:t>
            </w:r>
          </w:p>
        </w:tc>
        <w:tc>
          <w:tcPr>
            <w:tcW w:w="92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2306</w:t>
            </w:r>
          </w:p>
        </w:tc>
        <w:tc>
          <w:tcPr>
            <w:tcW w:w="162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裸土地</w:t>
            </w:r>
          </w:p>
        </w:tc>
        <w:tc>
          <w:tcPr>
            <w:tcW w:w="142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6.31 </w:t>
            </w:r>
          </w:p>
        </w:tc>
        <w:tc>
          <w:tcPr>
            <w:tcW w:w="1534"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2.46%</w:t>
            </w:r>
          </w:p>
        </w:tc>
        <w:tc>
          <w:tcPr>
            <w:tcW w:w="1489"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6.31 </w:t>
            </w:r>
          </w:p>
        </w:tc>
        <w:tc>
          <w:tcPr>
            <w:tcW w:w="179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2.46%</w:t>
            </w:r>
          </w:p>
        </w:tc>
        <w:tc>
          <w:tcPr>
            <w:tcW w:w="184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0.00</w:t>
            </w:r>
          </w:p>
        </w:tc>
        <w:tc>
          <w:tcPr>
            <w:tcW w:w="236" w:type="dxa"/>
            <w:vAlign w:val="center"/>
          </w:tcPr>
          <w:p>
            <w:pPr>
              <w:keepNext w:val="0"/>
              <w:keepLines w:val="0"/>
              <w:pageBreakBefore w:val="0"/>
              <w:widowControl/>
              <w:kinsoku/>
              <w:wordWrap/>
              <w:overflowPunct/>
              <w:topLinePunct w:val="0"/>
              <w:bidi w:val="0"/>
              <w:snapToGrid/>
              <w:spacing w:line="480" w:lineRule="auto"/>
              <w:jc w:val="center"/>
              <w:rPr>
                <w:rFonts w:hint="eastAsia" w:ascii="宋体" w:hAnsi="宋体" w:eastAsia="宋体" w:cs="宋体"/>
                <w:kern w:val="0"/>
                <w:sz w:val="24"/>
                <w:szCs w:val="24"/>
              </w:rPr>
            </w:pPr>
          </w:p>
        </w:tc>
      </w:tr>
      <w:tr>
        <w:tblPrEx>
          <w:tblCellMar>
            <w:top w:w="0" w:type="dxa"/>
            <w:left w:w="108" w:type="dxa"/>
            <w:bottom w:w="0" w:type="dxa"/>
            <w:right w:w="108" w:type="dxa"/>
          </w:tblCellMar>
        </w:tblPrEx>
        <w:trPr>
          <w:trHeight w:val="288" w:hRule="atLeast"/>
          <w:jc w:val="center"/>
        </w:trPr>
        <w:tc>
          <w:tcPr>
            <w:tcW w:w="4803"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村域总面积</w:t>
            </w:r>
          </w:p>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p>
        </w:tc>
        <w:tc>
          <w:tcPr>
            <w:tcW w:w="142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256.01 </w:t>
            </w:r>
          </w:p>
        </w:tc>
        <w:tc>
          <w:tcPr>
            <w:tcW w:w="1534"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100.00%</w:t>
            </w:r>
          </w:p>
        </w:tc>
        <w:tc>
          <w:tcPr>
            <w:tcW w:w="1489"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256.01 </w:t>
            </w:r>
          </w:p>
        </w:tc>
        <w:tc>
          <w:tcPr>
            <w:tcW w:w="179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100.00%</w:t>
            </w:r>
          </w:p>
        </w:tc>
        <w:tc>
          <w:tcPr>
            <w:tcW w:w="184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48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0.00</w:t>
            </w:r>
          </w:p>
        </w:tc>
        <w:tc>
          <w:tcPr>
            <w:tcW w:w="236" w:type="dxa"/>
            <w:vAlign w:val="center"/>
          </w:tcPr>
          <w:p>
            <w:pPr>
              <w:keepNext w:val="0"/>
              <w:keepLines w:val="0"/>
              <w:pageBreakBefore w:val="0"/>
              <w:widowControl/>
              <w:kinsoku/>
              <w:wordWrap/>
              <w:overflowPunct/>
              <w:topLinePunct w:val="0"/>
              <w:bidi w:val="0"/>
              <w:snapToGrid/>
              <w:spacing w:line="480" w:lineRule="auto"/>
              <w:jc w:val="center"/>
              <w:rPr>
                <w:rFonts w:hint="eastAsia" w:ascii="宋体" w:hAnsi="宋体" w:eastAsia="宋体" w:cs="宋体"/>
                <w:kern w:val="0"/>
                <w:sz w:val="24"/>
                <w:szCs w:val="24"/>
              </w:rPr>
            </w:pPr>
          </w:p>
        </w:tc>
      </w:tr>
    </w:tbl>
    <w:p>
      <w:pPr>
        <w:pStyle w:val="5"/>
        <w:keepNext w:val="0"/>
        <w:keepLines w:val="0"/>
        <w:pageBreakBefore w:val="0"/>
        <w:kinsoku/>
        <w:wordWrap/>
        <w:overflowPunct/>
        <w:topLinePunct w:val="0"/>
        <w:bidi w:val="0"/>
        <w:snapToGrid/>
        <w:spacing w:line="480" w:lineRule="auto"/>
        <w:ind w:right="48"/>
        <w:jc w:val="center"/>
        <w:rPr>
          <w:rFonts w:hint="eastAsia" w:ascii="宋体" w:hAnsi="宋体" w:eastAsia="宋体" w:cs="宋体"/>
          <w:color w:val="000000"/>
          <w:sz w:val="24"/>
          <w:szCs w:val="24"/>
          <w:lang w:eastAsia="zh-CN"/>
        </w:rPr>
      </w:pPr>
    </w:p>
    <w:p>
      <w:pPr>
        <w:keepNext w:val="0"/>
        <w:keepLines w:val="0"/>
        <w:pageBreakBefore w:val="0"/>
        <w:widowControl/>
        <w:shd w:val="clear" w:color="auto" w:fill="FFFFFF"/>
        <w:kinsoku/>
        <w:wordWrap/>
        <w:overflowPunct/>
        <w:topLinePunct w:val="0"/>
        <w:bidi w:val="0"/>
        <w:snapToGrid/>
        <w:spacing w:line="48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6.产业发展规划：</w:t>
      </w:r>
    </w:p>
    <w:p>
      <w:pPr>
        <w:keepNext w:val="0"/>
        <w:keepLines w:val="0"/>
        <w:pageBreakBefore w:val="0"/>
        <w:kinsoku/>
        <w:wordWrap/>
        <w:overflowPunct/>
        <w:topLinePunct w:val="0"/>
        <w:bidi w:val="0"/>
        <w:snapToGrid/>
        <w:spacing w:line="480" w:lineRule="auto"/>
        <w:ind w:firstLine="48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巴牙村形成“两带多片区”的产业布局结构。</w:t>
      </w:r>
    </w:p>
    <w:p>
      <w:pPr>
        <w:keepNext w:val="0"/>
        <w:keepLines w:val="0"/>
        <w:pageBreakBefore w:val="0"/>
        <w:kinsoku/>
        <w:wordWrap/>
        <w:overflowPunct/>
        <w:topLinePunct w:val="0"/>
        <w:bidi w:val="0"/>
        <w:snapToGrid/>
        <w:spacing w:line="480" w:lineRule="auto"/>
        <w:ind w:firstLine="48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“两带”为两条农产品对外销售带。重点依托锁蒿公路以及安临公路两条对外公路，分别服务于巴牙村三社居民以及四、五社居民的对外农产品销售运输带。</w:t>
      </w:r>
    </w:p>
    <w:p>
      <w:pPr>
        <w:keepNext w:val="0"/>
        <w:keepLines w:val="0"/>
        <w:pageBreakBefore w:val="0"/>
        <w:kinsoku/>
        <w:wordWrap/>
        <w:overflowPunct/>
        <w:topLinePunct w:val="0"/>
        <w:bidi w:val="0"/>
        <w:snapToGrid/>
        <w:spacing w:line="480" w:lineRule="auto"/>
        <w:ind w:firstLine="48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多片区”分别是传统农作物种植区、家庭畜牧养殖区以及特色经济作物种植区。其中传统农作物种植区以现状巴牙村玉米及马铃薯种植区为基础，继续推进玉米及马铃薯等传统农作物种植，保障粮食生产安全；家庭畜牧养殖区依托现状巴牙村以牛、羊为主的养殖现状，以合作社养殖区为核心，形成合作社集中养殖以及农户分散养殖相结合的畜牧养殖区；特色经济作物种植区依托上位规划对于金银花养殖提出的科学化布局、集约化种植、标准化生产，逐步走向精深化加工、品牌化营销的发展思路，推动村庄金银花种植标准化，规模化。</w:t>
      </w:r>
    </w:p>
    <w:p>
      <w:pPr>
        <w:keepNext w:val="0"/>
        <w:keepLines w:val="0"/>
        <w:pageBreakBefore w:val="0"/>
        <w:widowControl/>
        <w:shd w:val="clear" w:color="auto" w:fill="FFFFFF"/>
        <w:kinsoku/>
        <w:wordWrap/>
        <w:overflowPunct/>
        <w:topLinePunct w:val="0"/>
        <w:bidi w:val="0"/>
        <w:snapToGrid/>
        <w:spacing w:line="480" w:lineRule="auto"/>
        <w:ind w:firstLine="480" w:firstLineChars="20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7.居民点布局：规划在村社居民点分散预留宅基地，综合考虑村内分户需求以及兰永临高速建设影响，合计规划预留新增宅基地6宗。</w:t>
      </w:r>
    </w:p>
    <w:p>
      <w:pPr>
        <w:keepNext w:val="0"/>
        <w:keepLines w:val="0"/>
        <w:pageBreakBefore w:val="0"/>
        <w:widowControl/>
        <w:shd w:val="clear" w:color="auto" w:fill="FFFFFF"/>
        <w:kinsoku/>
        <w:wordWrap/>
        <w:overflowPunct/>
        <w:topLinePunct w:val="0"/>
        <w:bidi w:val="0"/>
        <w:snapToGrid/>
        <w:spacing w:line="480" w:lineRule="auto"/>
        <w:ind w:firstLine="480" w:firstLineChars="20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8．建设管控和风貌引导：本次规划对全村域的建筑、庭院、河流水系、道路、入口形象、小品景观、铺装等方面提出风貌引导措施与整治建设要求，并针对民居的宅前屋后环境和庭院环境进行重点整治引导。</w:t>
      </w:r>
    </w:p>
    <w:p>
      <w:pPr>
        <w:keepNext w:val="0"/>
        <w:keepLines w:val="0"/>
        <w:pageBreakBefore w:val="0"/>
        <w:widowControl/>
        <w:shd w:val="clear" w:color="auto" w:fill="FFFFFF"/>
        <w:kinsoku/>
        <w:wordWrap/>
        <w:overflowPunct/>
        <w:topLinePunct w:val="0"/>
        <w:bidi w:val="0"/>
        <w:snapToGrid/>
        <w:spacing w:line="480" w:lineRule="auto"/>
        <w:jc w:val="left"/>
        <w:rPr>
          <w:rFonts w:hint="eastAsia" w:ascii="宋体" w:hAnsi="宋体" w:eastAsia="宋体" w:cs="宋体"/>
          <w:b/>
          <w:color w:val="000000"/>
          <w:kern w:val="0"/>
          <w:sz w:val="24"/>
          <w:szCs w:val="24"/>
        </w:rPr>
      </w:pPr>
      <w:r>
        <w:rPr>
          <w:rFonts w:hint="eastAsia" w:ascii="宋体" w:hAnsi="宋体" w:eastAsia="宋体" w:cs="宋体"/>
          <w:color w:val="000000"/>
          <w:kern w:val="0"/>
          <w:sz w:val="24"/>
          <w:szCs w:val="24"/>
        </w:rPr>
        <w:t>　　</w:t>
      </w:r>
      <w:r>
        <w:rPr>
          <w:rFonts w:hint="eastAsia" w:ascii="宋体" w:hAnsi="宋体" w:eastAsia="宋体" w:cs="宋体"/>
          <w:b/>
          <w:color w:val="000000"/>
          <w:kern w:val="0"/>
          <w:sz w:val="24"/>
          <w:szCs w:val="24"/>
        </w:rPr>
        <w:t>二、公示时间</w:t>
      </w:r>
    </w:p>
    <w:p>
      <w:pPr>
        <w:keepNext w:val="0"/>
        <w:keepLines w:val="0"/>
        <w:pageBreakBefore w:val="0"/>
        <w:widowControl/>
        <w:shd w:val="clear" w:color="auto" w:fill="FFFFFF"/>
        <w:kinsoku/>
        <w:wordWrap/>
        <w:overflowPunct/>
        <w:topLinePunct w:val="0"/>
        <w:bidi w:val="0"/>
        <w:snapToGrid/>
        <w:spacing w:line="480" w:lineRule="auto"/>
        <w:jc w:val="left"/>
        <w:rPr>
          <w:rFonts w:hint="eastAsia" w:ascii="宋体" w:hAnsi="宋体" w:eastAsia="宋体" w:cs="宋体"/>
          <w:kern w:val="0"/>
          <w:sz w:val="24"/>
          <w:szCs w:val="24"/>
        </w:rPr>
      </w:pPr>
      <w:r>
        <w:rPr>
          <w:rFonts w:hint="eastAsia" w:ascii="宋体" w:hAnsi="宋体" w:eastAsia="宋体" w:cs="宋体"/>
          <w:kern w:val="0"/>
          <w:sz w:val="24"/>
          <w:szCs w:val="24"/>
        </w:rPr>
        <w:t>　　2022年9月28日——2022年10月28日（30日）</w:t>
      </w:r>
    </w:p>
    <w:p>
      <w:pPr>
        <w:keepNext w:val="0"/>
        <w:keepLines w:val="0"/>
        <w:pageBreakBefore w:val="0"/>
        <w:widowControl/>
        <w:shd w:val="clear" w:color="auto" w:fill="FFFFFF"/>
        <w:kinsoku/>
        <w:wordWrap/>
        <w:overflowPunct/>
        <w:topLinePunct w:val="0"/>
        <w:bidi w:val="0"/>
        <w:snapToGrid/>
        <w:spacing w:line="480" w:lineRule="auto"/>
        <w:jc w:val="left"/>
        <w:rPr>
          <w:rFonts w:hint="eastAsia" w:ascii="宋体" w:hAnsi="宋体" w:eastAsia="宋体" w:cs="宋体"/>
          <w:b/>
          <w:kern w:val="0"/>
          <w:sz w:val="24"/>
          <w:szCs w:val="24"/>
        </w:rPr>
      </w:pPr>
      <w:r>
        <w:rPr>
          <w:rFonts w:hint="eastAsia" w:ascii="宋体" w:hAnsi="宋体" w:eastAsia="宋体" w:cs="宋体"/>
          <w:kern w:val="0"/>
          <w:sz w:val="24"/>
          <w:szCs w:val="24"/>
        </w:rPr>
        <w:t>　　</w:t>
      </w:r>
      <w:r>
        <w:rPr>
          <w:rFonts w:hint="eastAsia" w:ascii="宋体" w:hAnsi="宋体" w:eastAsia="宋体" w:cs="宋体"/>
          <w:b/>
          <w:kern w:val="0"/>
          <w:sz w:val="24"/>
          <w:szCs w:val="24"/>
        </w:rPr>
        <w:t>三、提交意见方式</w:t>
      </w:r>
    </w:p>
    <w:p>
      <w:pPr>
        <w:pStyle w:val="8"/>
        <w:keepNext w:val="0"/>
        <w:keepLines w:val="0"/>
        <w:pageBreakBefore w:val="0"/>
        <w:widowControl/>
        <w:kinsoku/>
        <w:wordWrap/>
        <w:overflowPunct/>
        <w:topLinePunct w:val="0"/>
        <w:bidi w:val="0"/>
        <w:snapToGrid/>
        <w:spacing w:beforeAutospacing="0" w:afterAutospacing="0" w:line="480" w:lineRule="auto"/>
        <w:ind w:firstLine="420"/>
        <w:rPr>
          <w:rFonts w:hint="eastAsia" w:ascii="宋体" w:hAnsi="宋体" w:eastAsia="宋体" w:cs="宋体"/>
          <w:sz w:val="24"/>
          <w:szCs w:val="24"/>
        </w:rPr>
      </w:pPr>
      <w:r>
        <w:rPr>
          <w:rFonts w:hint="eastAsia" w:ascii="宋体" w:hAnsi="宋体" w:eastAsia="宋体" w:cs="宋体"/>
          <w:sz w:val="24"/>
          <w:szCs w:val="24"/>
        </w:rPr>
        <w:t>（一）电子邮箱：9813355063</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"mailto:1173682883@qq.com%E3%80%82" </w:instrText>
      </w:r>
      <w:r>
        <w:rPr>
          <w:rFonts w:hint="eastAsia" w:ascii="宋体" w:hAnsi="宋体" w:eastAsia="宋体" w:cs="宋体"/>
          <w:sz w:val="24"/>
          <w:szCs w:val="24"/>
        </w:rPr>
        <w:fldChar w:fldCharType="separate"/>
      </w:r>
      <w:r>
        <w:rPr>
          <w:rStyle w:val="11"/>
          <w:rFonts w:hint="eastAsia" w:ascii="宋体" w:hAnsi="宋体" w:eastAsia="宋体" w:cs="宋体"/>
          <w:color w:val="auto"/>
          <w:sz w:val="24"/>
          <w:szCs w:val="24"/>
          <w:u w:val="none"/>
        </w:rPr>
        <w:t>@qq.com。</w:t>
      </w:r>
      <w:r>
        <w:rPr>
          <w:rStyle w:val="11"/>
          <w:rFonts w:hint="eastAsia" w:ascii="宋体" w:hAnsi="宋体" w:eastAsia="宋体" w:cs="宋体"/>
          <w:color w:val="auto"/>
          <w:sz w:val="24"/>
          <w:szCs w:val="24"/>
          <w:u w:val="none"/>
        </w:rPr>
        <w:fldChar w:fldCharType="end"/>
      </w:r>
    </w:p>
    <w:p>
      <w:pPr>
        <w:pStyle w:val="8"/>
        <w:keepNext w:val="0"/>
        <w:keepLines w:val="0"/>
        <w:pageBreakBefore w:val="0"/>
        <w:widowControl/>
        <w:kinsoku/>
        <w:wordWrap/>
        <w:overflowPunct/>
        <w:topLinePunct w:val="0"/>
        <w:bidi w:val="0"/>
        <w:snapToGrid/>
        <w:spacing w:beforeAutospacing="0" w:afterAutospacing="0" w:line="480" w:lineRule="auto"/>
        <w:ind w:firstLine="420"/>
        <w:rPr>
          <w:rFonts w:hint="eastAsia" w:ascii="宋体" w:hAnsi="宋体" w:eastAsia="宋体" w:cs="宋体"/>
          <w:sz w:val="24"/>
          <w:szCs w:val="24"/>
        </w:rPr>
      </w:pPr>
      <w:r>
        <w:rPr>
          <w:rFonts w:hint="eastAsia" w:ascii="宋体" w:hAnsi="宋体" w:eastAsia="宋体" w:cs="宋体"/>
          <w:sz w:val="24"/>
          <w:szCs w:val="24"/>
        </w:rPr>
        <w:t>（二）书面意见：锁南镇人民政府 东乡县自然资源局。</w:t>
      </w:r>
    </w:p>
    <w:p>
      <w:pPr>
        <w:pStyle w:val="8"/>
        <w:keepNext w:val="0"/>
        <w:keepLines w:val="0"/>
        <w:pageBreakBefore w:val="0"/>
        <w:widowControl/>
        <w:kinsoku/>
        <w:wordWrap/>
        <w:overflowPunct/>
        <w:topLinePunct w:val="0"/>
        <w:bidi w:val="0"/>
        <w:snapToGrid/>
        <w:spacing w:beforeAutospacing="0" w:afterAutospacing="0" w:line="480" w:lineRule="auto"/>
        <w:ind w:firstLine="420"/>
        <w:rPr>
          <w:rFonts w:hint="eastAsia" w:ascii="宋体" w:hAnsi="宋体" w:eastAsia="宋体" w:cs="宋体"/>
          <w:sz w:val="24"/>
          <w:szCs w:val="24"/>
        </w:rPr>
      </w:pPr>
      <w:r>
        <w:rPr>
          <w:rFonts w:hint="eastAsia" w:ascii="宋体" w:hAnsi="宋体" w:eastAsia="宋体" w:cs="宋体"/>
          <w:sz w:val="24"/>
          <w:szCs w:val="24"/>
        </w:rPr>
        <w:t>（三）咨询电话：马翠梅    15109308825。</w:t>
      </w:r>
    </w:p>
    <w:p>
      <w:pPr>
        <w:pStyle w:val="8"/>
        <w:keepNext w:val="0"/>
        <w:keepLines w:val="0"/>
        <w:pageBreakBefore w:val="0"/>
        <w:widowControl/>
        <w:kinsoku/>
        <w:wordWrap/>
        <w:overflowPunct/>
        <w:topLinePunct w:val="0"/>
        <w:bidi w:val="0"/>
        <w:snapToGrid/>
        <w:spacing w:beforeAutospacing="0" w:afterAutospacing="0" w:line="480" w:lineRule="auto"/>
        <w:ind w:firstLine="420"/>
        <w:rPr>
          <w:rFonts w:hint="eastAsia" w:ascii="宋体" w:hAnsi="宋体" w:eastAsia="宋体" w:cs="宋体"/>
          <w:color w:val="333333"/>
          <w:sz w:val="24"/>
          <w:szCs w:val="24"/>
        </w:rPr>
      </w:pPr>
      <w:r>
        <w:rPr>
          <w:rFonts w:hint="eastAsia" w:ascii="宋体" w:hAnsi="宋体" w:eastAsia="宋体" w:cs="宋体"/>
          <w:color w:val="333333"/>
          <w:sz w:val="24"/>
          <w:szCs w:val="24"/>
        </w:rPr>
        <w:t>（四）意见和建议应在公示期限内提出，逾期未反馈，将视为无意见。</w:t>
      </w:r>
    </w:p>
    <w:p>
      <w:pPr>
        <w:keepNext w:val="0"/>
        <w:keepLines w:val="0"/>
        <w:pageBreakBefore w:val="0"/>
        <w:widowControl/>
        <w:shd w:val="clear" w:color="auto" w:fill="FFFFFF"/>
        <w:kinsoku/>
        <w:wordWrap/>
        <w:overflowPunct/>
        <w:topLinePunct w:val="0"/>
        <w:bidi w:val="0"/>
        <w:snapToGrid/>
        <w:spacing w:line="480" w:lineRule="auto"/>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rPr>
        <w:t>东乡族自治县自然资源局</w:t>
      </w:r>
    </w:p>
    <w:p>
      <w:pPr>
        <w:keepNext w:val="0"/>
        <w:keepLines w:val="0"/>
        <w:pageBreakBefore w:val="0"/>
        <w:widowControl/>
        <w:shd w:val="clear" w:color="auto" w:fill="FFFFFF"/>
        <w:kinsoku/>
        <w:wordWrap/>
        <w:overflowPunct/>
        <w:topLinePunct w:val="0"/>
        <w:bidi w:val="0"/>
        <w:snapToGrid/>
        <w:spacing w:line="480" w:lineRule="auto"/>
        <w:jc w:val="center"/>
        <w:rPr>
          <w:rFonts w:hint="eastAsia" w:ascii="宋体" w:hAnsi="宋体" w:eastAsia="宋体" w:cs="宋体"/>
          <w:color w:val="FF0000"/>
          <w:sz w:val="24"/>
          <w:szCs w:val="24"/>
        </w:rPr>
      </w:pPr>
      <w:r>
        <w:rPr>
          <w:rFonts w:hint="eastAsia" w:ascii="宋体" w:hAnsi="宋体" w:eastAsia="宋体" w:cs="宋体"/>
          <w:color w:val="000000"/>
          <w:kern w:val="0"/>
          <w:sz w:val="24"/>
          <w:szCs w:val="24"/>
          <w:lang w:val="en-US" w:eastAsia="zh-CN"/>
        </w:rPr>
        <w:t xml:space="preserve">                                                        </w:t>
      </w:r>
      <w:bookmarkStart w:id="1" w:name="_GoBack"/>
      <w:bookmarkEnd w:id="1"/>
      <w:r>
        <w:rPr>
          <w:rFonts w:hint="eastAsia" w:ascii="宋体" w:hAnsi="宋体" w:eastAsia="宋体" w:cs="宋体"/>
          <w:sz w:val="24"/>
          <w:szCs w:val="24"/>
        </w:rPr>
        <w:t>2022年9月28日</w:t>
      </w:r>
    </w:p>
    <w:p>
      <w:pPr>
        <w:keepNext w:val="0"/>
        <w:keepLines w:val="0"/>
        <w:pageBreakBefore w:val="0"/>
        <w:widowControl/>
        <w:kinsoku/>
        <w:wordWrap/>
        <w:overflowPunct/>
        <w:topLinePunct w:val="0"/>
        <w:bidi w:val="0"/>
        <w:snapToGrid/>
        <w:spacing w:line="480" w:lineRule="auto"/>
        <w:jc w:val="left"/>
        <w:rPr>
          <w:rFonts w:hint="eastAsia" w:ascii="宋体" w:hAnsi="宋体" w:eastAsia="宋体" w:cs="宋体"/>
          <w:color w:val="FF0000"/>
          <w:sz w:val="24"/>
          <w:szCs w:val="24"/>
        </w:rPr>
      </w:pPr>
      <w:r>
        <w:rPr>
          <w:rFonts w:hint="eastAsia" w:ascii="宋体" w:hAnsi="宋体" w:eastAsia="宋体" w:cs="宋体"/>
          <w:color w:val="FF0000"/>
          <w:sz w:val="24"/>
          <w:szCs w:val="24"/>
        </w:rPr>
        <w:br w:type="page"/>
      </w:r>
    </w:p>
    <w:p>
      <w:pPr>
        <w:jc w:val="center"/>
      </w:pPr>
      <w:r>
        <w:drawing>
          <wp:inline distT="0" distB="0" distL="0" distR="0">
            <wp:extent cx="8406130" cy="59334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8406130" cy="5933440"/>
                    </a:xfrm>
                    <a:prstGeom prst="rect">
                      <a:avLst/>
                    </a:prstGeom>
                    <a:noFill/>
                    <a:ln>
                      <a:noFill/>
                    </a:ln>
                  </pic:spPr>
                </pic:pic>
              </a:graphicData>
            </a:graphic>
          </wp:inline>
        </w:drawing>
      </w:r>
    </w:p>
    <w:p>
      <w:pPr>
        <w:jc w:val="center"/>
      </w:pPr>
      <w:r>
        <w:drawing>
          <wp:inline distT="0" distB="0" distL="0" distR="0">
            <wp:extent cx="8406130" cy="59334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8406130" cy="5933440"/>
                    </a:xfrm>
                    <a:prstGeom prst="rect">
                      <a:avLst/>
                    </a:prstGeom>
                    <a:noFill/>
                    <a:ln>
                      <a:noFill/>
                    </a:ln>
                  </pic:spPr>
                </pic:pic>
              </a:graphicData>
            </a:graphic>
          </wp:inline>
        </w:drawing>
      </w:r>
      <w: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t xml:space="preserve"> </w:t>
      </w:r>
      <w:r>
        <w:drawing>
          <wp:inline distT="0" distB="0" distL="0" distR="0">
            <wp:extent cx="8406130" cy="5936615"/>
            <wp:effectExtent l="0" t="0" r="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8406130" cy="5936615"/>
                    </a:xfrm>
                    <a:prstGeom prst="rect">
                      <a:avLst/>
                    </a:prstGeom>
                    <a:noFill/>
                    <a:ln>
                      <a:noFill/>
                    </a:ln>
                  </pic:spPr>
                </pic:pic>
              </a:graphicData>
            </a:graphic>
          </wp:inline>
        </w:drawing>
      </w:r>
    </w:p>
    <w:sectPr>
      <w:pgSz w:w="16838" w:h="23811"/>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JlMzA4ZGQ2MzdkZDU5NjYwNGNkODZkNmZmM2MyNzYifQ=="/>
  </w:docVars>
  <w:rsids>
    <w:rsidRoot w:val="00953A3F"/>
    <w:rsid w:val="00015DC5"/>
    <w:rsid w:val="000C27BC"/>
    <w:rsid w:val="00154CD5"/>
    <w:rsid w:val="001678AB"/>
    <w:rsid w:val="001715C4"/>
    <w:rsid w:val="001C5F87"/>
    <w:rsid w:val="00203989"/>
    <w:rsid w:val="00267DA1"/>
    <w:rsid w:val="002A16B7"/>
    <w:rsid w:val="002C5E02"/>
    <w:rsid w:val="002E6BA0"/>
    <w:rsid w:val="002F6D95"/>
    <w:rsid w:val="00300C9C"/>
    <w:rsid w:val="0031560B"/>
    <w:rsid w:val="00332F3F"/>
    <w:rsid w:val="00341D47"/>
    <w:rsid w:val="00371D88"/>
    <w:rsid w:val="00382211"/>
    <w:rsid w:val="003C0EFF"/>
    <w:rsid w:val="003F3731"/>
    <w:rsid w:val="004016B4"/>
    <w:rsid w:val="004F0222"/>
    <w:rsid w:val="004F6D5E"/>
    <w:rsid w:val="00520A7F"/>
    <w:rsid w:val="0053162E"/>
    <w:rsid w:val="005E213C"/>
    <w:rsid w:val="00606A69"/>
    <w:rsid w:val="006B799E"/>
    <w:rsid w:val="006C59CB"/>
    <w:rsid w:val="0077751A"/>
    <w:rsid w:val="00782D48"/>
    <w:rsid w:val="007C271E"/>
    <w:rsid w:val="007C27F6"/>
    <w:rsid w:val="0080622A"/>
    <w:rsid w:val="00822C67"/>
    <w:rsid w:val="0083615B"/>
    <w:rsid w:val="008838CC"/>
    <w:rsid w:val="00900A40"/>
    <w:rsid w:val="00916313"/>
    <w:rsid w:val="0091713B"/>
    <w:rsid w:val="009503A1"/>
    <w:rsid w:val="00953A3F"/>
    <w:rsid w:val="00955763"/>
    <w:rsid w:val="00957EA0"/>
    <w:rsid w:val="0099670D"/>
    <w:rsid w:val="00997794"/>
    <w:rsid w:val="009A0460"/>
    <w:rsid w:val="009D3512"/>
    <w:rsid w:val="009E6028"/>
    <w:rsid w:val="009E6C25"/>
    <w:rsid w:val="009F0F03"/>
    <w:rsid w:val="00A23DEB"/>
    <w:rsid w:val="00A3116E"/>
    <w:rsid w:val="00AF1061"/>
    <w:rsid w:val="00B35B6E"/>
    <w:rsid w:val="00B36270"/>
    <w:rsid w:val="00BE23CF"/>
    <w:rsid w:val="00C05ACA"/>
    <w:rsid w:val="00C536CC"/>
    <w:rsid w:val="00CF2E54"/>
    <w:rsid w:val="00CF444D"/>
    <w:rsid w:val="00D00309"/>
    <w:rsid w:val="00D314E9"/>
    <w:rsid w:val="00DB6896"/>
    <w:rsid w:val="00DB6DB6"/>
    <w:rsid w:val="00DE0206"/>
    <w:rsid w:val="00E43E57"/>
    <w:rsid w:val="00EB0F43"/>
    <w:rsid w:val="00EF1EEE"/>
    <w:rsid w:val="00F63F81"/>
    <w:rsid w:val="00FB3BD1"/>
    <w:rsid w:val="15C42AD2"/>
    <w:rsid w:val="22E4722A"/>
    <w:rsid w:val="36601F88"/>
    <w:rsid w:val="40744E7D"/>
    <w:rsid w:val="419802A6"/>
    <w:rsid w:val="55BE04B4"/>
    <w:rsid w:val="6885384B"/>
    <w:rsid w:val="731C6D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qFormat="1" w:unhideWhenUsed="0" w:uiPriority="0" w:semiHidden="0"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2">
    <w:name w:val="index heading"/>
    <w:next w:val="3"/>
    <w:qFormat/>
    <w:uiPriority w:val="0"/>
    <w:pPr>
      <w:widowControl w:val="0"/>
      <w:spacing w:after="120"/>
      <w:ind w:firstLine="1120" w:firstLineChars="200"/>
    </w:pPr>
    <w:rPr>
      <w:rFonts w:ascii="Arial" w:hAnsi="Arial" w:eastAsia="黑体" w:cs="Arial"/>
      <w:sz w:val="21"/>
      <w:szCs w:val="22"/>
      <w:lang w:val="en-US" w:eastAsia="en-US" w:bidi="ar-SA"/>
    </w:rPr>
  </w:style>
  <w:style w:type="paragraph" w:styleId="3">
    <w:name w:val="index 1"/>
    <w:next w:val="1"/>
    <w:qFormat/>
    <w:uiPriority w:val="0"/>
    <w:pPr>
      <w:widowControl w:val="0"/>
      <w:spacing w:after="120" w:line="400" w:lineRule="exact"/>
      <w:ind w:firstLine="1120" w:firstLineChars="200"/>
    </w:pPr>
    <w:rPr>
      <w:rFonts w:ascii="宋体" w:hAnsi="宋体" w:eastAsia="宋体" w:cs="Times New Roman"/>
      <w:sz w:val="28"/>
      <w:szCs w:val="28"/>
      <w:lang w:val="en-US" w:eastAsia="en-US" w:bidi="ar-SA"/>
    </w:rPr>
  </w:style>
  <w:style w:type="paragraph" w:styleId="4">
    <w:name w:val="caption"/>
    <w:basedOn w:val="1"/>
    <w:next w:val="1"/>
    <w:unhideWhenUsed/>
    <w:qFormat/>
    <w:uiPriority w:val="0"/>
    <w:pPr>
      <w:jc w:val="center"/>
    </w:pPr>
    <w:rPr>
      <w:rFonts w:eastAsia="黑体" w:asciiTheme="majorHAnsi" w:hAnsiTheme="majorHAnsi" w:cstheme="majorBidi"/>
      <w:sz w:val="20"/>
      <w:szCs w:val="20"/>
    </w:rPr>
  </w:style>
  <w:style w:type="paragraph" w:styleId="5">
    <w:name w:val="Body Text"/>
    <w:basedOn w:val="1"/>
    <w:link w:val="12"/>
    <w:qFormat/>
    <w:uiPriority w:val="1"/>
    <w:pPr>
      <w:autoSpaceDE w:val="0"/>
      <w:autoSpaceDN w:val="0"/>
      <w:jc w:val="left"/>
    </w:pPr>
    <w:rPr>
      <w:rFonts w:ascii="宋体" w:hAnsi="宋体" w:eastAsia="宋体" w:cs="宋体"/>
      <w:kern w:val="0"/>
      <w:sz w:val="24"/>
      <w:szCs w:val="24"/>
      <w:lang w:eastAsia="en-US"/>
    </w:rPr>
  </w:style>
  <w:style w:type="paragraph" w:styleId="6">
    <w:name w:val="footer"/>
    <w:basedOn w:val="1"/>
    <w:link w:val="16"/>
    <w:unhideWhenUsed/>
    <w:qFormat/>
    <w:uiPriority w:val="99"/>
    <w:pPr>
      <w:tabs>
        <w:tab w:val="center" w:pos="4153"/>
        <w:tab w:val="right" w:pos="8306"/>
      </w:tabs>
      <w:snapToGrid w:val="0"/>
      <w:jc w:val="left"/>
    </w:pPr>
    <w:rPr>
      <w:sz w:val="18"/>
      <w:szCs w:val="18"/>
    </w:rPr>
  </w:style>
  <w:style w:type="paragraph" w:styleId="7">
    <w:name w:val="header"/>
    <w:basedOn w:val="1"/>
    <w:link w:val="15"/>
    <w:unhideWhenUsed/>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pPr>
      <w:spacing w:beforeAutospacing="1" w:afterAutospacing="1"/>
      <w:jc w:val="left"/>
    </w:pPr>
    <w:rPr>
      <w:rFonts w:cs="Times New Roman"/>
      <w:kern w:val="0"/>
      <w:sz w:val="24"/>
    </w:rPr>
  </w:style>
  <w:style w:type="character" w:styleId="11">
    <w:name w:val="Hyperlink"/>
    <w:basedOn w:val="10"/>
    <w:semiHidden/>
    <w:unhideWhenUsed/>
    <w:qFormat/>
    <w:uiPriority w:val="99"/>
    <w:rPr>
      <w:color w:val="0000FF"/>
      <w:u w:val="single"/>
    </w:rPr>
  </w:style>
  <w:style w:type="character" w:customStyle="1" w:styleId="12">
    <w:name w:val="正文文本 字符"/>
    <w:basedOn w:val="10"/>
    <w:link w:val="5"/>
    <w:qFormat/>
    <w:uiPriority w:val="1"/>
    <w:rPr>
      <w:rFonts w:ascii="宋体" w:hAnsi="宋体" w:eastAsia="宋体" w:cs="宋体"/>
      <w:kern w:val="0"/>
      <w:sz w:val="24"/>
      <w:szCs w:val="24"/>
      <w:lang w:eastAsia="en-US"/>
    </w:rPr>
  </w:style>
  <w:style w:type="paragraph" w:customStyle="1" w:styleId="13">
    <w:name w:val="Default"/>
    <w:qFormat/>
    <w:uiPriority w:val="0"/>
    <w:pPr>
      <w:widowControl w:val="0"/>
      <w:autoSpaceDE w:val="0"/>
      <w:autoSpaceDN w:val="0"/>
      <w:adjustRightInd w:val="0"/>
    </w:pPr>
    <w:rPr>
      <w:rFonts w:ascii="仿宋_GB2312" w:eastAsia="仿宋_GB2312" w:cs="仿宋_GB2312" w:hAnsiTheme="minorHAnsi"/>
      <w:color w:val="000000"/>
      <w:sz w:val="24"/>
      <w:szCs w:val="24"/>
      <w:lang w:val="en-US" w:eastAsia="zh-CN" w:bidi="ar-SA"/>
    </w:rPr>
  </w:style>
  <w:style w:type="paragraph" w:styleId="14">
    <w:name w:val="List Paragraph"/>
    <w:basedOn w:val="1"/>
    <w:qFormat/>
    <w:uiPriority w:val="34"/>
    <w:pPr>
      <w:spacing w:line="336" w:lineRule="auto"/>
      <w:ind w:firstLine="200" w:firstLineChars="200"/>
    </w:pPr>
    <w:rPr>
      <w:sz w:val="24"/>
    </w:rPr>
  </w:style>
  <w:style w:type="character" w:customStyle="1" w:styleId="15">
    <w:name w:val="页眉 字符"/>
    <w:basedOn w:val="10"/>
    <w:link w:val="7"/>
    <w:uiPriority w:val="99"/>
    <w:rPr>
      <w:rFonts w:asciiTheme="minorHAnsi" w:hAnsiTheme="minorHAnsi" w:eastAsiaTheme="minorEastAsia" w:cstheme="minorBidi"/>
      <w:kern w:val="2"/>
      <w:sz w:val="18"/>
      <w:szCs w:val="18"/>
    </w:rPr>
  </w:style>
  <w:style w:type="character" w:customStyle="1" w:styleId="16">
    <w:name w:val="页脚 字符"/>
    <w:basedOn w:val="10"/>
    <w:link w:val="6"/>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1624</Words>
  <Characters>2121</Characters>
  <Lines>18</Lines>
  <Paragraphs>5</Paragraphs>
  <TotalTime>1</TotalTime>
  <ScaleCrop>false</ScaleCrop>
  <LinksUpToDate>false</LinksUpToDate>
  <CharactersWithSpaces>2324</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2022-11-07T04:39:00Z</dcterms:created>
  <dc:creator>lee gang</dc:creator>
  <cp:lastModifiedBy>恶狼追梦</cp:lastModifiedBy>
  <dcterms:modified xsi:type="dcterms:W3CDTF">2022-11-07T15:57:55Z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47D946B7757A467683E02AD329DEF6DB</vt:lpwstr>
  </property>
</Properties>
</file>