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val="en-US" w:eastAsia="zh-CN"/>
        </w:rPr>
        <w:t>东乡县纪委监委</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widowControl/>
        <w:suppressLineNumbers w:val="0"/>
        <w:jc w:val="left"/>
      </w:pPr>
      <w:r>
        <w:rPr>
          <w:rFonts w:ascii="仿宋" w:hAnsi="仿宋" w:eastAsia="仿宋" w:cs="仿宋"/>
          <w:color w:val="000000"/>
          <w:kern w:val="0"/>
          <w:sz w:val="34"/>
          <w:szCs w:val="34"/>
          <w:lang w:val="en-US" w:eastAsia="zh-CN" w:bidi="ar"/>
        </w:rPr>
        <w:t xml:space="preserve">（一）负责全县党的纪律检查工作。 （二）依照党的章程和其他党内法规履行监督、执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纪、问责职责。（三）在州委巡察工作领导小组和县委的领导下组织开展巡察工作。 （四）负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责全县监察工作。 （五）依照法律规定履行监督、调查、处置职责。推动开展廉政教育，对县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委管理的行使公权力的公职人员依法履职、秉公用权、廉洁从政从业以及道操守情况进行监督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检查；对涉嫌贪污贿赂、滥用职权、玩忽职守、权力寻租、利益输送、徇私舞弊以及浪费国家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资财等职务违法和职务犯罪进行调查；对违法的公职人员依法作出政务处分决定；对履行职责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不力、失职失责的领导人员进行问责；对涉嫌职务犯罪的，将调查结果移送人民检察院依法审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查、提起公诉；向监察对象所在单位提出监察建议。 （六）负责组织协调全县全面从严治党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、党风廉政建设和反腐败宣传教育工作。 （七）负责综合分析全县全面从严治党、党风廉政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建设和反腐败工作情况，对纪检监察工作重要理论及实践问题进行调查研究；制定或者修改纪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检监察规章制度，参与起草制定相关法规和规范性文件。 （八）根据干部管理权限，负责全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县纪检监察系统领导班子建设、关干部队伍建设和组织建设的综合规划、政策研究、制度建设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和业务指导；会同有关方面做好县委巡察机构、县纪委监委派驻（出）机构、乡镇纪委、县管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企事业单位纪检监察机构领导班子建设有关工作；组织和指导干部教育培训工作等。 （九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）完成州纪委监委和县委交办的其他任务。 </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widowControl/>
        <w:suppressLineNumbers w:val="0"/>
        <w:jc w:val="left"/>
      </w:pPr>
      <w:r>
        <w:rPr>
          <w:rFonts w:ascii="仿宋" w:hAnsi="仿宋" w:eastAsia="仿宋" w:cs="仿宋"/>
          <w:color w:val="000000"/>
          <w:kern w:val="0"/>
          <w:sz w:val="34"/>
          <w:szCs w:val="34"/>
          <w:lang w:val="en-US" w:eastAsia="zh-CN" w:bidi="ar"/>
        </w:rPr>
        <w:t xml:space="preserve">县纪委监委机关设下列内设机构（均为正科级行政建制）。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（一）办公室。。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（二）党风政风监督室。（三）信访室。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（四）案件监督管理室（加挂县委反腐败协调小组办公室牌子）。（五）第一至第六纪检监察 </w:t>
      </w:r>
    </w:p>
    <w:p>
      <w:pPr>
        <w:keepNext w:val="0"/>
        <w:keepLines w:val="0"/>
        <w:widowControl/>
        <w:suppressLineNumbers w:val="0"/>
        <w:jc w:val="left"/>
        <w:rPr>
          <w:rFonts w:hint="default"/>
          <w:lang w:val="en-US"/>
        </w:rPr>
      </w:pPr>
      <w:r>
        <w:rPr>
          <w:rFonts w:hint="eastAsia" w:ascii="仿宋" w:hAnsi="仿宋" w:eastAsia="仿宋" w:cs="仿宋"/>
          <w:color w:val="000000"/>
          <w:kern w:val="0"/>
          <w:sz w:val="34"/>
          <w:szCs w:val="34"/>
          <w:lang w:val="en-US" w:eastAsia="zh-CN" w:bidi="ar"/>
        </w:rPr>
        <w:t>室。（六）案件审理室。（七）县纪委监委信息服务中心。</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hint="eastAsia" w:ascii="仿宋_GB2312" w:hAnsi="黑体" w:eastAsia="仿宋_GB2312"/>
          <w:b/>
          <w:sz w:val="52"/>
          <w:szCs w:val="52"/>
          <w:lang w:eastAsia="zh-CN"/>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r>
        <w:rPr>
          <w:rFonts w:hint="eastAsia" w:ascii="仿宋_GB2312" w:eastAsia="仿宋_GB2312"/>
          <w:color w:val="000000"/>
          <w:sz w:val="32"/>
          <w:szCs w:val="32"/>
          <w:lang w:eastAsia="zh-CN"/>
        </w:rPr>
        <w:t>）</w:t>
      </w: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default" w:ascii="仿宋_GB2312" w:hAnsi="宋体" w:eastAsia="仿宋_GB2312"/>
          <w:sz w:val="32"/>
          <w:szCs w:val="32"/>
          <w:lang w:val="en-US" w:eastAsia="zh-CN"/>
        </w:rPr>
      </w:pPr>
      <w:r>
        <w:rPr>
          <w:rFonts w:hint="eastAsia" w:ascii="仿宋_GB2312" w:hAnsi="黑体" w:eastAsia="仿宋_GB2312"/>
          <w:sz w:val="32"/>
          <w:szCs w:val="32"/>
        </w:rPr>
        <w:t>2022年预算收入</w:t>
      </w:r>
      <w:r>
        <w:rPr>
          <w:rFonts w:hint="eastAsia" w:ascii="仿宋_GB2312" w:hAnsi="黑体" w:eastAsia="仿宋_GB2312"/>
          <w:sz w:val="32"/>
          <w:szCs w:val="32"/>
          <w:lang w:val="en-US" w:eastAsia="zh-CN"/>
        </w:rPr>
        <w:t>8527895.04</w:t>
      </w:r>
      <w:r>
        <w:rPr>
          <w:rFonts w:hint="eastAsia" w:ascii="仿宋_GB2312" w:hAnsi="黑体" w:eastAsia="仿宋_GB2312"/>
          <w:sz w:val="32"/>
          <w:szCs w:val="32"/>
        </w:rPr>
        <w:t>元，比上年预算</w:t>
      </w:r>
      <w:r>
        <w:rPr>
          <w:rFonts w:hint="eastAsia" w:ascii="仿宋_GB2312" w:hAnsi="黑体" w:eastAsia="仿宋_GB2312"/>
          <w:sz w:val="32"/>
          <w:szCs w:val="32"/>
          <w:lang w:val="en-US" w:eastAsia="zh-CN"/>
        </w:rPr>
        <w:t>增加2137547.04</w:t>
      </w:r>
      <w:r>
        <w:rPr>
          <w:rFonts w:hint="eastAsia" w:ascii="仿宋_GB2312" w:hAnsi="黑体" w:eastAsia="仿宋_GB2312"/>
          <w:sz w:val="32"/>
          <w:szCs w:val="32"/>
        </w:rPr>
        <w:t>元，其中：一般公共预算财政拨款收入</w:t>
      </w:r>
      <w:r>
        <w:rPr>
          <w:rFonts w:hint="eastAsia" w:ascii="仿宋_GB2312" w:hAnsi="黑体" w:eastAsia="仿宋_GB2312"/>
          <w:sz w:val="32"/>
          <w:szCs w:val="32"/>
          <w:lang w:val="en-US" w:eastAsia="zh-CN"/>
        </w:rPr>
        <w:t>8527895.04</w:t>
      </w:r>
      <w:r>
        <w:rPr>
          <w:rFonts w:hint="eastAsia" w:ascii="仿宋_GB2312" w:hAnsi="黑体" w:eastAsia="仿宋_GB2312"/>
          <w:sz w:val="32"/>
          <w:szCs w:val="32"/>
        </w:rPr>
        <w:t>元，政</w:t>
      </w:r>
      <w:r>
        <w:rPr>
          <w:rFonts w:hint="eastAsia" w:ascii="仿宋_GB2312" w:hAnsi="宋体" w:eastAsia="仿宋_GB2312"/>
          <w:sz w:val="32"/>
          <w:szCs w:val="32"/>
        </w:rPr>
        <w:t>府性基金预算财政拨款收入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元。预算支出</w:t>
      </w:r>
      <w:r>
        <w:rPr>
          <w:rFonts w:hint="eastAsia" w:ascii="仿宋_GB2312" w:hAnsi="黑体" w:eastAsia="仿宋_GB2312"/>
          <w:sz w:val="32"/>
          <w:szCs w:val="32"/>
          <w:lang w:val="en-US" w:eastAsia="zh-CN"/>
        </w:rPr>
        <w:t>8527895.04</w:t>
      </w:r>
      <w:r>
        <w:rPr>
          <w:rFonts w:hint="eastAsia" w:ascii="仿宋_GB2312" w:hAnsi="宋体" w:eastAsia="仿宋_GB2312"/>
          <w:sz w:val="32"/>
          <w:szCs w:val="32"/>
        </w:rPr>
        <w:t>元，相应比上年预算数</w:t>
      </w:r>
      <w:r>
        <w:rPr>
          <w:rFonts w:hint="eastAsia" w:ascii="仿宋_GB2312" w:hAnsi="宋体" w:eastAsia="仿宋_GB2312"/>
          <w:sz w:val="32"/>
          <w:szCs w:val="32"/>
          <w:lang w:val="en-US" w:eastAsia="zh-CN"/>
        </w:rPr>
        <w:t>增加24</w:t>
      </w:r>
      <w:r>
        <w:rPr>
          <w:rFonts w:hint="eastAsia" w:ascii="仿宋_GB2312" w:hAnsi="宋体" w:eastAsia="仿宋_GB2312"/>
          <w:sz w:val="32"/>
          <w:szCs w:val="32"/>
        </w:rPr>
        <w:t>%。</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val="en-US" w:eastAsia="zh-CN"/>
        </w:rPr>
        <w:t>职工增加，派驻纪检组和设立新的科室信息服务中心。</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支出按功能分类科目安排为：</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一般公共服务支出</w:t>
      </w:r>
      <w:r>
        <w:rPr>
          <w:rFonts w:hint="eastAsia" w:ascii="仿宋_GB2312" w:hAnsi="宋体" w:eastAsia="仿宋_GB2312"/>
          <w:sz w:val="32"/>
          <w:szCs w:val="32"/>
          <w:lang w:val="en-US" w:eastAsia="zh-CN"/>
        </w:rPr>
        <w:t>7066389.28</w:t>
      </w:r>
      <w:r>
        <w:rPr>
          <w:rFonts w:hint="eastAsia" w:ascii="仿宋_GB2312" w:hAnsi="宋体" w:eastAsia="仿宋_GB2312"/>
          <w:sz w:val="32"/>
          <w:szCs w:val="32"/>
        </w:rPr>
        <w:t>元，其中：财政拨款</w:t>
      </w:r>
      <w:r>
        <w:rPr>
          <w:rFonts w:hint="eastAsia" w:ascii="仿宋_GB2312" w:hAnsi="宋体" w:eastAsia="仿宋_GB2312"/>
          <w:sz w:val="32"/>
          <w:szCs w:val="32"/>
          <w:lang w:val="en-US" w:eastAsia="zh-CN"/>
        </w:rPr>
        <w:t>7066389.28</w:t>
      </w:r>
      <w:r>
        <w:rPr>
          <w:rFonts w:hint="eastAsia" w:ascii="仿宋_GB2312" w:hAnsi="宋体" w:eastAsia="仿宋_GB2312"/>
          <w:sz w:val="32"/>
          <w:szCs w:val="32"/>
        </w:rPr>
        <w:t>元，比上年预算数</w:t>
      </w:r>
      <w:r>
        <w:rPr>
          <w:rFonts w:hint="eastAsia" w:ascii="仿宋_GB2312" w:hAnsi="宋体" w:eastAsia="仿宋_GB2312"/>
          <w:sz w:val="32"/>
          <w:szCs w:val="32"/>
          <w:lang w:val="en-US" w:eastAsia="zh-CN"/>
        </w:rPr>
        <w:t>增加22.25</w:t>
      </w:r>
      <w:r>
        <w:rPr>
          <w:rFonts w:hint="eastAsia" w:ascii="仿宋_GB2312" w:hAnsi="宋体" w:eastAsia="仿宋_GB2312"/>
          <w:sz w:val="32"/>
          <w:szCs w:val="32"/>
        </w:rPr>
        <w:t>%。</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val="en-US" w:eastAsia="zh-CN"/>
        </w:rPr>
        <w:t>职工增加，派驻纪检组和设立新的科室信息服务中心。</w:t>
      </w:r>
    </w:p>
    <w:p>
      <w:pPr>
        <w:spacing w:line="640" w:lineRule="exact"/>
        <w:ind w:firstLine="640" w:firstLineChars="200"/>
        <w:rPr>
          <w:rFonts w:hint="eastAsia" w:ascii="仿宋_GB2312" w:hAnsi="黑体" w:eastAsia="仿宋_GB2312"/>
          <w:sz w:val="32"/>
          <w:szCs w:val="32"/>
          <w:lang w:eastAsia="zh-CN"/>
        </w:rPr>
      </w:pPr>
      <w:r>
        <w:rPr>
          <w:rFonts w:hint="eastAsia" w:ascii="仿宋_GB2312" w:hAnsi="宋体" w:eastAsia="仿宋_GB2312"/>
          <w:sz w:val="32"/>
          <w:szCs w:val="32"/>
        </w:rPr>
        <w:t>社会保障和就业支出</w:t>
      </w:r>
      <w:r>
        <w:rPr>
          <w:rFonts w:hint="eastAsia" w:ascii="仿宋_GB2312" w:hAnsi="宋体" w:eastAsia="仿宋_GB2312"/>
          <w:sz w:val="32"/>
          <w:szCs w:val="32"/>
          <w:lang w:val="en-US" w:eastAsia="zh-CN"/>
        </w:rPr>
        <w:t>679543.67</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宋体" w:eastAsia="仿宋_GB2312"/>
          <w:sz w:val="32"/>
          <w:szCs w:val="32"/>
        </w:rPr>
        <w:t>其中：财政拨款</w:t>
      </w:r>
      <w:r>
        <w:rPr>
          <w:rFonts w:hint="eastAsia" w:ascii="仿宋_GB2312" w:hAnsi="宋体" w:eastAsia="仿宋_GB2312"/>
          <w:sz w:val="32"/>
          <w:szCs w:val="32"/>
          <w:lang w:val="en-US" w:eastAsia="zh-CN"/>
        </w:rPr>
        <w:t>679543.67</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宋体" w:eastAsia="仿宋_GB2312"/>
          <w:sz w:val="32"/>
          <w:szCs w:val="32"/>
        </w:rPr>
        <w:t>比上年预算数</w:t>
      </w:r>
      <w:r>
        <w:rPr>
          <w:rFonts w:hint="eastAsia" w:ascii="仿宋_GB2312" w:hAnsi="宋体" w:eastAsia="仿宋_GB2312"/>
          <w:sz w:val="32"/>
          <w:szCs w:val="32"/>
          <w:lang w:val="en-US" w:eastAsia="zh-CN"/>
        </w:rPr>
        <w:t>增加</w:t>
      </w:r>
      <w:r>
        <w:rPr>
          <w:rFonts w:hint="eastAsia" w:ascii="仿宋_GB2312" w:hAnsi="黑体" w:eastAsia="仿宋_GB2312"/>
          <w:sz w:val="32"/>
          <w:szCs w:val="32"/>
          <w:lang w:val="en-US" w:eastAsia="zh-CN"/>
        </w:rPr>
        <w:t>11.4%，</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val="en-US" w:eastAsia="zh-CN"/>
        </w:rPr>
        <w:t>职工增加，派驻纪检组和设立新的科室信息服务中心。</w:t>
      </w:r>
    </w:p>
    <w:p>
      <w:pPr>
        <w:spacing w:line="64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卫生健康支出278596.41元，</w:t>
      </w:r>
      <w:r>
        <w:rPr>
          <w:rFonts w:hint="eastAsia" w:ascii="仿宋_GB2312" w:hAnsi="宋体" w:eastAsia="仿宋_GB2312"/>
          <w:sz w:val="32"/>
          <w:szCs w:val="32"/>
        </w:rPr>
        <w:t>比上年预算数</w:t>
      </w:r>
      <w:r>
        <w:rPr>
          <w:rFonts w:hint="eastAsia" w:ascii="仿宋_GB2312" w:hAnsi="宋体" w:eastAsia="仿宋_GB2312"/>
          <w:sz w:val="32"/>
          <w:szCs w:val="32"/>
          <w:lang w:val="en-US" w:eastAsia="zh-CN"/>
        </w:rPr>
        <w:t>增加100%，增加原因：上年此项未单独列入单位预算。</w:t>
      </w:r>
    </w:p>
    <w:p>
      <w:pPr>
        <w:spacing w:line="640" w:lineRule="exact"/>
        <w:ind w:firstLine="640" w:firstLineChars="200"/>
        <w:rPr>
          <w:rFonts w:hint="eastAsia" w:ascii="仿宋_GB2312" w:hAnsi="宋体" w:eastAsia="仿宋_GB2312"/>
          <w:sz w:val="32"/>
          <w:szCs w:val="32"/>
          <w:lang w:val="en-US" w:eastAsia="zh-CN"/>
        </w:rPr>
      </w:pPr>
      <w:r>
        <w:rPr>
          <w:rFonts w:hint="eastAsia" w:ascii="仿宋_GB2312" w:hAnsi="黑体" w:eastAsia="仿宋_GB2312"/>
          <w:sz w:val="32"/>
          <w:szCs w:val="32"/>
          <w:lang w:eastAsia="zh-CN"/>
        </w:rPr>
        <w:t>住房保障支出503365.68元，</w:t>
      </w:r>
      <w:r>
        <w:rPr>
          <w:rFonts w:hint="eastAsia" w:ascii="仿宋_GB2312" w:hAnsi="宋体" w:eastAsia="仿宋_GB2312"/>
          <w:sz w:val="32"/>
          <w:szCs w:val="32"/>
        </w:rPr>
        <w:t>比上年预算数</w:t>
      </w:r>
      <w:r>
        <w:rPr>
          <w:rFonts w:hint="eastAsia" w:ascii="仿宋_GB2312" w:hAnsi="宋体" w:eastAsia="仿宋_GB2312"/>
          <w:sz w:val="32"/>
          <w:szCs w:val="32"/>
          <w:lang w:val="en-US" w:eastAsia="zh-CN"/>
        </w:rPr>
        <w:t>增加100%，增加原因：上年此项未单独列入单位预算。</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left="638" w:leftChars="304" w:firstLine="0" w:firstLineChars="0"/>
        <w:rPr>
          <w:rFonts w:hint="default" w:ascii="仿宋_GB2312" w:hAnsi="黑体" w:eastAsia="仿宋_GB2312"/>
          <w:sz w:val="32"/>
          <w:szCs w:val="32"/>
          <w:lang w:val="en-US" w:eastAsia="zh-CN"/>
        </w:rPr>
      </w:pPr>
      <w:r>
        <w:rPr>
          <w:rFonts w:hint="eastAsia" w:ascii="楷体_GB2312" w:hAnsi="黑体" w:eastAsia="楷体_GB2312"/>
          <w:b/>
          <w:sz w:val="32"/>
          <w:szCs w:val="32"/>
        </w:rPr>
        <w:t>（一）一般公共服务支出（类）</w:t>
      </w:r>
      <w:r>
        <w:rPr>
          <w:rFonts w:hint="eastAsia" w:ascii="仿宋_GB2312" w:hAnsi="黑体" w:eastAsia="仿宋_GB2312"/>
          <w:sz w:val="32"/>
          <w:szCs w:val="32"/>
        </w:rPr>
        <w:t>2022年预算支出</w:t>
      </w:r>
      <w:r>
        <w:rPr>
          <w:rFonts w:hint="eastAsia" w:ascii="仿宋_GB2312" w:hAnsi="黑体" w:eastAsia="仿宋_GB2312"/>
          <w:sz w:val="32"/>
          <w:szCs w:val="32"/>
          <w:lang w:val="en-US" w:eastAsia="zh-CN"/>
        </w:rPr>
        <w:t>7066389.28</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增加22.25</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val="en-US" w:eastAsia="zh-CN"/>
        </w:rPr>
        <w:t>职工增加</w:t>
      </w:r>
      <w:r>
        <w:rPr>
          <w:rFonts w:hint="eastAsia" w:ascii="仿宋_GB2312" w:hAnsi="黑体" w:eastAsia="仿宋_GB2312"/>
          <w:sz w:val="32"/>
          <w:szCs w:val="32"/>
        </w:rPr>
        <w:t>。</w:t>
      </w:r>
      <w:r>
        <w:rPr>
          <w:rFonts w:hint="eastAsia" w:ascii="仿宋_GB2312" w:hAnsi="黑体" w:eastAsia="仿宋_GB2312"/>
          <w:b/>
          <w:bCs/>
          <w:sz w:val="32"/>
          <w:szCs w:val="32"/>
        </w:rPr>
        <w:t>纪检监察事务</w:t>
      </w:r>
      <w:r>
        <w:rPr>
          <w:rFonts w:hint="eastAsia" w:ascii="仿宋_GB2312" w:hAnsi="黑体" w:eastAsia="仿宋_GB2312"/>
          <w:b/>
          <w:bCs/>
          <w:sz w:val="32"/>
          <w:szCs w:val="32"/>
          <w:lang w:eastAsia="zh-CN"/>
        </w:rPr>
        <w:t>（</w:t>
      </w:r>
      <w:r>
        <w:rPr>
          <w:rFonts w:hint="eastAsia" w:ascii="仿宋_GB2312" w:hAnsi="黑体" w:eastAsia="仿宋_GB2312"/>
          <w:b/>
          <w:bCs/>
          <w:sz w:val="32"/>
          <w:szCs w:val="32"/>
          <w:lang w:val="en-US" w:eastAsia="zh-CN"/>
        </w:rPr>
        <w:t>款</w:t>
      </w:r>
      <w:r>
        <w:rPr>
          <w:rFonts w:hint="eastAsia" w:ascii="仿宋_GB2312" w:hAnsi="黑体" w:eastAsia="仿宋_GB2312"/>
          <w:b/>
          <w:bCs/>
          <w:sz w:val="32"/>
          <w:szCs w:val="32"/>
          <w:lang w:eastAsia="zh-CN"/>
        </w:rPr>
        <w:t>）</w:t>
      </w:r>
      <w:r>
        <w:rPr>
          <w:rFonts w:hint="eastAsia" w:ascii="仿宋_GB2312" w:hAnsi="黑体" w:eastAsia="仿宋_GB2312"/>
          <w:sz w:val="32"/>
          <w:szCs w:val="32"/>
        </w:rPr>
        <w:t>2022年预算支出6982495.00</w:t>
      </w:r>
      <w:r>
        <w:rPr>
          <w:rFonts w:hint="eastAsia" w:ascii="仿宋_GB2312" w:hAnsi="黑体" w:eastAsia="仿宋_GB2312"/>
          <w:sz w:val="32"/>
          <w:szCs w:val="32"/>
          <w:lang w:val="en-US" w:eastAsia="zh-CN"/>
        </w:rPr>
        <w:t>元，其中：</w:t>
      </w:r>
      <w:r>
        <w:rPr>
          <w:rFonts w:hint="eastAsia" w:ascii="仿宋_GB2312" w:hAnsi="黑体" w:eastAsia="仿宋_GB2312"/>
          <w:b/>
          <w:bCs/>
          <w:sz w:val="32"/>
          <w:szCs w:val="32"/>
          <w:lang w:val="en-US" w:eastAsia="zh-CN"/>
        </w:rPr>
        <w:t>行政运行（项）</w:t>
      </w:r>
      <w:r>
        <w:rPr>
          <w:rFonts w:hint="eastAsia" w:ascii="仿宋_GB2312" w:hAnsi="黑体" w:eastAsia="仿宋_GB2312"/>
          <w:sz w:val="32"/>
          <w:szCs w:val="32"/>
        </w:rPr>
        <w:t>2022年预算支出</w:t>
      </w:r>
      <w:r>
        <w:rPr>
          <w:rFonts w:hint="eastAsia" w:ascii="仿宋_GB2312" w:hAnsi="黑体" w:eastAsia="仿宋_GB2312"/>
          <w:sz w:val="32"/>
          <w:szCs w:val="32"/>
          <w:lang w:val="en-US" w:eastAsia="zh-CN"/>
        </w:rPr>
        <w:t>6982495.00元，</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增加29.8</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val="en-US" w:eastAsia="zh-CN"/>
        </w:rPr>
        <w:t>职工增加</w:t>
      </w:r>
      <w:r>
        <w:rPr>
          <w:rFonts w:hint="eastAsia" w:ascii="仿宋_GB2312" w:hAnsi="黑体" w:eastAsia="仿宋_GB2312"/>
          <w:sz w:val="32"/>
          <w:szCs w:val="32"/>
        </w:rPr>
        <w:t>。</w:t>
      </w:r>
      <w:r>
        <w:rPr>
          <w:rFonts w:hint="eastAsia" w:ascii="仿宋_GB2312" w:hAnsi="黑体" w:eastAsia="仿宋_GB2312"/>
          <w:b/>
          <w:bCs/>
          <w:sz w:val="32"/>
          <w:szCs w:val="32"/>
        </w:rPr>
        <w:t>群众团体事务</w:t>
      </w:r>
      <w:r>
        <w:rPr>
          <w:rFonts w:hint="eastAsia" w:ascii="仿宋_GB2312" w:hAnsi="黑体" w:eastAsia="仿宋_GB2312"/>
          <w:b/>
          <w:bCs/>
          <w:sz w:val="32"/>
          <w:szCs w:val="32"/>
          <w:lang w:eastAsia="zh-CN"/>
        </w:rPr>
        <w:t>（</w:t>
      </w:r>
      <w:r>
        <w:rPr>
          <w:rFonts w:hint="eastAsia" w:ascii="仿宋_GB2312" w:hAnsi="黑体" w:eastAsia="仿宋_GB2312"/>
          <w:b/>
          <w:bCs/>
          <w:sz w:val="32"/>
          <w:szCs w:val="32"/>
          <w:lang w:val="en-US" w:eastAsia="zh-CN"/>
        </w:rPr>
        <w:t>款</w:t>
      </w:r>
      <w:r>
        <w:rPr>
          <w:rFonts w:hint="eastAsia" w:ascii="仿宋_GB2312" w:hAnsi="黑体" w:eastAsia="仿宋_GB2312"/>
          <w:b/>
          <w:bCs/>
          <w:sz w:val="32"/>
          <w:szCs w:val="32"/>
          <w:lang w:eastAsia="zh-CN"/>
        </w:rPr>
        <w:t>）</w:t>
      </w:r>
      <w:r>
        <w:rPr>
          <w:rFonts w:hint="eastAsia" w:ascii="仿宋_GB2312" w:hAnsi="黑体" w:eastAsia="仿宋_GB2312"/>
          <w:sz w:val="32"/>
          <w:szCs w:val="32"/>
        </w:rPr>
        <w:t>2022年预算支出83894.28</w:t>
      </w:r>
      <w:r>
        <w:rPr>
          <w:rFonts w:hint="eastAsia" w:ascii="仿宋_GB2312" w:hAnsi="黑体" w:eastAsia="仿宋_GB2312"/>
          <w:sz w:val="32"/>
          <w:szCs w:val="32"/>
          <w:lang w:val="en-US" w:eastAsia="zh-CN"/>
        </w:rPr>
        <w:t>元，其中：</w:t>
      </w:r>
      <w:r>
        <w:rPr>
          <w:rFonts w:hint="eastAsia" w:ascii="仿宋_GB2312" w:hAnsi="黑体" w:eastAsia="仿宋_GB2312"/>
          <w:b/>
          <w:bCs/>
          <w:sz w:val="32"/>
          <w:szCs w:val="32"/>
          <w:lang w:val="en-US" w:eastAsia="zh-CN"/>
        </w:rPr>
        <w:t>工会事务（项）</w:t>
      </w:r>
      <w:r>
        <w:rPr>
          <w:rFonts w:hint="eastAsia" w:ascii="仿宋_GB2312" w:hAnsi="黑体" w:eastAsia="仿宋_GB2312"/>
          <w:sz w:val="32"/>
          <w:szCs w:val="32"/>
        </w:rPr>
        <w:t>2022年预算支出83894.28</w:t>
      </w:r>
      <w:r>
        <w:rPr>
          <w:rFonts w:hint="eastAsia" w:ascii="仿宋_GB2312" w:hAnsi="黑体" w:eastAsia="仿宋_GB2312"/>
          <w:sz w:val="32"/>
          <w:szCs w:val="32"/>
          <w:lang w:val="en-US" w:eastAsia="zh-CN"/>
        </w:rPr>
        <w:t>元，</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增加70.2%，</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val="en-US" w:eastAsia="zh-CN"/>
        </w:rPr>
        <w:t>工会经费增加。</w:t>
      </w:r>
    </w:p>
    <w:p>
      <w:pPr>
        <w:spacing w:line="640" w:lineRule="exact"/>
        <w:ind w:left="638" w:leftChars="304" w:firstLine="0" w:firstLineChars="0"/>
        <w:rPr>
          <w:rFonts w:hint="default" w:ascii="仿宋_GB2312" w:hAnsi="黑体" w:eastAsia="仿宋_GB2312"/>
          <w:b/>
          <w:bCs/>
          <w:sz w:val="32"/>
          <w:szCs w:val="32"/>
          <w:lang w:val="en-US" w:eastAsia="zh-CN"/>
        </w:rPr>
      </w:pPr>
      <w:r>
        <w:rPr>
          <w:rFonts w:hint="eastAsia" w:ascii="仿宋_GB2312" w:hAnsi="黑体" w:eastAsia="仿宋_GB2312"/>
          <w:b/>
          <w:sz w:val="32"/>
          <w:szCs w:val="32"/>
        </w:rPr>
        <w:t>（二）社会保障和就业支出（类</w:t>
      </w:r>
      <w:r>
        <w:rPr>
          <w:rFonts w:hint="eastAsia" w:ascii="仿宋_GB2312" w:hAnsi="黑体" w:eastAsia="仿宋_GB2312"/>
          <w:sz w:val="32"/>
          <w:szCs w:val="32"/>
        </w:rPr>
        <w:t>）2022年预算支出</w:t>
      </w:r>
      <w:r>
        <w:rPr>
          <w:rFonts w:hint="eastAsia" w:ascii="仿宋_GB2312" w:hAnsi="黑体" w:eastAsia="仿宋_GB2312"/>
          <w:sz w:val="32"/>
          <w:szCs w:val="32"/>
          <w:lang w:val="en-US" w:eastAsia="zh-CN"/>
        </w:rPr>
        <w:t>679543.67</w:t>
      </w:r>
      <w:r>
        <w:rPr>
          <w:rFonts w:hint="eastAsia" w:ascii="仿宋_GB2312" w:hAnsi="黑体" w:eastAsia="仿宋_GB2312"/>
          <w:sz w:val="32"/>
          <w:szCs w:val="32"/>
        </w:rPr>
        <w:t>元，</w:t>
      </w:r>
      <w:r>
        <w:rPr>
          <w:rFonts w:hint="eastAsia" w:ascii="仿宋_GB2312" w:hAnsi="黑体" w:eastAsia="仿宋_GB2312"/>
          <w:sz w:val="32"/>
          <w:szCs w:val="32"/>
          <w:lang w:eastAsia="zh-CN"/>
        </w:rPr>
        <w:t>比上年</w:t>
      </w:r>
      <w:r>
        <w:rPr>
          <w:rFonts w:hint="eastAsia" w:ascii="仿宋_GB2312" w:hAnsi="黑体" w:eastAsia="仿宋_GB2312"/>
          <w:sz w:val="32"/>
          <w:szCs w:val="32"/>
          <w:lang w:val="en-US" w:eastAsia="zh-CN"/>
        </w:rPr>
        <w:t>增加11%</w:t>
      </w:r>
      <w:r>
        <w:rPr>
          <w:rFonts w:hint="eastAsia" w:ascii="仿宋_GB2312" w:hAnsi="黑体" w:eastAsia="仿宋_GB2312"/>
          <w:sz w:val="32"/>
          <w:szCs w:val="32"/>
        </w:rPr>
        <w:t>。</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val="en-US" w:eastAsia="zh-CN"/>
        </w:rPr>
        <w:t>职工增加</w:t>
      </w:r>
      <w:r>
        <w:rPr>
          <w:rFonts w:hint="eastAsia" w:ascii="仿宋_GB2312" w:hAnsi="黑体" w:eastAsia="仿宋_GB2312"/>
          <w:sz w:val="32"/>
          <w:szCs w:val="32"/>
        </w:rPr>
        <w:t>。</w:t>
      </w:r>
      <w:r>
        <w:rPr>
          <w:rFonts w:hint="eastAsia" w:ascii="仿宋_GB2312" w:hAnsi="黑体" w:eastAsia="仿宋_GB2312"/>
          <w:b/>
          <w:bCs/>
          <w:sz w:val="32"/>
          <w:szCs w:val="32"/>
        </w:rPr>
        <w:t>行政事业单位养老支出</w:t>
      </w:r>
      <w:r>
        <w:rPr>
          <w:rFonts w:hint="eastAsia" w:ascii="仿宋_GB2312" w:hAnsi="黑体" w:eastAsia="仿宋_GB2312"/>
          <w:b/>
          <w:bCs/>
          <w:sz w:val="32"/>
          <w:szCs w:val="32"/>
          <w:lang w:eastAsia="zh-CN"/>
        </w:rPr>
        <w:t>（</w:t>
      </w:r>
      <w:r>
        <w:rPr>
          <w:rFonts w:hint="eastAsia" w:ascii="仿宋_GB2312" w:hAnsi="黑体" w:eastAsia="仿宋_GB2312"/>
          <w:b/>
          <w:bCs/>
          <w:sz w:val="32"/>
          <w:szCs w:val="32"/>
          <w:lang w:val="en-US" w:eastAsia="zh-CN"/>
        </w:rPr>
        <w:t>款</w:t>
      </w:r>
      <w:r>
        <w:rPr>
          <w:rFonts w:hint="eastAsia" w:ascii="仿宋_GB2312" w:hAnsi="黑体" w:eastAsia="仿宋_GB2312"/>
          <w:b/>
          <w:bCs/>
          <w:sz w:val="32"/>
          <w:szCs w:val="32"/>
          <w:lang w:eastAsia="zh-CN"/>
        </w:rPr>
        <w:t>）</w:t>
      </w:r>
      <w:r>
        <w:rPr>
          <w:rFonts w:hint="eastAsia" w:ascii="仿宋_GB2312" w:hAnsi="黑体" w:eastAsia="仿宋_GB2312"/>
          <w:sz w:val="32"/>
          <w:szCs w:val="32"/>
        </w:rPr>
        <w:t>2022年预算支出671154.24</w:t>
      </w:r>
      <w:r>
        <w:rPr>
          <w:rFonts w:hint="eastAsia" w:ascii="仿宋_GB2312" w:hAnsi="黑体" w:eastAsia="仿宋_GB2312"/>
          <w:sz w:val="32"/>
          <w:szCs w:val="32"/>
          <w:lang w:val="en-US" w:eastAsia="zh-CN"/>
        </w:rPr>
        <w:t>元，其中：</w:t>
      </w:r>
      <w:r>
        <w:rPr>
          <w:rFonts w:hint="eastAsia" w:ascii="仿宋_GB2312" w:hAnsi="黑体" w:eastAsia="仿宋_GB2312"/>
          <w:b/>
          <w:bCs/>
          <w:sz w:val="32"/>
          <w:szCs w:val="32"/>
          <w:lang w:val="en-US" w:eastAsia="zh-CN"/>
        </w:rPr>
        <w:t>机关事业单位基本养老保险缴费支出（项）</w:t>
      </w:r>
      <w:r>
        <w:rPr>
          <w:rFonts w:hint="eastAsia" w:ascii="仿宋_GB2312" w:hAnsi="黑体" w:eastAsia="仿宋_GB2312"/>
          <w:sz w:val="32"/>
          <w:szCs w:val="32"/>
        </w:rPr>
        <w:t>2022年预算支出671154.24</w:t>
      </w:r>
      <w:r>
        <w:rPr>
          <w:rFonts w:hint="eastAsia" w:ascii="仿宋_GB2312" w:hAnsi="黑体" w:eastAsia="仿宋_GB2312"/>
          <w:sz w:val="32"/>
          <w:szCs w:val="32"/>
          <w:lang w:val="en-US" w:eastAsia="zh-CN"/>
        </w:rPr>
        <w:t>元，</w:t>
      </w:r>
      <w:r>
        <w:rPr>
          <w:rFonts w:hint="eastAsia" w:ascii="仿宋_GB2312" w:hAnsi="黑体" w:eastAsia="仿宋_GB2312"/>
          <w:sz w:val="32"/>
          <w:szCs w:val="32"/>
          <w:lang w:eastAsia="zh-CN"/>
        </w:rPr>
        <w:t>比上年</w:t>
      </w:r>
      <w:r>
        <w:rPr>
          <w:rFonts w:hint="eastAsia" w:ascii="仿宋_GB2312" w:hAnsi="黑体" w:eastAsia="仿宋_GB2312"/>
          <w:sz w:val="32"/>
          <w:szCs w:val="32"/>
          <w:lang w:val="en-US" w:eastAsia="zh-CN"/>
        </w:rPr>
        <w:t>增加10%，</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val="en-US" w:eastAsia="zh-CN"/>
        </w:rPr>
        <w:t>职工增加</w:t>
      </w:r>
      <w:r>
        <w:rPr>
          <w:rFonts w:hint="eastAsia" w:ascii="仿宋_GB2312" w:hAnsi="黑体" w:eastAsia="仿宋_GB2312"/>
          <w:sz w:val="32"/>
          <w:szCs w:val="32"/>
        </w:rPr>
        <w:t>。</w:t>
      </w:r>
      <w:r>
        <w:rPr>
          <w:rFonts w:hint="eastAsia" w:ascii="仿宋_GB2312" w:hAnsi="黑体" w:eastAsia="仿宋_GB2312"/>
          <w:b/>
          <w:bCs/>
          <w:sz w:val="32"/>
          <w:szCs w:val="32"/>
        </w:rPr>
        <w:t>财政对其他社会保险基金的补助</w:t>
      </w:r>
      <w:r>
        <w:rPr>
          <w:rFonts w:hint="eastAsia" w:ascii="仿宋_GB2312" w:hAnsi="黑体" w:eastAsia="仿宋_GB2312"/>
          <w:b/>
          <w:bCs/>
          <w:sz w:val="32"/>
          <w:szCs w:val="32"/>
          <w:lang w:eastAsia="zh-CN"/>
        </w:rPr>
        <w:t>（</w:t>
      </w:r>
      <w:r>
        <w:rPr>
          <w:rFonts w:hint="eastAsia" w:ascii="仿宋_GB2312" w:hAnsi="黑体" w:eastAsia="仿宋_GB2312"/>
          <w:b/>
          <w:bCs/>
          <w:sz w:val="32"/>
          <w:szCs w:val="32"/>
          <w:lang w:val="en-US" w:eastAsia="zh-CN"/>
        </w:rPr>
        <w:t>款</w:t>
      </w:r>
      <w:r>
        <w:rPr>
          <w:rFonts w:hint="eastAsia" w:ascii="仿宋_GB2312" w:hAnsi="黑体" w:eastAsia="仿宋_GB2312"/>
          <w:b/>
          <w:bCs/>
          <w:sz w:val="32"/>
          <w:szCs w:val="32"/>
          <w:lang w:eastAsia="zh-CN"/>
        </w:rPr>
        <w:t>）</w:t>
      </w:r>
      <w:r>
        <w:rPr>
          <w:rFonts w:hint="eastAsia" w:ascii="仿宋_GB2312" w:hAnsi="黑体" w:eastAsia="仿宋_GB2312"/>
          <w:sz w:val="32"/>
          <w:szCs w:val="32"/>
        </w:rPr>
        <w:t>2022年预算支出8389.43</w:t>
      </w:r>
      <w:r>
        <w:rPr>
          <w:rFonts w:hint="eastAsia" w:ascii="仿宋_GB2312" w:hAnsi="黑体" w:eastAsia="仿宋_GB2312"/>
          <w:sz w:val="32"/>
          <w:szCs w:val="32"/>
          <w:lang w:val="en-US" w:eastAsia="zh-CN"/>
        </w:rPr>
        <w:t>元，其中：</w:t>
      </w:r>
      <w:r>
        <w:rPr>
          <w:rFonts w:hint="eastAsia" w:ascii="仿宋_GB2312" w:hAnsi="黑体" w:eastAsia="仿宋_GB2312"/>
          <w:b/>
          <w:bCs/>
          <w:sz w:val="32"/>
          <w:szCs w:val="32"/>
          <w:lang w:val="en-US" w:eastAsia="zh-CN"/>
        </w:rPr>
        <w:t>财政对工伤保险基金的补助（项）</w:t>
      </w:r>
      <w:r>
        <w:rPr>
          <w:rFonts w:hint="eastAsia" w:ascii="仿宋_GB2312" w:hAnsi="黑体" w:eastAsia="仿宋_GB2312"/>
          <w:sz w:val="32"/>
          <w:szCs w:val="32"/>
        </w:rPr>
        <w:t>2022年预算支出8389.43</w:t>
      </w:r>
      <w:r>
        <w:rPr>
          <w:rFonts w:hint="eastAsia" w:ascii="仿宋_GB2312" w:hAnsi="黑体" w:eastAsia="仿宋_GB2312"/>
          <w:sz w:val="32"/>
          <w:szCs w:val="32"/>
          <w:lang w:val="en-US" w:eastAsia="zh-CN"/>
        </w:rPr>
        <w:t>元，比上年增加100%，增加原因：上年无此项。</w:t>
      </w:r>
    </w:p>
    <w:p>
      <w:pPr>
        <w:spacing w:line="640" w:lineRule="exact"/>
        <w:ind w:firstLine="643" w:firstLineChars="200"/>
        <w:rPr>
          <w:rFonts w:hint="default" w:ascii="仿宋_GB2312" w:hAnsi="黑体" w:eastAsia="仿宋_GB2312"/>
          <w:sz w:val="32"/>
          <w:szCs w:val="32"/>
          <w:lang w:val="en-US" w:eastAsia="zh-CN"/>
        </w:rPr>
      </w:pPr>
      <w:r>
        <w:rPr>
          <w:rFonts w:hint="eastAsia" w:ascii="仿宋_GB2312" w:hAnsi="黑体" w:eastAsia="仿宋_GB2312"/>
          <w:b/>
          <w:sz w:val="32"/>
          <w:szCs w:val="32"/>
          <w:highlight w:val="none"/>
          <w:lang w:val="en-US" w:eastAsia="zh-CN"/>
        </w:rPr>
        <w:t>（三）卫生健康支出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财政对基本医疗保险基金的补助</w:t>
      </w:r>
      <w:r>
        <w:rPr>
          <w:rFonts w:hint="eastAsia" w:ascii="仿宋_GB2312" w:hAnsi="黑体" w:eastAsia="仿宋_GB2312"/>
          <w:b/>
          <w:bCs/>
          <w:sz w:val="32"/>
          <w:szCs w:val="32"/>
          <w:highlight w:val="none"/>
          <w:lang w:eastAsia="zh-CN"/>
        </w:rPr>
        <w:t>（</w:t>
      </w:r>
      <w:r>
        <w:rPr>
          <w:rFonts w:hint="eastAsia" w:ascii="仿宋_GB2312" w:hAnsi="黑体" w:eastAsia="仿宋_GB2312"/>
          <w:b/>
          <w:bCs/>
          <w:sz w:val="32"/>
          <w:szCs w:val="32"/>
          <w:highlight w:val="none"/>
          <w:lang w:val="en-US" w:eastAsia="zh-CN"/>
        </w:rPr>
        <w:t>款</w:t>
      </w:r>
      <w:r>
        <w:rPr>
          <w:rFonts w:hint="eastAsia" w:ascii="仿宋_GB2312" w:hAnsi="黑体" w:eastAsia="仿宋_GB2312"/>
          <w:b/>
          <w:bCs/>
          <w:sz w:val="32"/>
          <w:szCs w:val="32"/>
          <w:highlight w:val="none"/>
          <w:lang w:eastAsia="zh-CN"/>
        </w:rPr>
        <w:t>）财政对职工基本医疗保险基金的补助（</w:t>
      </w:r>
      <w:r>
        <w:rPr>
          <w:rFonts w:hint="eastAsia" w:ascii="仿宋_GB2312" w:hAnsi="黑体" w:eastAsia="仿宋_GB2312"/>
          <w:b/>
          <w:bCs/>
          <w:sz w:val="32"/>
          <w:szCs w:val="32"/>
          <w:highlight w:val="none"/>
          <w:lang w:val="en-US" w:eastAsia="zh-CN"/>
        </w:rPr>
        <w:t>项</w:t>
      </w:r>
      <w:r>
        <w:rPr>
          <w:rFonts w:hint="eastAsia" w:ascii="仿宋_GB2312" w:hAnsi="黑体" w:eastAsia="仿宋_GB2312"/>
          <w:b/>
          <w:bCs/>
          <w:sz w:val="32"/>
          <w:szCs w:val="32"/>
          <w:highlight w:val="none"/>
          <w:lang w:eastAsia="zh-CN"/>
        </w:rPr>
        <w:t>）</w:t>
      </w:r>
      <w:r>
        <w:rPr>
          <w:rFonts w:hint="eastAsia" w:ascii="仿宋_GB2312" w:hAnsi="黑体" w:eastAsia="仿宋_GB2312"/>
          <w:sz w:val="32"/>
          <w:szCs w:val="32"/>
          <w:lang w:val="en-US" w:eastAsia="zh-CN"/>
        </w:rPr>
        <w:t>2022年</w:t>
      </w:r>
      <w:r>
        <w:rPr>
          <w:rFonts w:hint="eastAsia" w:ascii="仿宋_GB2312" w:hAnsi="黑体" w:eastAsia="仿宋_GB2312"/>
          <w:sz w:val="32"/>
          <w:szCs w:val="32"/>
        </w:rPr>
        <w:t>预算</w:t>
      </w:r>
      <w:r>
        <w:rPr>
          <w:rFonts w:hint="eastAsia" w:ascii="仿宋_GB2312" w:hAnsi="黑体" w:eastAsia="仿宋_GB2312"/>
          <w:sz w:val="32"/>
          <w:szCs w:val="32"/>
          <w:lang w:val="en-US" w:eastAsia="zh-CN"/>
        </w:rPr>
        <w:t>支出</w:t>
      </w:r>
      <w:r>
        <w:rPr>
          <w:rFonts w:hint="eastAsia" w:ascii="仿宋_GB2312" w:hAnsi="黑体" w:eastAsia="仿宋_GB2312"/>
          <w:sz w:val="32"/>
          <w:szCs w:val="32"/>
          <w:lang w:eastAsia="zh-CN"/>
        </w:rPr>
        <w:t>278596.41</w:t>
      </w:r>
      <w:r>
        <w:rPr>
          <w:rFonts w:hint="eastAsia" w:ascii="仿宋_GB2312" w:hAnsi="黑体" w:eastAsia="仿宋_GB2312"/>
          <w:b w:val="0"/>
          <w:bCs/>
          <w:sz w:val="32"/>
          <w:szCs w:val="32"/>
          <w:highlight w:val="none"/>
          <w:lang w:eastAsia="zh-CN"/>
        </w:rPr>
        <w:t>元</w:t>
      </w:r>
      <w:r>
        <w:rPr>
          <w:rFonts w:hint="eastAsia" w:ascii="仿宋_GB2312" w:hAnsi="黑体" w:eastAsia="仿宋_GB2312"/>
          <w:b w:val="0"/>
          <w:bCs/>
          <w:color w:val="auto"/>
          <w:sz w:val="32"/>
          <w:szCs w:val="32"/>
          <w:highlight w:val="none"/>
          <w:lang w:eastAsia="zh-CN"/>
        </w:rPr>
        <w:t>，比</w:t>
      </w:r>
      <w:r>
        <w:rPr>
          <w:rFonts w:hint="eastAsia" w:ascii="仿宋_GB2312" w:hAnsi="黑体" w:eastAsia="仿宋_GB2312"/>
          <w:b w:val="0"/>
          <w:bCs/>
          <w:color w:val="auto"/>
          <w:sz w:val="32"/>
          <w:szCs w:val="32"/>
          <w:highlight w:val="none"/>
          <w:lang w:val="en-US" w:eastAsia="zh-CN"/>
        </w:rPr>
        <w:t>2021年增加</w:t>
      </w:r>
      <w:r>
        <w:rPr>
          <w:rFonts w:hint="eastAsia" w:ascii="仿宋" w:hAnsi="仿宋" w:eastAsia="仿宋" w:cs="仿宋"/>
          <w:b w:val="0"/>
          <w:bCs w:val="0"/>
          <w:color w:val="auto"/>
          <w:sz w:val="32"/>
          <w:szCs w:val="32"/>
          <w:lang w:val="en-US" w:eastAsia="zh-CN"/>
        </w:rPr>
        <w:t>100%</w:t>
      </w:r>
      <w:r>
        <w:rPr>
          <w:rFonts w:hint="eastAsia" w:ascii="仿宋" w:hAnsi="仿宋" w:eastAsia="仿宋" w:cs="仿宋"/>
          <w:b w:val="0"/>
          <w:bCs/>
          <w:color w:val="auto"/>
          <w:sz w:val="32"/>
          <w:szCs w:val="32"/>
          <w:lang w:val="en-US" w:eastAsia="zh-CN"/>
        </w:rPr>
        <w:t>。</w:t>
      </w:r>
      <w:r>
        <w:rPr>
          <w:rFonts w:hint="eastAsia" w:ascii="仿宋_GB2312" w:hAnsi="宋体" w:eastAsia="仿宋_GB2312"/>
          <w:sz w:val="32"/>
          <w:szCs w:val="32"/>
          <w:lang w:val="en-US" w:eastAsia="zh-CN"/>
        </w:rPr>
        <w:t>上年此项未单独列入单位预算。</w:t>
      </w:r>
    </w:p>
    <w:p>
      <w:pPr>
        <w:spacing w:line="640" w:lineRule="exact"/>
        <w:ind w:firstLine="643" w:firstLineChars="200"/>
        <w:rPr>
          <w:rFonts w:hint="default" w:ascii="仿宋_GB2312" w:hAnsi="黑体" w:eastAsia="仿宋_GB2312"/>
          <w:sz w:val="32"/>
          <w:szCs w:val="32"/>
          <w:lang w:val="en-US" w:eastAsia="zh-CN"/>
        </w:rPr>
      </w:pPr>
      <w:r>
        <w:rPr>
          <w:rFonts w:hint="eastAsia" w:ascii="仿宋_GB2312" w:hAnsi="黑体" w:eastAsia="仿宋_GB2312"/>
          <w:b/>
          <w:color w:val="auto"/>
          <w:sz w:val="32"/>
          <w:szCs w:val="32"/>
          <w:highlight w:val="none"/>
          <w:lang w:val="en-US" w:eastAsia="zh-CN"/>
        </w:rPr>
        <w:t>（四）住房保障支出</w:t>
      </w:r>
      <w:r>
        <w:rPr>
          <w:rFonts w:hint="eastAsia" w:ascii="仿宋_GB2312" w:hAnsi="黑体" w:eastAsia="仿宋_GB2312"/>
          <w:b/>
          <w:color w:val="auto"/>
          <w:sz w:val="32"/>
          <w:szCs w:val="32"/>
          <w:highlight w:val="none"/>
        </w:rPr>
        <w:t>（类</w:t>
      </w:r>
      <w:r>
        <w:rPr>
          <w:rFonts w:hint="eastAsia" w:ascii="仿宋_GB2312" w:hAnsi="黑体" w:eastAsia="仿宋_GB2312"/>
          <w:b/>
          <w:bCs/>
          <w:color w:val="auto"/>
          <w:sz w:val="32"/>
          <w:szCs w:val="32"/>
          <w:highlight w:val="none"/>
        </w:rPr>
        <w:t>）住房改革支出</w:t>
      </w:r>
      <w:r>
        <w:rPr>
          <w:rFonts w:hint="eastAsia" w:ascii="仿宋_GB2312" w:hAnsi="黑体" w:eastAsia="仿宋_GB2312"/>
          <w:b/>
          <w:bCs/>
          <w:color w:val="auto"/>
          <w:sz w:val="32"/>
          <w:szCs w:val="32"/>
          <w:highlight w:val="none"/>
          <w:lang w:eastAsia="zh-CN"/>
        </w:rPr>
        <w:t>（</w:t>
      </w:r>
      <w:r>
        <w:rPr>
          <w:rFonts w:hint="eastAsia" w:ascii="仿宋_GB2312" w:hAnsi="黑体" w:eastAsia="仿宋_GB2312"/>
          <w:b/>
          <w:bCs/>
          <w:color w:val="auto"/>
          <w:sz w:val="32"/>
          <w:szCs w:val="32"/>
          <w:highlight w:val="none"/>
          <w:lang w:val="en-US" w:eastAsia="zh-CN"/>
        </w:rPr>
        <w:t>款</w:t>
      </w:r>
      <w:r>
        <w:rPr>
          <w:rFonts w:hint="eastAsia" w:ascii="仿宋_GB2312" w:hAnsi="黑体" w:eastAsia="仿宋_GB2312"/>
          <w:b/>
          <w:bCs/>
          <w:color w:val="auto"/>
          <w:sz w:val="32"/>
          <w:szCs w:val="32"/>
          <w:highlight w:val="none"/>
          <w:lang w:eastAsia="zh-CN"/>
        </w:rPr>
        <w:t>）住房公积金（</w:t>
      </w:r>
      <w:r>
        <w:rPr>
          <w:rFonts w:hint="eastAsia" w:ascii="仿宋_GB2312" w:hAnsi="黑体" w:eastAsia="仿宋_GB2312"/>
          <w:b/>
          <w:bCs/>
          <w:color w:val="auto"/>
          <w:sz w:val="32"/>
          <w:szCs w:val="32"/>
          <w:highlight w:val="none"/>
          <w:lang w:val="en-US" w:eastAsia="zh-CN"/>
        </w:rPr>
        <w:t>项</w:t>
      </w:r>
      <w:r>
        <w:rPr>
          <w:rFonts w:hint="eastAsia" w:ascii="仿宋_GB2312" w:hAnsi="黑体" w:eastAsia="仿宋_GB2312"/>
          <w:b/>
          <w:bCs/>
          <w:color w:val="auto"/>
          <w:sz w:val="32"/>
          <w:szCs w:val="32"/>
          <w:highlight w:val="none"/>
          <w:lang w:eastAsia="zh-CN"/>
        </w:rPr>
        <w:t>）</w:t>
      </w:r>
      <w:r>
        <w:rPr>
          <w:rFonts w:hint="eastAsia" w:ascii="仿宋_GB2312" w:hAnsi="黑体" w:eastAsia="仿宋_GB2312"/>
          <w:sz w:val="32"/>
          <w:szCs w:val="32"/>
        </w:rPr>
        <w:t>2022年预算支出</w:t>
      </w:r>
      <w:r>
        <w:rPr>
          <w:rFonts w:hint="eastAsia" w:ascii="仿宋_GB2312" w:hAnsi="黑体" w:eastAsia="仿宋_GB2312"/>
          <w:color w:val="auto"/>
          <w:sz w:val="32"/>
          <w:szCs w:val="32"/>
          <w:lang w:eastAsia="zh-CN"/>
        </w:rPr>
        <w:t>503365.68</w:t>
      </w:r>
      <w:r>
        <w:rPr>
          <w:rFonts w:hint="eastAsia" w:ascii="仿宋_GB2312" w:hAnsi="黑体" w:eastAsia="仿宋_GB2312"/>
          <w:b w:val="0"/>
          <w:bCs/>
          <w:color w:val="auto"/>
          <w:sz w:val="32"/>
          <w:szCs w:val="32"/>
          <w:highlight w:val="none"/>
          <w:lang w:eastAsia="zh-CN"/>
        </w:rPr>
        <w:t>元，比</w:t>
      </w:r>
      <w:r>
        <w:rPr>
          <w:rFonts w:hint="eastAsia" w:ascii="仿宋_GB2312" w:hAnsi="黑体" w:eastAsia="仿宋_GB2312"/>
          <w:b w:val="0"/>
          <w:bCs/>
          <w:color w:val="auto"/>
          <w:sz w:val="32"/>
          <w:szCs w:val="32"/>
          <w:highlight w:val="none"/>
          <w:lang w:val="en-US" w:eastAsia="zh-CN"/>
        </w:rPr>
        <w:t>2021年增加</w:t>
      </w:r>
      <w:r>
        <w:rPr>
          <w:rFonts w:hint="eastAsia" w:ascii="仿宋" w:hAnsi="仿宋" w:eastAsia="仿宋" w:cs="仿宋"/>
          <w:b w:val="0"/>
          <w:bCs w:val="0"/>
          <w:color w:val="auto"/>
          <w:sz w:val="32"/>
          <w:szCs w:val="32"/>
          <w:lang w:val="en-US" w:eastAsia="zh-CN"/>
        </w:rPr>
        <w:t>100%</w:t>
      </w:r>
      <w:r>
        <w:rPr>
          <w:rFonts w:hint="eastAsia" w:ascii="仿宋" w:hAnsi="仿宋" w:eastAsia="仿宋" w:cs="仿宋"/>
          <w:b w:val="0"/>
          <w:bCs/>
          <w:color w:val="auto"/>
          <w:sz w:val="32"/>
          <w:szCs w:val="32"/>
          <w:lang w:val="en-US" w:eastAsia="zh-CN"/>
        </w:rPr>
        <w:t>。</w:t>
      </w:r>
      <w:r>
        <w:rPr>
          <w:rFonts w:hint="eastAsia" w:ascii="仿宋_GB2312" w:hAnsi="宋体" w:eastAsia="仿宋_GB2312"/>
          <w:sz w:val="32"/>
          <w:szCs w:val="32"/>
          <w:lang w:val="en-US" w:eastAsia="zh-CN"/>
        </w:rPr>
        <w:t>上年此项未单独列入单位预算。</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2022年一般公共预算基本支出</w:t>
      </w:r>
      <w:r>
        <w:rPr>
          <w:rFonts w:hint="eastAsia" w:ascii="仿宋_GB2312" w:hAnsi="黑体" w:eastAsia="仿宋_GB2312"/>
          <w:sz w:val="32"/>
          <w:szCs w:val="32"/>
          <w:lang w:val="en-US" w:eastAsia="zh-CN"/>
        </w:rPr>
        <w:t>8412895.04元，比上年</w:t>
      </w:r>
      <w:r>
        <w:rPr>
          <w:rFonts w:hint="eastAsia" w:ascii="仿宋_GB2312" w:hAnsi="宋体" w:eastAsia="仿宋_GB2312"/>
          <w:sz w:val="32"/>
          <w:szCs w:val="32"/>
          <w:lang w:val="en-US" w:eastAsia="zh-CN"/>
        </w:rPr>
        <w:t>增加39</w:t>
      </w:r>
      <w:r>
        <w:rPr>
          <w:rFonts w:hint="eastAsia" w:ascii="仿宋_GB2312" w:hAnsi="宋体" w:eastAsia="仿宋_GB2312"/>
          <w:sz w:val="32"/>
          <w:szCs w:val="32"/>
        </w:rPr>
        <w:t>%</w:t>
      </w:r>
      <w:r>
        <w:rPr>
          <w:rFonts w:hint="eastAsia" w:ascii="仿宋_GB2312" w:hAnsi="黑体" w:eastAsia="仿宋_GB2312"/>
          <w:sz w:val="32"/>
          <w:szCs w:val="32"/>
        </w:rPr>
        <w:t>，其中：人员经费</w:t>
      </w:r>
      <w:r>
        <w:rPr>
          <w:rFonts w:hint="eastAsia" w:ascii="仿宋_GB2312" w:hAnsi="黑体" w:eastAsia="仿宋_GB2312"/>
          <w:sz w:val="32"/>
          <w:szCs w:val="32"/>
          <w:lang w:val="en-US" w:eastAsia="zh-CN"/>
        </w:rPr>
        <w:t>7732895.04</w:t>
      </w:r>
      <w:r>
        <w:rPr>
          <w:rFonts w:hint="eastAsia" w:ascii="仿宋_GB2312" w:hAnsi="黑体" w:eastAsia="仿宋_GB2312"/>
          <w:sz w:val="32"/>
          <w:szCs w:val="32"/>
        </w:rPr>
        <w:t>元，单位运转经费</w:t>
      </w:r>
      <w:r>
        <w:rPr>
          <w:rFonts w:hint="eastAsia" w:ascii="仿宋_GB2312" w:hAnsi="黑体" w:eastAsia="仿宋_GB2312"/>
          <w:sz w:val="32"/>
          <w:szCs w:val="32"/>
          <w:lang w:val="en-US" w:eastAsia="zh-CN"/>
        </w:rPr>
        <w:t>680000</w:t>
      </w:r>
      <w:r>
        <w:rPr>
          <w:rFonts w:hint="eastAsia" w:ascii="仿宋_GB2312" w:hAnsi="黑体" w:eastAsia="仿宋_GB2312"/>
          <w:sz w:val="32"/>
          <w:szCs w:val="32"/>
        </w:rPr>
        <w:t>元，专项资金</w:t>
      </w:r>
      <w:r>
        <w:rPr>
          <w:rFonts w:hint="eastAsia" w:ascii="仿宋_GB2312" w:hAnsi="黑体" w:eastAsia="仿宋_GB2312"/>
          <w:sz w:val="32"/>
          <w:szCs w:val="32"/>
          <w:lang w:val="en-US" w:eastAsia="zh-CN"/>
        </w:rPr>
        <w:t>115000</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增加24</w:t>
      </w:r>
      <w:r>
        <w:rPr>
          <w:rFonts w:hint="eastAsia" w:ascii="仿宋_GB2312" w:hAnsi="宋体" w:eastAsia="仿宋_GB2312"/>
          <w:sz w:val="32"/>
          <w:szCs w:val="32"/>
        </w:rPr>
        <w:t>%</w:t>
      </w:r>
      <w:r>
        <w:rPr>
          <w:rFonts w:hint="eastAsia" w:ascii="仿宋_GB2312" w:hAnsi="黑体" w:eastAsia="仿宋_GB2312"/>
          <w:sz w:val="32"/>
          <w:szCs w:val="32"/>
        </w:rPr>
        <w:t>。</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val="en-US" w:eastAsia="zh-CN"/>
        </w:rPr>
        <w:t>职工增加，派驻纪检组和设立新的科室信息服务中心。</w:t>
      </w:r>
    </w:p>
    <w:p>
      <w:pPr>
        <w:spacing w:line="640" w:lineRule="exact"/>
        <w:ind w:firstLine="640" w:firstLineChars="200"/>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部门一般公共预算</w:t>
      </w:r>
      <w:r>
        <w:rPr>
          <w:rFonts w:hint="eastAsia" w:ascii="黑体" w:hAnsi="黑体" w:eastAsia="黑体"/>
          <w:sz w:val="32"/>
          <w:szCs w:val="32"/>
          <w:lang w:val="en-US" w:eastAsia="zh-CN"/>
        </w:rPr>
        <w:t>项目</w:t>
      </w:r>
      <w:r>
        <w:rPr>
          <w:rFonts w:hint="eastAsia" w:ascii="黑体" w:hAnsi="黑体" w:eastAsia="黑体"/>
          <w:sz w:val="32"/>
          <w:szCs w:val="32"/>
        </w:rPr>
        <w:t>支出情况说明</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2022年支出115000.00元，比上年减少67%。减少的主要原因是因项目减少。</w:t>
      </w:r>
    </w:p>
    <w:p>
      <w:pPr>
        <w:spacing w:line="640" w:lineRule="exact"/>
        <w:ind w:firstLine="640" w:firstLineChars="200"/>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、部门“三公”经费情况说明</w:t>
      </w:r>
    </w:p>
    <w:p>
      <w:pPr>
        <w:spacing w:line="640" w:lineRule="exact"/>
        <w:ind w:firstLine="640" w:firstLineChars="200"/>
        <w:rPr>
          <w:rFonts w:hint="default" w:ascii="仿宋_GB2312" w:hAnsi="黑体" w:eastAsia="仿宋_GB2312"/>
          <w:sz w:val="32"/>
          <w:szCs w:val="32"/>
          <w:lang w:val="en-US"/>
        </w:rPr>
      </w:pPr>
      <w:r>
        <w:rPr>
          <w:rFonts w:hint="eastAsia" w:ascii="仿宋_GB2312" w:hAnsi="黑体" w:eastAsia="仿宋_GB2312"/>
          <w:sz w:val="32"/>
          <w:szCs w:val="32"/>
        </w:rPr>
        <w:t>2022年“三公”经费预</w:t>
      </w:r>
      <w:r>
        <w:rPr>
          <w:rFonts w:hint="eastAsia" w:ascii="仿宋_GB2312" w:hAnsi="黑体" w:eastAsia="仿宋_GB2312"/>
          <w:sz w:val="32"/>
          <w:szCs w:val="32"/>
          <w:lang w:eastAsia="zh-CN"/>
        </w:rPr>
        <w:t>算</w:t>
      </w:r>
      <w:r>
        <w:rPr>
          <w:rFonts w:hint="eastAsia" w:ascii="仿宋_GB2312" w:hAnsi="黑体" w:eastAsia="仿宋_GB2312"/>
          <w:sz w:val="32"/>
          <w:szCs w:val="32"/>
          <w:lang w:val="en-US" w:eastAsia="zh-CN"/>
        </w:rPr>
        <w:t>80000</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增加35000</w:t>
      </w:r>
      <w:r>
        <w:rPr>
          <w:rFonts w:hint="eastAsia" w:ascii="仿宋_GB2312" w:hAnsi="黑体" w:eastAsia="仿宋_GB2312"/>
          <w:sz w:val="32"/>
          <w:szCs w:val="32"/>
        </w:rPr>
        <w:t>元。</w:t>
      </w:r>
      <w:r>
        <w:rPr>
          <w:rFonts w:hint="eastAsia" w:ascii="仿宋_GB2312" w:hAnsi="黑体" w:eastAsia="仿宋_GB2312"/>
          <w:sz w:val="32"/>
          <w:szCs w:val="32"/>
          <w:lang w:val="en-US" w:eastAsia="zh-CN"/>
        </w:rPr>
        <w:t>增加原因：公务用车使用次数增加相应维修次数增加。</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（一）因公出国（境）费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w:t>
      </w:r>
      <w:r>
        <w:rPr>
          <w:rFonts w:hint="eastAsia" w:ascii="仿宋_GB2312" w:hAnsi="黑体" w:eastAsia="仿宋_GB2312"/>
          <w:sz w:val="32"/>
          <w:szCs w:val="32"/>
          <w:lang w:val="en-US" w:eastAsia="zh-CN"/>
        </w:rPr>
        <w:t>增加0</w:t>
      </w:r>
      <w:r>
        <w:rPr>
          <w:rFonts w:hint="eastAsia" w:ascii="仿宋_GB2312" w:hAnsi="黑体" w:eastAsia="仿宋_GB2312"/>
          <w:sz w:val="32"/>
          <w:szCs w:val="32"/>
        </w:rPr>
        <w:t>元，</w:t>
      </w:r>
      <w:r>
        <w:rPr>
          <w:rFonts w:hint="eastAsia" w:ascii="仿宋_GB2312" w:hAnsi="黑体" w:eastAsia="仿宋_GB2312"/>
          <w:sz w:val="32"/>
          <w:szCs w:val="32"/>
          <w:lang w:val="en-US" w:eastAsia="zh-CN"/>
        </w:rPr>
        <w:t>无变化</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w:t>
      </w:r>
    </w:p>
    <w:p>
      <w:pPr>
        <w:spacing w:line="640" w:lineRule="exact"/>
        <w:ind w:firstLine="643" w:firstLineChars="200"/>
        <w:rPr>
          <w:rFonts w:hint="default" w:ascii="仿宋_GB2312" w:hAnsi="黑体" w:eastAsia="仿宋_GB2312"/>
          <w:sz w:val="32"/>
          <w:szCs w:val="32"/>
          <w:lang w:val="en-US"/>
        </w:rPr>
      </w:pPr>
      <w:r>
        <w:rPr>
          <w:rFonts w:hint="eastAsia" w:ascii="楷体_GB2312" w:hAnsi="黑体" w:eastAsia="楷体_GB2312"/>
          <w:b/>
          <w:sz w:val="32"/>
          <w:szCs w:val="32"/>
        </w:rPr>
        <w:t>（三）公务用车购置和运行</w:t>
      </w:r>
      <w:r>
        <w:rPr>
          <w:rFonts w:hint="eastAsia" w:ascii="楷体_GB2312" w:hAnsi="黑体" w:eastAsia="楷体_GB2312"/>
          <w:b w:val="0"/>
          <w:bCs/>
          <w:sz w:val="32"/>
          <w:szCs w:val="32"/>
          <w:lang w:val="en-US" w:eastAsia="zh-CN"/>
        </w:rPr>
        <w:t>80000</w:t>
      </w:r>
      <w:r>
        <w:rPr>
          <w:rFonts w:hint="eastAsia" w:ascii="仿宋_GB2312" w:hAnsi="黑体" w:eastAsia="仿宋_GB2312"/>
          <w:sz w:val="32"/>
          <w:szCs w:val="32"/>
        </w:rPr>
        <w:t>元，比上年预算数增加</w:t>
      </w:r>
      <w:r>
        <w:rPr>
          <w:rFonts w:hint="eastAsia" w:ascii="仿宋_GB2312" w:hAnsi="黑体" w:eastAsia="仿宋_GB2312"/>
          <w:sz w:val="32"/>
          <w:szCs w:val="32"/>
          <w:lang w:val="en-US" w:eastAsia="zh-CN"/>
        </w:rPr>
        <w:t>0</w:t>
      </w:r>
      <w:r>
        <w:rPr>
          <w:rFonts w:hint="eastAsia" w:ascii="仿宋_GB2312" w:hAnsi="黑体" w:eastAsia="仿宋_GB2312"/>
          <w:sz w:val="32"/>
          <w:szCs w:val="32"/>
        </w:rPr>
        <w:t>元，其中：公务用车购置费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eastAsia="zh-CN"/>
        </w:rPr>
        <w:t>无</w:t>
      </w:r>
      <w:r>
        <w:rPr>
          <w:rFonts w:hint="eastAsia" w:ascii="仿宋_GB2312" w:hAnsi="黑体" w:eastAsia="仿宋_GB2312"/>
          <w:sz w:val="32"/>
          <w:szCs w:val="32"/>
        </w:rPr>
        <w:t>变化情况；公务用车运行费</w:t>
      </w:r>
      <w:r>
        <w:rPr>
          <w:rFonts w:hint="eastAsia" w:ascii="仿宋_GB2312" w:hAnsi="黑体" w:eastAsia="仿宋_GB2312"/>
          <w:sz w:val="32"/>
          <w:szCs w:val="32"/>
          <w:lang w:val="en-US" w:eastAsia="zh-CN"/>
        </w:rPr>
        <w:t>80000</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增加35000</w:t>
      </w:r>
      <w:r>
        <w:rPr>
          <w:rFonts w:hint="eastAsia" w:ascii="仿宋_GB2312" w:hAnsi="黑体" w:eastAsia="仿宋_GB2312"/>
          <w:sz w:val="32"/>
          <w:szCs w:val="32"/>
        </w:rPr>
        <w:t>元。</w:t>
      </w:r>
      <w:r>
        <w:rPr>
          <w:rFonts w:hint="eastAsia" w:ascii="仿宋_GB2312" w:hAnsi="黑体" w:eastAsia="仿宋_GB2312"/>
          <w:sz w:val="32"/>
          <w:szCs w:val="32"/>
          <w:lang w:val="en-US" w:eastAsia="zh-CN"/>
        </w:rPr>
        <w:t>增加原因：公务用车使用次数增加相应维修次数增加。</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增加0</w:t>
      </w:r>
      <w:r>
        <w:rPr>
          <w:rFonts w:hint="eastAsia" w:ascii="仿宋_GB2312" w:hAnsi="黑体" w:eastAsia="仿宋_GB2312"/>
          <w:sz w:val="32"/>
          <w:szCs w:val="32"/>
        </w:rPr>
        <w:t>元。</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0元</w:t>
      </w:r>
      <w:r>
        <w:rPr>
          <w:rFonts w:hint="eastAsia" w:ascii="仿宋_GB2312" w:hAnsi="黑体" w:eastAsia="仿宋_GB2312"/>
          <w:sz w:val="32"/>
          <w:szCs w:val="32"/>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、部门机关运行经费及政府采购预算情况说明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2022年机关运行经费预算</w:t>
      </w:r>
      <w:r>
        <w:rPr>
          <w:rFonts w:hint="eastAsia" w:ascii="仿宋_GB2312" w:hAnsi="黑体" w:eastAsia="仿宋_GB2312"/>
          <w:sz w:val="32"/>
          <w:szCs w:val="32"/>
          <w:lang w:val="en-US" w:eastAsia="zh-CN"/>
        </w:rPr>
        <w:t>680000.00</w:t>
      </w:r>
      <w:r>
        <w:rPr>
          <w:rFonts w:hint="eastAsia" w:ascii="仿宋_GB2312" w:hAnsi="黑体" w:eastAsia="仿宋_GB2312"/>
          <w:sz w:val="32"/>
          <w:szCs w:val="32"/>
        </w:rPr>
        <w:t>元，比上年预算数增加</w:t>
      </w:r>
      <w:r>
        <w:rPr>
          <w:rFonts w:hint="eastAsia" w:ascii="仿宋_GB2312" w:hAnsi="黑体" w:eastAsia="仿宋_GB2312"/>
          <w:sz w:val="32"/>
          <w:szCs w:val="32"/>
          <w:lang w:val="en-US" w:eastAsia="zh-CN"/>
        </w:rPr>
        <w:t>110000</w:t>
      </w:r>
      <w:r>
        <w:rPr>
          <w:rFonts w:hint="eastAsia" w:ascii="仿宋_GB2312" w:hAnsi="黑体" w:eastAsia="仿宋_GB2312"/>
          <w:sz w:val="32"/>
          <w:szCs w:val="32"/>
        </w:rPr>
        <w:t>元。政府采购预算</w:t>
      </w:r>
      <w:r>
        <w:rPr>
          <w:rFonts w:hint="eastAsia" w:ascii="仿宋_GB2312" w:hAnsi="黑体" w:eastAsia="仿宋_GB2312"/>
          <w:sz w:val="32"/>
          <w:szCs w:val="32"/>
          <w:lang w:val="en-US" w:eastAsia="zh-CN"/>
        </w:rPr>
        <w:t>15000</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减少185000</w:t>
      </w:r>
      <w:r>
        <w:rPr>
          <w:rFonts w:hint="eastAsia" w:ascii="仿宋_GB2312" w:hAnsi="黑体" w:eastAsia="仿宋_GB2312"/>
          <w:sz w:val="32"/>
          <w:szCs w:val="32"/>
        </w:rPr>
        <w:t>元，</w:t>
      </w:r>
      <w:r>
        <w:rPr>
          <w:rFonts w:hint="eastAsia" w:ascii="仿宋_GB2312" w:hAnsi="黑体" w:eastAsia="仿宋_GB2312"/>
          <w:sz w:val="32"/>
          <w:szCs w:val="32"/>
          <w:lang w:val="en-US" w:eastAsia="zh-CN"/>
        </w:rPr>
        <w:t>减少92.5</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采购项目减少</w:t>
      </w:r>
      <w:r>
        <w:rPr>
          <w:rFonts w:hint="eastAsia" w:ascii="仿宋_GB2312" w:hAnsi="黑体" w:eastAsia="仿宋_GB2312"/>
          <w:sz w:val="32"/>
          <w:szCs w:val="32"/>
        </w:rPr>
        <w:t>，其中：政府采购货物预算</w:t>
      </w:r>
      <w:r>
        <w:rPr>
          <w:rFonts w:hint="eastAsia" w:ascii="仿宋_GB2312" w:hAnsi="黑体" w:eastAsia="仿宋_GB2312"/>
          <w:sz w:val="32"/>
          <w:szCs w:val="32"/>
          <w:lang w:val="en-US" w:eastAsia="zh-CN"/>
        </w:rPr>
        <w:t>15000</w:t>
      </w:r>
      <w:bookmarkStart w:id="0" w:name="_GoBack"/>
      <w:bookmarkEnd w:id="0"/>
      <w:r>
        <w:rPr>
          <w:rFonts w:hint="eastAsia" w:ascii="仿宋_GB2312" w:hAnsi="黑体" w:eastAsia="仿宋_GB2312"/>
          <w:sz w:val="32"/>
          <w:szCs w:val="32"/>
        </w:rPr>
        <w:t>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B896034"/>
    <w:rsid w:val="0D824E94"/>
    <w:rsid w:val="0E6F37D9"/>
    <w:rsid w:val="112936A0"/>
    <w:rsid w:val="1250416D"/>
    <w:rsid w:val="13B82E0D"/>
    <w:rsid w:val="141D039C"/>
    <w:rsid w:val="14BC6434"/>
    <w:rsid w:val="17432B85"/>
    <w:rsid w:val="1909264A"/>
    <w:rsid w:val="198119BE"/>
    <w:rsid w:val="1B78482C"/>
    <w:rsid w:val="1C6D1D31"/>
    <w:rsid w:val="1C947477"/>
    <w:rsid w:val="1D654F62"/>
    <w:rsid w:val="200B6135"/>
    <w:rsid w:val="204B1966"/>
    <w:rsid w:val="205A7194"/>
    <w:rsid w:val="210F4887"/>
    <w:rsid w:val="22273516"/>
    <w:rsid w:val="2233056C"/>
    <w:rsid w:val="22F351A8"/>
    <w:rsid w:val="23513756"/>
    <w:rsid w:val="250F1490"/>
    <w:rsid w:val="292A0545"/>
    <w:rsid w:val="2B26350E"/>
    <w:rsid w:val="2B5C1C56"/>
    <w:rsid w:val="2BCF3D4E"/>
    <w:rsid w:val="2C8C39F6"/>
    <w:rsid w:val="2CCB09C2"/>
    <w:rsid w:val="2D550DF7"/>
    <w:rsid w:val="2DBA0562"/>
    <w:rsid w:val="31352995"/>
    <w:rsid w:val="31FC33CC"/>
    <w:rsid w:val="32A96D1A"/>
    <w:rsid w:val="34032DB0"/>
    <w:rsid w:val="34B82D6F"/>
    <w:rsid w:val="373703E1"/>
    <w:rsid w:val="37580FE7"/>
    <w:rsid w:val="3932401D"/>
    <w:rsid w:val="396616D2"/>
    <w:rsid w:val="39A71DAE"/>
    <w:rsid w:val="3D8C4411"/>
    <w:rsid w:val="40465DD0"/>
    <w:rsid w:val="40CC1D5D"/>
    <w:rsid w:val="416268DB"/>
    <w:rsid w:val="45240B5C"/>
    <w:rsid w:val="452F6292"/>
    <w:rsid w:val="47AF499B"/>
    <w:rsid w:val="484D612A"/>
    <w:rsid w:val="48A9072C"/>
    <w:rsid w:val="4A1A6283"/>
    <w:rsid w:val="4D903B41"/>
    <w:rsid w:val="4DA8126D"/>
    <w:rsid w:val="4DD72226"/>
    <w:rsid w:val="4EA300AE"/>
    <w:rsid w:val="50622DD8"/>
    <w:rsid w:val="51C77E42"/>
    <w:rsid w:val="53B74188"/>
    <w:rsid w:val="54B1376D"/>
    <w:rsid w:val="56311F34"/>
    <w:rsid w:val="564548F7"/>
    <w:rsid w:val="565305B1"/>
    <w:rsid w:val="56C73340"/>
    <w:rsid w:val="59441D15"/>
    <w:rsid w:val="59DD395F"/>
    <w:rsid w:val="5A3206F2"/>
    <w:rsid w:val="5B856AA6"/>
    <w:rsid w:val="5E5403CF"/>
    <w:rsid w:val="61EF1B1B"/>
    <w:rsid w:val="621A3658"/>
    <w:rsid w:val="62B62979"/>
    <w:rsid w:val="64252B6E"/>
    <w:rsid w:val="651520BC"/>
    <w:rsid w:val="661A6258"/>
    <w:rsid w:val="6A136FDE"/>
    <w:rsid w:val="6A752B54"/>
    <w:rsid w:val="6EA6456E"/>
    <w:rsid w:val="707945E1"/>
    <w:rsid w:val="73D877E2"/>
    <w:rsid w:val="74517818"/>
    <w:rsid w:val="75840CDB"/>
    <w:rsid w:val="75FA50B5"/>
    <w:rsid w:val="76EF7C40"/>
    <w:rsid w:val="77781E83"/>
    <w:rsid w:val="77E506A5"/>
    <w:rsid w:val="78062181"/>
    <w:rsid w:val="78A47BF4"/>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2764</Words>
  <Characters>3058</Characters>
  <Lines>16</Lines>
  <Paragraphs>4</Paragraphs>
  <TotalTime>2</TotalTime>
  <ScaleCrop>false</ScaleCrop>
  <LinksUpToDate>false</LinksUpToDate>
  <CharactersWithSpaces>3138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2023-06-08T08:16:32Z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7C336B64C6D140C18A37C9AA767B8F7A_13</vt:lpwstr>
  </property>
</Properties>
</file>