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hint="eastAsia" w:ascii="楷体" w:hAnsi="楷体" w:eastAsia="方正小标宋简体"/>
          <w:sz w:val="30"/>
          <w:szCs w:val="30"/>
          <w:lang w:eastAsia="zh-CN"/>
        </w:rPr>
      </w:pPr>
      <w:r>
        <w:rPr>
          <w:rFonts w:hint="eastAsia" w:ascii="方正小标宋简体" w:eastAsia="方正小标宋简体"/>
          <w:sz w:val="72"/>
          <w:szCs w:val="72"/>
          <w:lang w:val="en-US" w:eastAsia="zh-CN"/>
        </w:rPr>
        <w:t>2022年</w:t>
      </w:r>
      <w:r>
        <w:rPr>
          <w:rFonts w:hint="eastAsia" w:ascii="方正小标宋简体" w:eastAsia="方正小标宋简体"/>
          <w:sz w:val="72"/>
          <w:szCs w:val="72"/>
          <w:lang w:eastAsia="zh-CN"/>
        </w:rPr>
        <w:t>东乡县凤山乡</w:t>
      </w:r>
      <w:r>
        <w:rPr>
          <w:rFonts w:hint="eastAsia" w:ascii="方正小标宋简体" w:eastAsia="方正小标宋简体"/>
          <w:sz w:val="72"/>
          <w:szCs w:val="72"/>
        </w:rPr>
        <w:t>部门预算</w:t>
      </w:r>
      <w:r>
        <w:rPr>
          <w:rFonts w:hint="eastAsia" w:ascii="方正小标宋简体" w:eastAsia="方正小标宋简体"/>
          <w:sz w:val="72"/>
          <w:szCs w:val="72"/>
          <w:lang w:eastAsia="zh-CN"/>
        </w:rPr>
        <w:t>公开</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rPr>
        <w:t>2022年</w:t>
      </w:r>
      <w:r>
        <w:rPr>
          <w:rFonts w:hint="eastAsia" w:ascii="方正小标宋简体" w:eastAsia="方正小标宋简体"/>
          <w:sz w:val="48"/>
          <w:szCs w:val="48"/>
          <w:lang w:val="en-US" w:eastAsia="zh-CN"/>
        </w:rPr>
        <w:t>5</w:t>
      </w:r>
      <w:r>
        <w:rPr>
          <w:rFonts w:hint="eastAsia" w:ascii="方正小标宋简体" w:eastAsia="方正小标宋简体"/>
          <w:sz w:val="48"/>
          <w:szCs w:val="48"/>
        </w:rPr>
        <w:t>月</w:t>
      </w:r>
    </w:p>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ind w:left="720" w:leftChars="0" w:firstLineChars="0"/>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930" w:firstLineChars="300"/>
        <w:jc w:val="left"/>
        <w:rPr>
          <w:rFonts w:ascii="仿宋_GB2312" w:hAnsi="宋体" w:eastAsia="仿宋_GB2312" w:cs="宋体"/>
          <w:kern w:val="0"/>
          <w:sz w:val="32"/>
          <w:szCs w:val="32"/>
          <w:highlight w:val="yellow"/>
        </w:rPr>
      </w:pPr>
      <w:r>
        <w:rPr>
          <w:rFonts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宣传和贯彻执行党的路线方针政策和法律法规;制定地方经济社会发展规划和年度计划并组织</w:t>
      </w:r>
      <w:r>
        <w:rPr>
          <w:rFonts w:hint="eastAsia" w:ascii="仿宋" w:hAnsi="仿宋" w:eastAsia="仿宋" w:cs="仿宋"/>
          <w:color w:val="000000"/>
          <w:kern w:val="0"/>
          <w:sz w:val="31"/>
          <w:szCs w:val="31"/>
          <w:lang w:val="en-US" w:eastAsia="zh-CN" w:bidi="ar"/>
        </w:rPr>
        <w:t>实施;坚持依法行政,推进民主政治,加强基层政权建设做好农业、农村、农民和社区工作,推进乡村振兴。 2、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3、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4、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5、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6、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7、按照管理权限,负责机关和事业单位工作人员的教育、培养、选拔和监督工作; 协助管理好派驻单位人员。8、依法依规承担下放的经济社会管理权限和行政执法事项。9、法律、法规规定和县委、县政府交办的其他事项。</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凤山乡设10个内设机构，包括：</w:t>
      </w:r>
      <w:r>
        <w:rPr>
          <w:rFonts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党政综合办公室</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2.党建工作办公室</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3.经济发展和社会事务办</w:t>
      </w:r>
      <w:r>
        <w:rPr>
          <w:rFonts w:hint="eastAsia" w:ascii="仿宋" w:hAnsi="仿宋" w:eastAsia="仿宋" w:cs="仿宋"/>
          <w:color w:val="000000"/>
          <w:kern w:val="0"/>
          <w:sz w:val="31"/>
          <w:szCs w:val="31"/>
          <w:lang w:val="en-US" w:eastAsia="zh-CN" w:bidi="ar"/>
        </w:rPr>
        <w:t>公室；4.社会治理和应急管理办公室；5、农业农村综合服务中心；6、公共事务服务中心； 7、政务（便民）服务中心；8、社会治安综合治理中心；9、综合行政执法队；10、乡村振兴工作站。</w:t>
      </w:r>
    </w:p>
    <w:p>
      <w:pPr>
        <w:keepNext w:val="0"/>
        <w:keepLines w:val="0"/>
        <w:widowControl/>
        <w:suppressLineNumbers w:val="0"/>
        <w:ind w:firstLine="930" w:firstLineChars="300"/>
        <w:jc w:val="left"/>
        <w:rPr>
          <w:rFonts w:hint="eastAsia" w:ascii="仿宋" w:hAnsi="仿宋" w:eastAsia="仿宋" w:cs="仿宋"/>
          <w:color w:val="000000"/>
          <w:kern w:val="0"/>
          <w:sz w:val="31"/>
          <w:szCs w:val="31"/>
          <w:lang w:val="en-US" w:eastAsia="zh-CN" w:bidi="ar"/>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both"/>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r>
        <w:rPr>
          <w:rFonts w:hint="eastAsia" w:ascii="仿宋_GB2312" w:hAnsi="黑体" w:eastAsia="仿宋_GB2312"/>
          <w:b/>
          <w:sz w:val="52"/>
          <w:szCs w:val="52"/>
        </w:rPr>
        <w:t>第二部分  2022年部门预算表格</w:t>
      </w: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w:t>
      </w:r>
      <w:r>
        <w:rPr>
          <w:rFonts w:hint="eastAsia" w:ascii="仿宋_GB2312" w:hAnsi="黑体" w:eastAsia="仿宋_GB2312"/>
          <w:sz w:val="32"/>
          <w:szCs w:val="32"/>
          <w:highlight w:val="none"/>
          <w:lang w:val="en-US" w:eastAsia="zh-CN"/>
        </w:rPr>
        <w:t>7706002.49</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658242.49</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9.34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w:t>
      </w:r>
      <w:r>
        <w:rPr>
          <w:rFonts w:hint="eastAsia" w:ascii="仿宋_GB2312" w:hAnsi="黑体" w:eastAsia="仿宋_GB2312"/>
          <w:sz w:val="32"/>
          <w:szCs w:val="32"/>
          <w:highlight w:val="none"/>
        </w:rPr>
        <w:t>其中：一般公共预算财政拨款收入</w:t>
      </w:r>
      <w:r>
        <w:rPr>
          <w:rFonts w:hint="eastAsia" w:ascii="仿宋_GB2312" w:hAnsi="黑体" w:eastAsia="仿宋_GB2312"/>
          <w:sz w:val="32"/>
          <w:szCs w:val="32"/>
          <w:highlight w:val="none"/>
          <w:lang w:val="en-US" w:eastAsia="zh-CN"/>
        </w:rPr>
        <w:t>7706002.49</w:t>
      </w:r>
      <w:r>
        <w:rPr>
          <w:rFonts w:hint="eastAsia" w:ascii="仿宋_GB2312" w:hAnsi="黑体" w:eastAsia="仿宋_GB2312"/>
          <w:sz w:val="32"/>
          <w:szCs w:val="32"/>
          <w:highlight w:val="none"/>
        </w:rPr>
        <w:t>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lang w:val="en-US" w:eastAsia="zh-CN"/>
        </w:rPr>
        <w:t>7706002.49</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9.34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lang w:eastAsia="zh-CN"/>
        </w:rPr>
        <w:t>人员正常晋升调资等人员经费开支增加。</w:t>
      </w:r>
    </w:p>
    <w:p>
      <w:pPr>
        <w:spacing w:line="640" w:lineRule="exact"/>
        <w:ind w:firstLine="643" w:firstLineChars="200"/>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5250590.00</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5250590.00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15.23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w:t>
      </w:r>
      <w:r>
        <w:rPr>
          <w:rFonts w:hint="eastAsia" w:ascii="仿宋_GB2312" w:hAnsi="黑体" w:eastAsia="仿宋_GB2312"/>
          <w:sz w:val="32"/>
          <w:szCs w:val="32"/>
          <w:highlight w:val="none"/>
          <w:lang w:eastAsia="zh-CN"/>
        </w:rPr>
        <w:t>人员正常晋升调资等人员经费开支增加。</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560423.12</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8.67</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eastAsia="zh-CN"/>
        </w:rPr>
        <w:t>；人员正常晋升及调资缴费基数增加。</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lang w:eastAsia="zh-CN"/>
        </w:rPr>
        <w:t>卫生健康支出230261.13元，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eastAsia="zh-CN"/>
        </w:rPr>
        <w:t>主要原因是上年无单独预算。</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lang w:eastAsia="zh-CN"/>
        </w:rPr>
        <w:t>农林水支出</w:t>
      </w:r>
      <w:r>
        <w:rPr>
          <w:rFonts w:hint="eastAsia" w:ascii="仿宋_GB2312" w:hAnsi="黑体" w:eastAsia="仿宋_GB2312"/>
          <w:sz w:val="32"/>
          <w:szCs w:val="32"/>
          <w:highlight w:val="none"/>
          <w:lang w:val="en-US" w:eastAsia="zh-CN"/>
        </w:rPr>
        <w:t>1249600元，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36.7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，主要原因是村社干部人员减少，人员经费开支减少。</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住房保障支出415128.24</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eastAsia="zh-CN"/>
        </w:rPr>
        <w:t>主要原因是上年无单独预算。</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5916402.49</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30.89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,主要原因是</w:t>
      </w:r>
      <w:r>
        <w:rPr>
          <w:rFonts w:hint="eastAsia" w:ascii="仿宋_GB2312" w:hAnsi="黑体" w:eastAsia="仿宋_GB2312"/>
          <w:sz w:val="32"/>
          <w:szCs w:val="32"/>
          <w:highlight w:val="none"/>
          <w:lang w:eastAsia="zh-CN"/>
        </w:rPr>
        <w:t>人员正常晋升调资等人员经费开支增加</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商品和服务</w:t>
      </w:r>
      <w:r>
        <w:rPr>
          <w:rFonts w:hint="eastAsia" w:ascii="仿宋_GB2312" w:hAnsi="黑体" w:eastAsia="仿宋_GB2312"/>
          <w:sz w:val="32"/>
          <w:szCs w:val="32"/>
          <w:highlight w:val="none"/>
        </w:rPr>
        <w:t>480000.00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4.10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,主要原因是商品服务方面支出增加。</w:t>
      </w:r>
      <w:r>
        <w:rPr>
          <w:rFonts w:hint="eastAsia" w:ascii="仿宋_GB2312" w:hAnsi="宋体" w:eastAsia="仿宋_GB2312"/>
          <w:sz w:val="32"/>
          <w:szCs w:val="32"/>
          <w:highlight w:val="none"/>
        </w:rPr>
        <w:t>对个人和家庭的补助</w:t>
      </w:r>
      <w:r>
        <w:rPr>
          <w:rFonts w:hint="eastAsia" w:ascii="仿宋_GB2312" w:hAnsi="黑体" w:eastAsia="仿宋_GB2312"/>
          <w:sz w:val="32"/>
          <w:szCs w:val="32"/>
          <w:highlight w:val="none"/>
        </w:rPr>
        <w:t>999600.00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较上年无增加。</w:t>
      </w:r>
      <w:r>
        <w:rPr>
          <w:rFonts w:hint="eastAsia" w:ascii="仿宋_GB2312" w:hAnsi="宋体" w:eastAsia="仿宋_GB2312"/>
          <w:sz w:val="32"/>
          <w:szCs w:val="32"/>
          <w:highlight w:val="none"/>
        </w:rPr>
        <w:t>基本建设支出</w:t>
      </w:r>
      <w:r>
        <w:rPr>
          <w:rFonts w:hint="eastAsia" w:ascii="仿宋_GB2312" w:hAnsi="黑体" w:eastAsia="仿宋_GB2312"/>
          <w:sz w:val="32"/>
          <w:szCs w:val="32"/>
          <w:highlight w:val="none"/>
          <w:lang w:val="en-US" w:eastAsia="zh-CN"/>
        </w:rPr>
        <w:t>30000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较上年无增加。</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楷体_GB2312" w:hAnsi="黑体" w:eastAsia="楷体_GB2312"/>
          <w:b/>
          <w:sz w:val="32"/>
          <w:szCs w:val="32"/>
          <w:highlight w:val="none"/>
        </w:rPr>
        <w:t>（一）一般公共服务支出（类）人大事务</w:t>
      </w:r>
      <w:r>
        <w:rPr>
          <w:rFonts w:hint="eastAsia" w:ascii="楷体_GB2312" w:hAnsi="黑体" w:eastAsia="楷体_GB2312"/>
          <w:b/>
          <w:sz w:val="32"/>
          <w:szCs w:val="32"/>
          <w:highlight w:val="none"/>
          <w:lang w:eastAsia="zh-CN"/>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10000元，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增长</w:t>
      </w:r>
      <w:r>
        <w:rPr>
          <w:rFonts w:hint="eastAsia" w:ascii="仿宋_GB2312" w:hAnsi="宋体" w:eastAsia="仿宋_GB2312"/>
          <w:sz w:val="32"/>
          <w:szCs w:val="32"/>
          <w:highlight w:val="none"/>
          <w:lang w:val="en-US" w:eastAsia="zh-CN"/>
        </w:rPr>
        <w:t>100%。其中：行政运行（项）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10000元，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增长</w:t>
      </w:r>
      <w:r>
        <w:rPr>
          <w:rFonts w:hint="eastAsia" w:ascii="仿宋_GB2312" w:hAnsi="宋体" w:eastAsia="仿宋_GB2312"/>
          <w:sz w:val="32"/>
          <w:szCs w:val="32"/>
          <w:highlight w:val="none"/>
          <w:lang w:val="en-US" w:eastAsia="zh-CN"/>
        </w:rPr>
        <w:t>100%。去年预算未安排。</w:t>
      </w:r>
      <w:r>
        <w:rPr>
          <w:rFonts w:hint="eastAsia" w:ascii="仿宋_GB2312" w:hAnsi="黑体" w:eastAsia="仿宋_GB2312"/>
          <w:b/>
          <w:bCs/>
          <w:sz w:val="32"/>
          <w:szCs w:val="32"/>
          <w:highlight w:val="none"/>
        </w:rPr>
        <w:t>政府办公厅（室）及相关机构事务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2022年预算支出5240590.00元，比上年预算数</w:t>
      </w:r>
      <w:r>
        <w:rPr>
          <w:rFonts w:hint="eastAsia" w:ascii="仿宋_GB2312" w:hAnsi="宋体" w:eastAsia="仿宋_GB2312"/>
          <w:sz w:val="32"/>
          <w:szCs w:val="32"/>
          <w:highlight w:val="none"/>
          <w:lang w:eastAsia="zh-CN"/>
        </w:rPr>
        <w:t>增长</w:t>
      </w:r>
      <w:r>
        <w:rPr>
          <w:rFonts w:hint="eastAsia" w:ascii="仿宋_GB2312" w:hAnsi="黑体" w:eastAsia="仿宋_GB2312"/>
          <w:sz w:val="32"/>
          <w:szCs w:val="32"/>
          <w:highlight w:val="none"/>
          <w:lang w:val="en-US" w:eastAsia="zh-CN"/>
        </w:rPr>
        <w:t>16.09</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。其中：行政运行（项）2022年预算支出5210590.00元，比上年预算数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13.36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，人员经费增加。其他政府办公厅（室）及相关机构事务支出（项）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30000元，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100%，上</w:t>
      </w:r>
      <w:r>
        <w:rPr>
          <w:rFonts w:hint="eastAsia" w:ascii="仿宋_GB2312" w:hAnsi="宋体" w:eastAsia="仿宋_GB2312"/>
          <w:sz w:val="32"/>
          <w:szCs w:val="32"/>
          <w:highlight w:val="none"/>
          <w:lang w:val="en-US" w:eastAsia="zh-CN"/>
        </w:rPr>
        <w:t>年预算未安排。</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rPr>
        <w:t>行政事业单位养老支出（款）</w:t>
      </w:r>
      <w:r>
        <w:rPr>
          <w:rFonts w:hint="eastAsia" w:ascii="仿宋_GB2312" w:hAnsi="黑体" w:eastAsia="仿宋_GB2312"/>
          <w:sz w:val="32"/>
          <w:szCs w:val="32"/>
          <w:highlight w:val="none"/>
        </w:rPr>
        <w:t>2022年预算支出553504.32元，比上年预算数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7.33</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。其中：机关事业单位基本养老保险缴费支出（项）2022年预算支出553504.32元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7.33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w:t>
      </w:r>
      <w:r>
        <w:rPr>
          <w:rFonts w:hint="eastAsia" w:ascii="仿宋_GB2312" w:hAnsi="黑体" w:eastAsia="仿宋_GB2312"/>
          <w:sz w:val="32"/>
          <w:szCs w:val="32"/>
          <w:highlight w:val="none"/>
          <w:lang w:eastAsia="zh-CN"/>
        </w:rPr>
        <w:t>人员正常晋升及调资缴费基数增加。</w:t>
      </w:r>
    </w:p>
    <w:p>
      <w:pPr>
        <w:spacing w:line="640" w:lineRule="exact"/>
        <w:rPr>
          <w:rFonts w:hint="eastAsia" w:ascii="仿宋_GB2312" w:hAnsi="黑体" w:eastAsia="仿宋_GB2312"/>
          <w:sz w:val="32"/>
          <w:szCs w:val="32"/>
          <w:highlight w:val="none"/>
          <w:lang w:eastAsia="zh-CN"/>
        </w:rPr>
      </w:pPr>
      <w:r>
        <w:rPr>
          <w:rFonts w:hint="eastAsia" w:ascii="仿宋_GB2312" w:hAnsi="黑体" w:eastAsia="仿宋_GB2312"/>
          <w:b/>
          <w:bCs/>
          <w:sz w:val="32"/>
          <w:szCs w:val="32"/>
          <w:highlight w:val="none"/>
        </w:rPr>
        <w:t>财政对其他社会保险基金的补助</w:t>
      </w:r>
      <w:r>
        <w:rPr>
          <w:rFonts w:hint="eastAsia" w:ascii="仿宋_GB2312" w:hAnsi="黑体" w:eastAsia="仿宋_GB2312"/>
          <w:b/>
          <w:bCs/>
          <w:sz w:val="32"/>
          <w:szCs w:val="32"/>
          <w:highlight w:val="none"/>
          <w:lang w:eastAsia="zh-CN"/>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6918.80元，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rPr>
        <w:t>。财政对工伤保险基金的补助</w:t>
      </w:r>
      <w:r>
        <w:rPr>
          <w:rFonts w:hint="eastAsia" w:ascii="仿宋_GB2312" w:hAnsi="黑体" w:eastAsia="仿宋_GB2312"/>
          <w:sz w:val="32"/>
          <w:szCs w:val="32"/>
          <w:highlight w:val="none"/>
          <w:lang w:val="en-US" w:eastAsia="zh-CN"/>
        </w:rPr>
        <w:t>(项）</w:t>
      </w:r>
      <w:r>
        <w:rPr>
          <w:rFonts w:hint="eastAsia" w:ascii="仿宋_GB2312" w:hAnsi="黑体" w:eastAsia="仿宋_GB2312"/>
          <w:sz w:val="32"/>
          <w:szCs w:val="32"/>
          <w:highlight w:val="none"/>
        </w:rPr>
        <w:t>2022年预算</w:t>
      </w:r>
      <w:r>
        <w:rPr>
          <w:rFonts w:hint="eastAsia" w:ascii="仿宋_GB2312" w:hAnsi="黑体" w:eastAsia="仿宋_GB2312"/>
          <w:sz w:val="32"/>
          <w:szCs w:val="32"/>
          <w:highlight w:val="none"/>
          <w:lang w:eastAsia="zh-CN"/>
        </w:rPr>
        <w:t>支出6918.80元，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，上年未单独预算。</w:t>
      </w:r>
    </w:p>
    <w:p>
      <w:pPr>
        <w:numPr>
          <w:ilvl w:val="0"/>
          <w:numId w:val="0"/>
        </w:numPr>
        <w:spacing w:line="640" w:lineRule="exact"/>
        <w:ind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bCs/>
          <w:sz w:val="32"/>
          <w:szCs w:val="32"/>
          <w:highlight w:val="none"/>
          <w:lang w:eastAsia="zh-CN"/>
        </w:rPr>
        <w:t>（三）卫生健康支出（类）财政对基本医疗保险基金的补助（款）</w:t>
      </w:r>
      <w:r>
        <w:rPr>
          <w:rFonts w:hint="eastAsia" w:ascii="仿宋_GB2312" w:hAnsi="黑体" w:eastAsia="仿宋_GB2312"/>
          <w:sz w:val="32"/>
          <w:szCs w:val="32"/>
          <w:highlight w:val="none"/>
        </w:rPr>
        <w:t>2022年预算支出230261.13</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，上年未单独预算。其中：财政对职工基本医疗保险基金的补助（项）</w:t>
      </w:r>
      <w:r>
        <w:rPr>
          <w:rFonts w:hint="eastAsia" w:ascii="仿宋_GB2312" w:hAnsi="黑体" w:eastAsia="仿宋_GB2312"/>
          <w:sz w:val="32"/>
          <w:szCs w:val="32"/>
          <w:highlight w:val="none"/>
        </w:rPr>
        <w:t>2022年预算支出230261.13</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，上年未单独预算。</w:t>
      </w:r>
    </w:p>
    <w:p>
      <w:pPr>
        <w:spacing w:line="640" w:lineRule="exact"/>
        <w:ind w:firstLine="643" w:firstLineChars="200"/>
        <w:rPr>
          <w:rFonts w:hint="eastAsia" w:ascii="仿宋_GB2312" w:hAnsi="宋体" w:eastAsia="仿宋_GB2312"/>
          <w:sz w:val="32"/>
          <w:szCs w:val="32"/>
          <w:highlight w:val="none"/>
          <w:lang w:eastAsia="zh-CN"/>
        </w:rPr>
      </w:pPr>
      <w:r>
        <w:rPr>
          <w:rFonts w:hint="eastAsia" w:ascii="仿宋_GB2312" w:hAnsi="黑体" w:eastAsia="仿宋_GB2312"/>
          <w:b/>
          <w:bCs/>
          <w:sz w:val="32"/>
          <w:szCs w:val="32"/>
          <w:highlight w:val="none"/>
          <w:lang w:val="en-US" w:eastAsia="zh-CN"/>
        </w:rPr>
        <w:t>（四）农林水支出（类）农村综合改革（款）</w:t>
      </w:r>
      <w:r>
        <w:rPr>
          <w:rFonts w:hint="eastAsia" w:ascii="仿宋_GB2312" w:hAnsi="黑体" w:eastAsia="仿宋_GB2312"/>
          <w:sz w:val="32"/>
          <w:szCs w:val="32"/>
          <w:highlight w:val="none"/>
        </w:rPr>
        <w:t>2022年预算支出</w:t>
      </w:r>
      <w:r>
        <w:rPr>
          <w:rFonts w:hint="eastAsia" w:ascii="仿宋_GB2312" w:hAnsi="黑体" w:eastAsia="仿宋_GB2312"/>
          <w:b w:val="0"/>
          <w:bCs w:val="0"/>
          <w:sz w:val="32"/>
          <w:szCs w:val="32"/>
          <w:highlight w:val="none"/>
          <w:lang w:val="en-US" w:eastAsia="zh-CN"/>
        </w:rPr>
        <w:t>1249600.00元，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36.7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，主要原因是村社干部人员减少，人员经费开支减少。其中：对村民委员会和村党支部的补助（项）</w:t>
      </w:r>
      <w:r>
        <w:rPr>
          <w:rFonts w:hint="eastAsia" w:ascii="仿宋_GB2312" w:hAnsi="黑体" w:eastAsia="仿宋_GB2312"/>
          <w:sz w:val="32"/>
          <w:szCs w:val="32"/>
          <w:highlight w:val="none"/>
        </w:rPr>
        <w:t>2022年预算支出</w:t>
      </w:r>
      <w:r>
        <w:rPr>
          <w:rFonts w:hint="eastAsia" w:ascii="仿宋_GB2312" w:hAnsi="黑体" w:eastAsia="仿宋_GB2312"/>
          <w:b w:val="0"/>
          <w:bCs w:val="0"/>
          <w:sz w:val="32"/>
          <w:szCs w:val="32"/>
          <w:highlight w:val="none"/>
          <w:lang w:val="en-US" w:eastAsia="zh-CN"/>
        </w:rPr>
        <w:t>1249600.00元，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36.7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，主要原因是村社干部人员减少，人员经费开支减少。</w:t>
      </w:r>
    </w:p>
    <w:p>
      <w:pPr>
        <w:numPr>
          <w:ilvl w:val="0"/>
          <w:numId w:val="0"/>
        </w:numPr>
        <w:spacing w:line="640" w:lineRule="exact"/>
        <w:ind w:firstLine="643" w:firstLineChars="200"/>
        <w:rPr>
          <w:rFonts w:hint="eastAsia" w:ascii="仿宋_GB2312" w:hAnsi="黑体" w:eastAsia="仿宋_GB2312"/>
          <w:b/>
          <w:bCs/>
          <w:sz w:val="32"/>
          <w:szCs w:val="32"/>
          <w:highlight w:val="none"/>
          <w:lang w:eastAsia="zh-CN"/>
        </w:rPr>
      </w:pPr>
      <w:r>
        <w:rPr>
          <w:rFonts w:hint="eastAsia" w:ascii="仿宋_GB2312" w:hAnsi="黑体" w:eastAsia="仿宋_GB2312"/>
          <w:b/>
          <w:bCs/>
          <w:sz w:val="32"/>
          <w:szCs w:val="32"/>
          <w:highlight w:val="none"/>
          <w:lang w:val="en-US" w:eastAsia="zh-CN"/>
        </w:rPr>
        <w:t>（五）住房保障支出（类）住房改革支出（款）</w:t>
      </w:r>
      <w:r>
        <w:rPr>
          <w:rFonts w:hint="eastAsia" w:ascii="仿宋_GB2312" w:hAnsi="黑体" w:eastAsia="仿宋_GB2312"/>
          <w:sz w:val="32"/>
          <w:szCs w:val="32"/>
          <w:highlight w:val="none"/>
        </w:rPr>
        <w:t>2022年预算支出415128.24</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，上年未单独预算。其中：住房公积金（款）</w:t>
      </w:r>
      <w:r>
        <w:rPr>
          <w:rFonts w:hint="eastAsia" w:ascii="仿宋_GB2312" w:hAnsi="黑体" w:eastAsia="仿宋_GB2312"/>
          <w:sz w:val="32"/>
          <w:szCs w:val="32"/>
          <w:highlight w:val="none"/>
        </w:rPr>
        <w:t>2022年预算支出415128.24</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lang w:eastAsia="zh-CN"/>
        </w:rPr>
        <w:t>，上年未单独预算。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2022年一般公共预算基本支出6416402.49</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lang w:eastAsia="zh-CN"/>
        </w:rPr>
        <w:t>增长</w:t>
      </w:r>
      <w:r>
        <w:rPr>
          <w:rFonts w:hint="eastAsia" w:ascii="仿宋_GB2312" w:hAnsi="黑体" w:eastAsia="仿宋_GB2312"/>
          <w:sz w:val="32"/>
          <w:szCs w:val="32"/>
          <w:highlight w:val="none"/>
          <w:lang w:val="en-US" w:eastAsia="zh-CN"/>
        </w:rPr>
        <w:t>26.5</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元，其中：人员经费5916402.49元，单位运转经费500000.00元</w:t>
      </w:r>
      <w:r>
        <w:rPr>
          <w:rFonts w:hint="eastAsia" w:ascii="仿宋_GB2312" w:hAnsi="黑体" w:eastAsia="仿宋_GB2312"/>
          <w:sz w:val="32"/>
          <w:szCs w:val="32"/>
          <w:highlight w:val="none"/>
          <w:lang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、部门一般公共预算</w:t>
      </w:r>
      <w:r>
        <w:rPr>
          <w:rFonts w:hint="eastAsia" w:ascii="黑体" w:hAnsi="黑体" w:eastAsia="黑体"/>
          <w:sz w:val="32"/>
          <w:szCs w:val="32"/>
          <w:highlight w:val="none"/>
          <w:lang w:eastAsia="zh-CN"/>
        </w:rPr>
        <w:t>项目</w:t>
      </w:r>
      <w:r>
        <w:rPr>
          <w:rFonts w:hint="eastAsia" w:ascii="黑体" w:hAnsi="黑体" w:eastAsia="黑体"/>
          <w:sz w:val="32"/>
          <w:szCs w:val="32"/>
          <w:highlight w:val="none"/>
        </w:rPr>
        <w:t>支出情况说明</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2022年一般公共预算基本支出1289600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36.74%。</w:t>
      </w:r>
      <w:r>
        <w:rPr>
          <w:rFonts w:hint="eastAsia" w:ascii="仿宋_GB2312" w:hAnsi="黑体" w:eastAsia="仿宋_GB2312"/>
          <w:sz w:val="32"/>
          <w:szCs w:val="32"/>
          <w:highlight w:val="none"/>
          <w:lang w:eastAsia="zh-CN"/>
        </w:rPr>
        <w:t>涉及</w:t>
      </w:r>
      <w:r>
        <w:rPr>
          <w:rFonts w:hint="eastAsia" w:ascii="仿宋_GB2312" w:hAnsi="黑体" w:eastAsia="仿宋_GB2312"/>
          <w:sz w:val="32"/>
          <w:szCs w:val="32"/>
          <w:highlight w:val="none"/>
          <w:lang w:val="en-US" w:eastAsia="zh-CN"/>
        </w:rPr>
        <w:t>0个项目。</w:t>
      </w:r>
      <w:r>
        <w:rPr>
          <w:rFonts w:hint="eastAsia" w:ascii="仿宋_GB2312" w:hAnsi="宋体" w:eastAsia="仿宋_GB2312"/>
          <w:sz w:val="32"/>
          <w:szCs w:val="32"/>
          <w:highlight w:val="none"/>
          <w:lang w:eastAsia="zh-CN"/>
        </w:rPr>
        <w:t>主要原因是村社干部人员减少，人员经费开支减少。</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30000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持平</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rPr>
        <w:t>30000.00元，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增加，其中：公务用车购置费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元；公务用车运行费</w:t>
      </w:r>
      <w:r>
        <w:rPr>
          <w:rFonts w:hint="eastAsia" w:ascii="仿宋_GB2312" w:hAnsi="黑体" w:eastAsia="仿宋_GB2312"/>
          <w:sz w:val="32"/>
          <w:szCs w:val="32"/>
          <w:highlight w:val="none"/>
          <w:lang w:val="en-US" w:eastAsia="zh-CN"/>
        </w:rPr>
        <w:t>30000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无变化，用于公车运行维护</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bookmarkStart w:id="0" w:name="_GoBack"/>
      <w:bookmarkEnd w:id="0"/>
    </w:p>
    <w:p>
      <w:pPr>
        <w:spacing w:line="64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500000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。政府采购预算71960.00元，比上年预算数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148310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降低</w:t>
      </w:r>
      <w:r>
        <w:rPr>
          <w:rFonts w:hint="eastAsia" w:ascii="仿宋_GB2312" w:hAnsi="黑体" w:eastAsia="仿宋_GB2312"/>
          <w:sz w:val="32"/>
          <w:szCs w:val="32"/>
          <w:highlight w:val="none"/>
          <w:lang w:val="en-US" w:eastAsia="zh-CN"/>
        </w:rPr>
        <w:t>67.41</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highlight w:val="none"/>
          <w:lang w:eastAsia="zh-CN"/>
        </w:rPr>
        <w:t>省级专项经费减少。</w:t>
      </w:r>
      <w:r>
        <w:rPr>
          <w:rFonts w:hint="eastAsia" w:ascii="仿宋_GB2312" w:hAnsi="黑体" w:eastAsia="仿宋_GB2312"/>
          <w:sz w:val="32"/>
          <w:szCs w:val="32"/>
          <w:highlight w:val="none"/>
        </w:rPr>
        <w:t>其中：政府采购货物预算71960.00元，政府采购工程预算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40" w:lineRule="exact"/>
        <w:ind w:firstLine="640" w:firstLineChars="200"/>
        <w:rPr>
          <w:rFonts w:ascii="仿宋_GB2312" w:hAnsi="黑体" w:eastAsia="仿宋_GB2312"/>
          <w:sz w:val="32"/>
          <w:szCs w:val="32"/>
        </w:rPr>
      </w:pP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720" w:hanging="720"/>
      </w:pPr>
      <w:rPr>
        <w:rFonts w:hint="default"/>
      </w:rPr>
    </w:lvl>
    <w:lvl w:ilvl="1" w:tentative="0">
      <w:start w:val="1"/>
      <w:numFmt w:val="lowerLetter"/>
      <w:lvlText w:val="%2)"/>
      <w:lvlJc w:val="left"/>
      <w:pPr>
        <w:tabs>
          <w:tab w:val="left" w:pos="1480"/>
        </w:tabs>
        <w:ind w:left="840" w:hanging="420"/>
      </w:pPr>
    </w:lvl>
    <w:lvl w:ilvl="2" w:tentative="0">
      <w:start w:val="1"/>
      <w:numFmt w:val="lowerRoman"/>
      <w:lvlText w:val="%3."/>
      <w:lvlJc w:val="right"/>
      <w:pPr>
        <w:tabs>
          <w:tab w:val="left" w:pos="1900"/>
        </w:tabs>
        <w:ind w:left="1260" w:hanging="420"/>
      </w:pPr>
    </w:lvl>
    <w:lvl w:ilvl="3" w:tentative="0">
      <w:start w:val="1"/>
      <w:numFmt w:val="decimal"/>
      <w:lvlText w:val="%4."/>
      <w:lvlJc w:val="left"/>
      <w:pPr>
        <w:tabs>
          <w:tab w:val="left" w:pos="2320"/>
        </w:tabs>
        <w:ind w:left="1680" w:hanging="420"/>
      </w:pPr>
    </w:lvl>
    <w:lvl w:ilvl="4" w:tentative="0">
      <w:start w:val="1"/>
      <w:numFmt w:val="lowerLetter"/>
      <w:lvlText w:val="%5)"/>
      <w:lvlJc w:val="left"/>
      <w:pPr>
        <w:tabs>
          <w:tab w:val="left" w:pos="2740"/>
        </w:tabs>
        <w:ind w:left="2100" w:hanging="420"/>
      </w:pPr>
    </w:lvl>
    <w:lvl w:ilvl="5" w:tentative="0">
      <w:start w:val="1"/>
      <w:numFmt w:val="lowerRoman"/>
      <w:lvlText w:val="%6."/>
      <w:lvlJc w:val="right"/>
      <w:pPr>
        <w:tabs>
          <w:tab w:val="left" w:pos="3160"/>
        </w:tabs>
        <w:ind w:left="2520" w:hanging="420"/>
      </w:pPr>
    </w:lvl>
    <w:lvl w:ilvl="6" w:tentative="0">
      <w:start w:val="1"/>
      <w:numFmt w:val="decimal"/>
      <w:lvlText w:val="%7."/>
      <w:lvlJc w:val="left"/>
      <w:pPr>
        <w:tabs>
          <w:tab w:val="left" w:pos="3580"/>
        </w:tabs>
        <w:ind w:left="2940" w:hanging="420"/>
      </w:pPr>
    </w:lvl>
    <w:lvl w:ilvl="7" w:tentative="0">
      <w:start w:val="1"/>
      <w:numFmt w:val="lowerLetter"/>
      <w:lvlText w:val="%8)"/>
      <w:lvlJc w:val="left"/>
      <w:pPr>
        <w:tabs>
          <w:tab w:val="left" w:pos="4000"/>
        </w:tabs>
        <w:ind w:left="3360" w:hanging="420"/>
      </w:pPr>
    </w:lvl>
    <w:lvl w:ilvl="8" w:tentative="0">
      <w:start w:val="1"/>
      <w:numFmt w:val="lowerRoman"/>
      <w:lvlText w:val="%9."/>
      <w:lvlJc w:val="right"/>
      <w:pPr>
        <w:tabs>
          <w:tab w:val="left" w:pos="442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0F5D2E55"/>
    <w:rsid w:val="112936A0"/>
    <w:rsid w:val="124163A9"/>
    <w:rsid w:val="1250416D"/>
    <w:rsid w:val="12CD0AEB"/>
    <w:rsid w:val="131F4588"/>
    <w:rsid w:val="13B82E0D"/>
    <w:rsid w:val="141D039C"/>
    <w:rsid w:val="156F0CA4"/>
    <w:rsid w:val="15C22297"/>
    <w:rsid w:val="17432B85"/>
    <w:rsid w:val="1909264A"/>
    <w:rsid w:val="198119BE"/>
    <w:rsid w:val="1B78482C"/>
    <w:rsid w:val="1C6D1D31"/>
    <w:rsid w:val="1D654F62"/>
    <w:rsid w:val="1FB82A75"/>
    <w:rsid w:val="204B1966"/>
    <w:rsid w:val="205A7194"/>
    <w:rsid w:val="210E5FD3"/>
    <w:rsid w:val="210F4887"/>
    <w:rsid w:val="21506021"/>
    <w:rsid w:val="21594BE0"/>
    <w:rsid w:val="22273516"/>
    <w:rsid w:val="2233056C"/>
    <w:rsid w:val="23513756"/>
    <w:rsid w:val="250F1490"/>
    <w:rsid w:val="2562175E"/>
    <w:rsid w:val="272C6EB9"/>
    <w:rsid w:val="278D41A3"/>
    <w:rsid w:val="292A0545"/>
    <w:rsid w:val="2B26350E"/>
    <w:rsid w:val="2B5C1C56"/>
    <w:rsid w:val="2B980AD9"/>
    <w:rsid w:val="2BCF3D4E"/>
    <w:rsid w:val="2CFC4C76"/>
    <w:rsid w:val="2D550DF7"/>
    <w:rsid w:val="2DBA0562"/>
    <w:rsid w:val="31352995"/>
    <w:rsid w:val="32A96D1A"/>
    <w:rsid w:val="33A51F6D"/>
    <w:rsid w:val="34032DB0"/>
    <w:rsid w:val="34B82D6F"/>
    <w:rsid w:val="373703E1"/>
    <w:rsid w:val="37580FE7"/>
    <w:rsid w:val="396616D2"/>
    <w:rsid w:val="39A71DAE"/>
    <w:rsid w:val="3C217470"/>
    <w:rsid w:val="3CAD7649"/>
    <w:rsid w:val="3D8C4411"/>
    <w:rsid w:val="40465DD0"/>
    <w:rsid w:val="40CC1D5D"/>
    <w:rsid w:val="416268DB"/>
    <w:rsid w:val="452F6292"/>
    <w:rsid w:val="458E5AD9"/>
    <w:rsid w:val="46852DE9"/>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5FE76832"/>
    <w:rsid w:val="61EB392B"/>
    <w:rsid w:val="61EF1B1B"/>
    <w:rsid w:val="621A3658"/>
    <w:rsid w:val="62B62979"/>
    <w:rsid w:val="64252B6E"/>
    <w:rsid w:val="651520BC"/>
    <w:rsid w:val="65DE73C5"/>
    <w:rsid w:val="661A6258"/>
    <w:rsid w:val="6A136FDE"/>
    <w:rsid w:val="6A752B54"/>
    <w:rsid w:val="6EA6456E"/>
    <w:rsid w:val="70BD1A04"/>
    <w:rsid w:val="733552F4"/>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3676</Words>
  <Characters>4188</Characters>
  <Lines>16</Lines>
  <Paragraphs>4</Paragraphs>
  <TotalTime>1</TotalTime>
  <ScaleCrop>false</ScaleCrop>
  <LinksUpToDate>false</LinksUpToDate>
  <CharactersWithSpaces>4242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2023-06-09T05:14:54Z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FA2E0601A3BD4E1F94699C04FC61F389_13</vt:lpwstr>
  </property>
</Properties>
</file>