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rPr>
        <w:t>东乡县畜牧发展中心部门预算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hint="eastAsia" w:ascii="仿宋_GB2312" w:hAnsi="黑体" w:eastAsia="仿宋_GB2312"/>
          <w:b/>
          <w:sz w:val="32"/>
          <w:szCs w:val="32"/>
        </w:rPr>
      </w:pPr>
    </w:p>
    <w:p>
      <w:pPr>
        <w:spacing w:line="640" w:lineRule="exact"/>
        <w:ind w:firstLine="1285" w:firstLineChars="400"/>
        <w:rPr>
          <w:rFonts w:hint="eastAsia" w:ascii="仿宋_GB2312" w:hAnsi="黑体" w:eastAsia="仿宋_GB2312"/>
          <w:b/>
          <w:sz w:val="32"/>
          <w:szCs w:val="32"/>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 w:hAnsi="仿宋" w:eastAsia="仿宋" w:cs="仿宋"/>
          <w:sz w:val="32"/>
          <w:szCs w:val="32"/>
        </w:rPr>
      </w:pPr>
      <w:r>
        <w:rPr>
          <w:rFonts w:hint="eastAsia" w:ascii="仿宋" w:hAnsi="仿宋" w:eastAsia="仿宋" w:cs="仿宋"/>
          <w:sz w:val="32"/>
          <w:szCs w:val="32"/>
        </w:rPr>
        <w:t>贯彻执行国家有关畜牧业和渔业的法律法规，协调推进全县现代畜牧业发展，促进农民收 入稳定增长。</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bidi w:val="0"/>
        <w:rPr>
          <w:rFonts w:hint="eastAsia" w:ascii="仿宋" w:hAnsi="仿宋" w:eastAsia="仿宋" w:cs="仿宋"/>
          <w:sz w:val="32"/>
          <w:szCs w:val="32"/>
        </w:rPr>
      </w:pPr>
      <w:r>
        <w:rPr>
          <w:rFonts w:hint="eastAsia" w:ascii="仿宋" w:hAnsi="仿宋" w:eastAsia="仿宋" w:cs="仿宋"/>
          <w:sz w:val="32"/>
          <w:szCs w:val="32"/>
        </w:rPr>
        <w:t>畜牧业发展中心、畜牧站、动物卫生监督所、兽医技术推广站、动物疫病预防控制中心、 渔业技术推广站、23个乡(镇)畜牧兽医站</w:t>
      </w:r>
    </w:p>
    <w:p>
      <w:pPr>
        <w:bidi w:val="0"/>
        <w:rPr>
          <w:rFonts w:hint="eastAsia" w:ascii="仿宋" w:hAnsi="仿宋" w:eastAsia="仿宋" w:cs="仿宋"/>
          <w:sz w:val="32"/>
          <w:szCs w:val="32"/>
        </w:rPr>
        <w:sectPr>
          <w:pgSz w:w="16838" w:h="11906"/>
          <w:pgMar w:top="1011" w:right="1253" w:bottom="0" w:left="1666" w:header="0" w:footer="0" w:gutter="0"/>
          <w:cols w:space="720" w:num="1"/>
        </w:sect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2022年预算收入19964750.34元，比上年预算</w:t>
      </w:r>
      <w:r>
        <w:rPr>
          <w:rFonts w:hint="eastAsia" w:ascii="仿宋_GB2312" w:hAnsi="黑体" w:eastAsia="仿宋_GB2312"/>
          <w:sz w:val="32"/>
          <w:szCs w:val="32"/>
          <w:highlight w:val="none"/>
          <w:lang w:val="en-US" w:eastAsia="zh-CN"/>
        </w:rPr>
        <w:t>增加4475675.34</w:t>
      </w:r>
      <w:r>
        <w:rPr>
          <w:rFonts w:hint="eastAsia" w:ascii="仿宋_GB2312" w:hAnsi="黑体" w:eastAsia="仿宋_GB2312"/>
          <w:sz w:val="32"/>
          <w:szCs w:val="32"/>
          <w:highlight w:val="none"/>
        </w:rPr>
        <w:t>元，其中：一般公共预算财政拨款收入19964750.34元，政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19964750.34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28.90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较上年本年</w:t>
      </w:r>
      <w:r>
        <w:rPr>
          <w:rFonts w:hint="eastAsia" w:ascii="仿宋_GB2312" w:hAnsi="黑体" w:eastAsia="仿宋_GB2312"/>
          <w:sz w:val="32"/>
          <w:szCs w:val="32"/>
          <w:highlight w:val="none"/>
          <w:lang w:val="en-US" w:eastAsia="zh-CN"/>
        </w:rPr>
        <w:t>项目较多经费开支增加。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223678.8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223678.8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增加55.72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工会经费增加。</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1811798.28元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无变化</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卫生健康支出743696.1</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卫生健康支出列入单位预算。</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农林水支出15843504.36</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17.08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较上年本年</w:t>
      </w:r>
      <w:r>
        <w:rPr>
          <w:rFonts w:hint="eastAsia" w:ascii="仿宋_GB2312" w:hAnsi="黑体" w:eastAsia="仿宋_GB2312"/>
          <w:sz w:val="32"/>
          <w:szCs w:val="32"/>
          <w:highlight w:val="none"/>
          <w:lang w:val="en-US" w:eastAsia="zh-CN"/>
        </w:rPr>
        <w:t>项目较多经费开支增加。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住房保障支出1342072.8元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住房保障支出列入单位预算。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18763312.98</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rPr>
        <w:t>161000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default" w:ascii="仿宋_GB2312" w:hAnsi="黑体" w:eastAsia="仿宋_GB2312"/>
          <w:sz w:val="32"/>
          <w:szCs w:val="32"/>
          <w:highlight w:val="none"/>
          <w:lang w:val="en-US"/>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rPr>
        <w:t>群众团体事务</w:t>
      </w:r>
      <w:r>
        <w:rPr>
          <w:rFonts w:hint="eastAsia" w:ascii="楷体_GB2312" w:hAnsi="黑体" w:eastAsia="楷体_GB2312"/>
          <w:b/>
          <w:bCs/>
          <w:sz w:val="32"/>
          <w:szCs w:val="32"/>
          <w:highlight w:val="none"/>
        </w:rPr>
        <w:t>（款</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2022年预算支出223678.80元，比上年预算数</w:t>
      </w:r>
      <w:r>
        <w:rPr>
          <w:rFonts w:hint="eastAsia" w:ascii="仿宋_GB2312" w:hAnsi="宋体" w:eastAsia="仿宋_GB2312"/>
          <w:sz w:val="32"/>
          <w:szCs w:val="32"/>
          <w:highlight w:val="none"/>
          <w:lang w:val="en-US" w:eastAsia="zh-CN"/>
        </w:rPr>
        <w:t>增加55.72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工会经费增加。其中：</w:t>
      </w:r>
      <w:r>
        <w:rPr>
          <w:rFonts w:hint="eastAsia" w:ascii="仿宋_GB2312" w:hAnsi="黑体" w:eastAsia="仿宋_GB2312"/>
          <w:b/>
          <w:bCs/>
          <w:sz w:val="32"/>
          <w:szCs w:val="32"/>
          <w:highlight w:val="none"/>
          <w:lang w:val="en-US" w:eastAsia="zh-CN"/>
        </w:rPr>
        <w:t>工会事务（项）</w:t>
      </w:r>
      <w:r>
        <w:rPr>
          <w:rFonts w:hint="eastAsia" w:ascii="仿宋_GB2312" w:hAnsi="黑体" w:eastAsia="仿宋_GB2312"/>
          <w:sz w:val="32"/>
          <w:szCs w:val="32"/>
          <w:highlight w:val="none"/>
        </w:rPr>
        <w:t>2022年预算支出223678.80元，比上年预算数</w:t>
      </w:r>
      <w:r>
        <w:rPr>
          <w:rFonts w:hint="eastAsia" w:ascii="仿宋_GB2312" w:hAnsi="宋体" w:eastAsia="仿宋_GB2312"/>
          <w:sz w:val="32"/>
          <w:szCs w:val="32"/>
          <w:highlight w:val="none"/>
          <w:lang w:val="en-US" w:eastAsia="zh-CN"/>
        </w:rPr>
        <w:t>增加55.72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工会经费增加。</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仿宋_GB2312" w:hAnsi="黑体" w:eastAsia="仿宋_GB2312"/>
          <w:b/>
          <w:bCs/>
          <w:sz w:val="32"/>
          <w:szCs w:val="32"/>
          <w:highlight w:val="none"/>
          <w:lang w:val="en-US" w:eastAsia="zh-CN"/>
        </w:rPr>
        <w:t xml:space="preserve"> （款）</w:t>
      </w:r>
      <w:r>
        <w:rPr>
          <w:rFonts w:hint="eastAsia" w:ascii="仿宋_GB2312" w:hAnsi="黑体" w:eastAsia="仿宋_GB2312"/>
          <w:sz w:val="32"/>
          <w:szCs w:val="32"/>
          <w:highlight w:val="none"/>
        </w:rPr>
        <w:t>2022年预算支出1789430.40元，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机关事业单位基本养老保险缴费支出（项）</w:t>
      </w:r>
      <w:r>
        <w:rPr>
          <w:rFonts w:hint="eastAsia" w:ascii="仿宋_GB2312" w:hAnsi="黑体" w:eastAsia="仿宋_GB2312"/>
          <w:sz w:val="32"/>
          <w:szCs w:val="32"/>
          <w:highlight w:val="none"/>
        </w:rPr>
        <w:t>2022年预算支出1789430.40元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b/>
          <w:bCs/>
          <w:sz w:val="32"/>
          <w:szCs w:val="32"/>
          <w:highlight w:val="none"/>
          <w:lang w:val="en-US" w:eastAsia="zh-CN"/>
        </w:rPr>
        <w:t>财政对其他社会保险基金的补助（款）</w:t>
      </w:r>
      <w:r>
        <w:rPr>
          <w:rFonts w:hint="eastAsia" w:ascii="仿宋_GB2312" w:hAnsi="黑体" w:eastAsia="仿宋_GB2312"/>
          <w:sz w:val="32"/>
          <w:szCs w:val="32"/>
          <w:highlight w:val="none"/>
        </w:rPr>
        <w:t>2022年预算支出22367.88元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比上年增加100%，增加原因：上年无此项，其中：</w:t>
      </w:r>
      <w:r>
        <w:rPr>
          <w:rFonts w:hint="eastAsia" w:ascii="仿宋_GB2312" w:hAnsi="黑体" w:eastAsia="仿宋_GB2312"/>
          <w:b/>
          <w:bCs/>
          <w:sz w:val="32"/>
          <w:szCs w:val="32"/>
          <w:highlight w:val="none"/>
        </w:rPr>
        <w:t>财政对工伤保险基金的补助（项）</w:t>
      </w:r>
      <w:r>
        <w:rPr>
          <w:rFonts w:hint="eastAsia" w:ascii="仿宋_GB2312" w:hAnsi="黑体" w:eastAsia="仿宋_GB2312"/>
          <w:sz w:val="32"/>
          <w:szCs w:val="32"/>
          <w:highlight w:val="none"/>
        </w:rPr>
        <w:t>2022年预算支出22367.88元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比上年增加100%，增加原因：上年无此项。</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s="Times New Roman"/>
          <w:kern w:val="2"/>
          <w:sz w:val="32"/>
          <w:szCs w:val="32"/>
          <w:lang w:val="en-US" w:eastAsia="zh-CN" w:bidi="ar-SA"/>
        </w:rPr>
        <w:t>（三）</w:t>
      </w:r>
      <w:r>
        <w:rPr>
          <w:rFonts w:hint="eastAsia" w:ascii="仿宋_GB2312" w:hAnsi="黑体" w:eastAsia="仿宋_GB2312"/>
          <w:b/>
          <w:sz w:val="32"/>
          <w:szCs w:val="32"/>
          <w:highlight w:val="none"/>
        </w:rPr>
        <w:t>农林水支出（类</w:t>
      </w:r>
      <w:r>
        <w:rPr>
          <w:rFonts w:hint="eastAsia" w:ascii="仿宋_GB2312" w:hAnsi="黑体" w:eastAsia="仿宋_GB2312"/>
          <w:b/>
          <w:bCs/>
          <w:sz w:val="32"/>
          <w:szCs w:val="32"/>
          <w:highlight w:val="none"/>
        </w:rPr>
        <w:t>）</w:t>
      </w:r>
      <w:r>
        <w:rPr>
          <w:rFonts w:hint="eastAsia" w:ascii="仿宋_GB2312" w:hAnsi="黑体" w:eastAsia="仿宋_GB2312"/>
          <w:b/>
          <w:bCs/>
          <w:sz w:val="32"/>
          <w:szCs w:val="32"/>
          <w:highlight w:val="none"/>
          <w:lang w:val="en-US" w:eastAsia="zh-CN"/>
        </w:rPr>
        <w:t>农业农村</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2022年预算支出15843504.36元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上年无此项</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行政运行（项）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14843067.00元，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上年无此项</w:t>
      </w:r>
      <w:r>
        <w:rPr>
          <w:rFonts w:hint="eastAsia" w:ascii="仿宋_GB2312" w:hAnsi="黑体" w:eastAsia="仿宋_GB2312"/>
          <w:sz w:val="32"/>
          <w:szCs w:val="32"/>
          <w:highlight w:val="none"/>
          <w:lang w:val="en-US" w:eastAsia="zh-CN"/>
        </w:rPr>
        <w:t>。病虫害控制</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2022年预算支出768000.00</w:t>
      </w:r>
      <w:r>
        <w:rPr>
          <w:rFonts w:hint="eastAsia" w:ascii="仿宋_GB2312" w:hAnsi="黑体" w:eastAsia="仿宋_GB2312"/>
          <w:sz w:val="32"/>
          <w:szCs w:val="32"/>
          <w:highlight w:val="none"/>
          <w:lang w:eastAsia="zh-CN"/>
        </w:rPr>
        <w:t>，其他农业农村支出</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2022年预算支出232437.36</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上年无此项</w:t>
      </w:r>
      <w:r>
        <w:rPr>
          <w:rFonts w:hint="eastAsia" w:ascii="仿宋_GB2312" w:hAnsi="黑体" w:eastAsia="仿宋_GB2312"/>
          <w:sz w:val="32"/>
          <w:szCs w:val="32"/>
          <w:highlight w:val="none"/>
          <w:lang w:val="en-US" w:eastAsia="zh-CN"/>
        </w:rPr>
        <w:t>。</w:t>
      </w:r>
    </w:p>
    <w:p>
      <w:pPr>
        <w:pStyle w:val="2"/>
        <w:ind w:firstLine="320" w:firstLineChars="100"/>
        <w:rPr>
          <w:rFonts w:hint="default" w:eastAsia="仿宋_GB2312"/>
          <w:lang w:val="en-US" w:eastAsia="zh-CN"/>
        </w:rPr>
      </w:pPr>
      <w:r>
        <w:rPr>
          <w:rFonts w:hint="eastAsia" w:ascii="仿宋_GB2312" w:hAnsi="黑体" w:eastAsia="仿宋_GB2312"/>
          <w:sz w:val="32"/>
          <w:szCs w:val="32"/>
          <w:highlight w:val="none"/>
          <w:lang w:val="en-US" w:eastAsia="zh-CN"/>
        </w:rPr>
        <w:t>（四）</w:t>
      </w:r>
      <w:r>
        <w:rPr>
          <w:rFonts w:hint="eastAsia" w:ascii="仿宋_GB2312" w:hAnsi="黑体" w:eastAsia="仿宋_GB2312"/>
          <w:b/>
          <w:bCs/>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b/>
          <w:bCs/>
          <w:sz w:val="32"/>
          <w:szCs w:val="32"/>
          <w:highlight w:val="none"/>
        </w:rPr>
        <w:t>）财政对基本医疗保险基金的补助</w:t>
      </w:r>
      <w:r>
        <w:rPr>
          <w:rFonts w:hint="eastAsia" w:ascii="仿宋_GB2312" w:hAnsi="黑体" w:eastAsia="仿宋_GB2312"/>
          <w:b/>
          <w:bCs/>
          <w:sz w:val="32"/>
          <w:szCs w:val="32"/>
          <w:highlight w:val="none"/>
          <w:lang w:val="en-US" w:eastAsia="zh-CN"/>
        </w:rPr>
        <w:t>（款）财政对职工基本医疗保险基金的补助（项）</w:t>
      </w:r>
      <w:r>
        <w:rPr>
          <w:rFonts w:hint="eastAsia" w:ascii="仿宋_GB2312" w:hAnsi="黑体" w:eastAsia="仿宋_GB2312"/>
          <w:sz w:val="32"/>
          <w:szCs w:val="32"/>
          <w:highlight w:val="none"/>
        </w:rPr>
        <w:t>2022年预算支出743696.10</w:t>
      </w:r>
      <w:r>
        <w:rPr>
          <w:rFonts w:hint="eastAsia" w:ascii="仿宋_GB2312" w:hAnsi="黑体" w:eastAsia="仿宋_GB2312"/>
          <w:sz w:val="32"/>
          <w:szCs w:val="32"/>
          <w:highlight w:val="none"/>
          <w:lang w:val="en-US" w:eastAsia="zh-CN"/>
        </w:rPr>
        <w:t>元，比上年增加100%，增加原因：上年此项未单独列入单位预算</w:t>
      </w:r>
    </w:p>
    <w:p>
      <w:pPr>
        <w:pStyle w:val="2"/>
        <w:numPr>
          <w:ilvl w:val="0"/>
          <w:numId w:val="0"/>
        </w:numPr>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rPr>
        <w:t>）住房保障支出（类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住房改革支出</w:t>
      </w:r>
      <w:r>
        <w:rPr>
          <w:rFonts w:hint="eastAsia" w:ascii="仿宋_GB2312" w:hAnsi="黑体" w:eastAsia="仿宋_GB2312"/>
          <w:b/>
          <w:bCs/>
          <w:sz w:val="32"/>
          <w:szCs w:val="32"/>
          <w:highlight w:val="none"/>
        </w:rPr>
        <w:t>（款）住房公积金</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2022年预算支出1342072.80元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上年度未列入单位预算</w:t>
      </w:r>
      <w:r>
        <w:rPr>
          <w:rFonts w:hint="eastAsia" w:ascii="仿宋_GB2312" w:hAnsi="黑体" w:eastAsia="仿宋_GB2312"/>
          <w:sz w:val="32"/>
          <w:szCs w:val="32"/>
          <w:highlight w:val="none"/>
          <w:lang w:val="en-US" w:eastAsia="zh-CN"/>
        </w:rPr>
        <w:t>。</w:t>
      </w:r>
    </w:p>
    <w:p>
      <w:pPr>
        <w:pStyle w:val="2"/>
        <w:numPr>
          <w:ilvl w:val="0"/>
          <w:numId w:val="0"/>
        </w:numPr>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spacing w:line="640" w:lineRule="exact"/>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lang w:val="en-US" w:eastAsia="zh-CN"/>
        </w:rPr>
        <w:t>18924312.98元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增加22.18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人员经费增加。</w:t>
      </w:r>
      <w:r>
        <w:rPr>
          <w:rFonts w:hint="eastAsia" w:ascii="仿宋_GB2312" w:hAnsi="黑体" w:eastAsia="仿宋_GB2312"/>
          <w:sz w:val="32"/>
          <w:szCs w:val="32"/>
          <w:highlight w:val="none"/>
        </w:rPr>
        <w:t>其中：人员经费18763312.98元</w:t>
      </w:r>
      <w:bookmarkStart w:id="0" w:name="_GoBack"/>
      <w:bookmarkEnd w:id="0"/>
      <w:r>
        <w:rPr>
          <w:rFonts w:hint="eastAsia" w:ascii="仿宋_GB2312" w:hAnsi="黑体" w:eastAsia="仿宋_GB2312"/>
          <w:sz w:val="32"/>
          <w:szCs w:val="32"/>
          <w:highlight w:val="none"/>
        </w:rPr>
        <w:t>，单位运转经费161000元，专项资金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，其中：公务用车购置费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变化情况；公务用车运行费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2022年机关运行经费预算161000元，比上年预算</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eastAsia="zh-CN"/>
        </w:rPr>
        <w:t>22120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减少57880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减少72.35</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lang w:val="en-US" w:eastAsia="zh-CN"/>
        </w:rPr>
        <w:t>采购计划减少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eastAsia="zh-CN"/>
        </w:rPr>
        <w:t>22120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58102E2"/>
    <w:rsid w:val="060021DC"/>
    <w:rsid w:val="064D410C"/>
    <w:rsid w:val="06746E88"/>
    <w:rsid w:val="06BE0191"/>
    <w:rsid w:val="07EA6CFD"/>
    <w:rsid w:val="0958106D"/>
    <w:rsid w:val="09787DB5"/>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2E212BD"/>
    <w:rsid w:val="22E52791"/>
    <w:rsid w:val="23513756"/>
    <w:rsid w:val="250F1490"/>
    <w:rsid w:val="28F1296A"/>
    <w:rsid w:val="292A0545"/>
    <w:rsid w:val="2B26350E"/>
    <w:rsid w:val="2B5C1C56"/>
    <w:rsid w:val="2BCF3D4E"/>
    <w:rsid w:val="2BEE728D"/>
    <w:rsid w:val="2D550DF7"/>
    <w:rsid w:val="2DBA0562"/>
    <w:rsid w:val="31352995"/>
    <w:rsid w:val="32A96D1A"/>
    <w:rsid w:val="34032DB0"/>
    <w:rsid w:val="34B82D6F"/>
    <w:rsid w:val="373703E1"/>
    <w:rsid w:val="37580FE7"/>
    <w:rsid w:val="38F83407"/>
    <w:rsid w:val="392C7D40"/>
    <w:rsid w:val="396616D2"/>
    <w:rsid w:val="39A71DAE"/>
    <w:rsid w:val="39D9551B"/>
    <w:rsid w:val="3D8C4411"/>
    <w:rsid w:val="40465DD0"/>
    <w:rsid w:val="40CC1D5D"/>
    <w:rsid w:val="416268DB"/>
    <w:rsid w:val="452F6292"/>
    <w:rsid w:val="47AF499B"/>
    <w:rsid w:val="484D612A"/>
    <w:rsid w:val="48A9072C"/>
    <w:rsid w:val="4D903B41"/>
    <w:rsid w:val="4DA8126D"/>
    <w:rsid w:val="4DD72226"/>
    <w:rsid w:val="4EA300AE"/>
    <w:rsid w:val="50622DD8"/>
    <w:rsid w:val="51C77E42"/>
    <w:rsid w:val="51DD247A"/>
    <w:rsid w:val="54B1376D"/>
    <w:rsid w:val="56311F34"/>
    <w:rsid w:val="564548F7"/>
    <w:rsid w:val="565305B1"/>
    <w:rsid w:val="56C73340"/>
    <w:rsid w:val="59441D15"/>
    <w:rsid w:val="5A3206F2"/>
    <w:rsid w:val="61EF1B1B"/>
    <w:rsid w:val="621A3658"/>
    <w:rsid w:val="62B62979"/>
    <w:rsid w:val="64252B6E"/>
    <w:rsid w:val="651520BC"/>
    <w:rsid w:val="65DE12BC"/>
    <w:rsid w:val="661A6258"/>
    <w:rsid w:val="6A136FDE"/>
    <w:rsid w:val="6A752B54"/>
    <w:rsid w:val="6EA6456E"/>
    <w:rsid w:val="723906FB"/>
    <w:rsid w:val="74517818"/>
    <w:rsid w:val="75840CDB"/>
    <w:rsid w:val="75FA50B5"/>
    <w:rsid w:val="77781E83"/>
    <w:rsid w:val="78062181"/>
    <w:rsid w:val="794965D5"/>
    <w:rsid w:val="79D61FC6"/>
    <w:rsid w:val="7CF82ADB"/>
    <w:rsid w:val="7D910439"/>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2395</Words>
  <Characters>2727</Characters>
  <Lines>16</Lines>
  <Paragraphs>4</Paragraphs>
  <TotalTime>4</TotalTime>
  <ScaleCrop>false</ScaleCrop>
  <LinksUpToDate>false</LinksUpToDate>
  <CharactersWithSpaces>2785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2023-06-08T05:51:46Z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2E6B1064A09B42B299F1768EA9669A50_13</vt:lpwstr>
  </property>
</Properties>
</file>