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方正小标宋简体" w:eastAsia="方正小标宋简体"/>
          <w:sz w:val="36"/>
          <w:szCs w:val="36"/>
          <w:lang w:eastAsia="zh-CN"/>
        </w:rPr>
        <w:t>东乡县东塬乡卫生院20</w:t>
      </w:r>
      <w:r>
        <w:rPr>
          <w:rFonts w:hint="eastAsia" w:ascii="方正小标宋简体" w:eastAsia="方正小标宋简体"/>
          <w:sz w:val="36"/>
          <w:szCs w:val="36"/>
          <w:lang w:val="en-US" w:eastAsia="zh-CN"/>
        </w:rPr>
        <w:t>22</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sz w:val="32"/>
          <w:szCs w:val="32"/>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left="-17" w:leftChars="-8" w:firstLine="16" w:firstLineChars="5"/>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zh-CN"/>
          <w14:textFill>
            <w14:solidFill>
              <w14:schemeClr w14:val="tx1"/>
            </w14:solidFill>
          </w14:textFill>
        </w:rPr>
        <w:t>东塬乡卫生院，我院现有职工38名，其中正式工有20名，财政招聘人员15人，临时工有3名；专业技术人员27名，管理人员4名，有执业医师资格证6名，注册护士有6名。开设有全科门诊、中医理疗科、治疗室、检验室、B超室及心电图室，DR室，彩超室等9个临床科室，设有公卫科、财务室、医保办、计划免疫室、妇幼保健室、健康扶贫办室、</w:t>
      </w:r>
    </w:p>
    <w:p>
      <w:pPr>
        <w:pageBreakBefore w:val="0"/>
        <w:kinsoku/>
        <w:wordWrap/>
        <w:overflowPunct/>
        <w:topLinePunct w:val="0"/>
        <w:autoSpaceDE/>
        <w:autoSpaceDN/>
        <w:bidi w:val="0"/>
        <w:adjustRightInd/>
        <w:snapToGrid/>
        <w:spacing w:before="100" w:beforeLines="0" w:after="100" w:afterLines="0" w:line="240" w:lineRule="auto"/>
        <w:ind w:left="-17" w:leftChars="-8" w:firstLine="16" w:firstLineChars="5"/>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计划生育科、收费室等8个辅助科室。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收入总计5,052,311.68元，支出总计4,787,709.75元，与2021年决算数相比，收入增加692,162.39元，增长0.86%，支出增加427,560.46元，</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增长0.91%。主要原因是</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人员增加，财政拨款收入增加、支出增加。</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505.23</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color w:val="auto"/>
          <w:sz w:val="32"/>
          <w:szCs w:val="32"/>
          <w:lang w:val="en-US" w:eastAsia="zh-CN"/>
        </w:rPr>
        <w:t>456.67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90.39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48.56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9.61</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478.77</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306.20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64</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172.57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0000FF"/>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4,566,740.64</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741,367.58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0.83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b w:val="0"/>
          <w:bCs w:val="0"/>
          <w:sz w:val="30"/>
          <w:szCs w:val="30"/>
          <w:lang w:eastAsia="zh-CN"/>
        </w:rPr>
        <w:t>基本公共卫生服务拨款增加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bidi="en-US"/>
        </w:rPr>
        <w:t>4,566,740.64</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741,367.58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0.83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b w:val="0"/>
          <w:bCs w:val="0"/>
          <w:sz w:val="30"/>
          <w:szCs w:val="30"/>
          <w:lang w:eastAsia="zh-CN"/>
        </w:rPr>
        <w:t>基本公共卫生服务量增加，人员增加所以支出增加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456.67</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74.13</w:t>
      </w:r>
      <w:r>
        <w:rPr>
          <w:rFonts w:hint="eastAsia" w:ascii="仿宋_GB2312" w:hAnsi="仿宋_GB2312" w:eastAsia="仿宋_GB2312" w:cs="仿宋_GB2312"/>
          <w:color w:val="auto"/>
          <w:sz w:val="32"/>
          <w:szCs w:val="32"/>
          <w:lang w:val="zh-CN"/>
        </w:rPr>
        <w:t>万元,上升</w:t>
      </w:r>
      <w:r>
        <w:rPr>
          <w:rFonts w:hint="eastAsia" w:ascii="仿宋_GB2312" w:hAnsi="仿宋_GB2312" w:eastAsia="仿宋_GB2312" w:cs="仿宋_GB2312"/>
          <w:color w:val="auto"/>
          <w:sz w:val="32"/>
          <w:szCs w:val="32"/>
          <w:lang w:val="en-US" w:eastAsia="zh-CN"/>
        </w:rPr>
        <w:t>0.83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b w:val="0"/>
          <w:bCs w:val="0"/>
          <w:sz w:val="30"/>
          <w:szCs w:val="30"/>
          <w:lang w:eastAsia="zh-CN"/>
        </w:rPr>
        <w:t>基本公共卫生服务量增加，人员增加所以支出增加。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1.一般公共服务支出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2.外交支出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3.国防支出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4.公共安全支出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5.教育支出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6.科学技术支出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7.文化旅游体育与传媒支出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2.14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2.14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436.04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436.04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10.节能环保支出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11.城乡社区支出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12.农林水支出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13.交通运输支出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14.资源勘探工业信息等支出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15.商业服务业等支出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16.金融支出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17.援助其他地区支出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highlight w:val="red"/>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18.自然资源海洋气象等支出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w:t>
      </w:r>
      <w:r>
        <w:rPr>
          <w:rFonts w:hint="eastAsia" w:ascii="仿宋_GB2312" w:hAnsi="仿宋_GB2312" w:eastAsia="仿宋_GB2312" w:cs="仿宋_GB2312"/>
          <w:color w:val="000000" w:themeColor="text1"/>
          <w:sz w:val="32"/>
          <w:szCs w:val="32"/>
          <w:highlight w:val="none"/>
          <w:lang w:val="zh-CN"/>
          <w14:textFill>
            <w14:solidFill>
              <w14:schemeClr w14:val="tx1"/>
            </w14:solidFill>
          </w14:textFill>
        </w:rPr>
        <w:t>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18.49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18.49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20.粮油物资储备支出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000000" w:themeColor="text1"/>
          <w:sz w:val="32"/>
          <w:szCs w:val="32"/>
          <w:lang w:val="zh-CN"/>
          <w14:textFill>
            <w14:solidFill>
              <w14:schemeClr w14:val="tx1"/>
            </w14:solidFill>
          </w14:textFill>
        </w:rPr>
        <w:t>21.国有资本经营预算支出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22.灾害防治及应急管理支出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23.其他支出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24.债务还本支出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25.债务付息支出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26.抗疫特别国债安排的支出</w:t>
      </w:r>
      <w:r>
        <w:rPr>
          <w:rFonts w:hint="eastAsia" w:ascii="仿宋_GB2312" w:hAnsi="仿宋_GB2312" w:eastAsia="仿宋_GB2312" w:cs="仿宋_GB2312"/>
          <w:color w:val="000000" w:themeColor="text1"/>
          <w:sz w:val="32"/>
          <w:szCs w:val="32"/>
          <w:lang w:val="zh-CN"/>
          <w14:textFill>
            <w14:solidFill>
              <w14:schemeClr w14:val="tx1"/>
            </w14:solidFill>
          </w14:textFill>
        </w:rPr>
        <w:t>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决算数等于预算数</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456.67</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284.10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4.55</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0.98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主要原因是机关事业单位基本养老保险缴费、职工基本医疗保险缴费、绩效工资减少。人员经费用途主要包括基本工资1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903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608.8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0元,</w:t>
      </w:r>
      <w:r>
        <w:rPr>
          <w:rFonts w:hint="eastAsia" w:ascii="仿宋_GB2312" w:hAnsi="仿宋_GB2312" w:eastAsia="仿宋_GB2312" w:cs="仿宋_GB2312"/>
          <w:color w:val="000000" w:themeColor="text1"/>
          <w:sz w:val="32"/>
          <w:szCs w:val="32"/>
          <w:lang w:val="zh-CN"/>
          <w14:textFill>
            <w14:solidFill>
              <w14:schemeClr w14:val="tx1"/>
            </w14:solidFill>
          </w14:textFill>
        </w:rPr>
        <w:t>津贴补贴674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204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.00元，机关事业单位基本养老保险缴费21,419.04元，职工基本医疗保险缴费55,658.04元，其他社会保障缴1,296.00元，住房公积金184,864.00元。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82.76</w:t>
      </w:r>
      <w:r>
        <w:rPr>
          <w:rFonts w:hint="eastAsia" w:ascii="仿宋_GB2312" w:hAnsi="仿宋_GB2312" w:eastAsia="仿宋_GB2312" w:cs="仿宋_GB2312"/>
          <w:color w:val="auto"/>
          <w:sz w:val="32"/>
          <w:szCs w:val="32"/>
          <w:lang w:val="zh-CN"/>
        </w:rPr>
        <w:t>万元。公用经费用途主要包括办公费</w:t>
      </w:r>
      <w:r>
        <w:rPr>
          <w:rFonts w:hint="eastAsia" w:ascii="仿宋_GB2312" w:hAnsi="仿宋_GB2312" w:eastAsia="仿宋_GB2312" w:cs="仿宋_GB2312"/>
          <w:color w:val="auto"/>
          <w:sz w:val="32"/>
          <w:szCs w:val="32"/>
          <w:lang w:val="en-US" w:eastAsia="zh-CN"/>
        </w:rPr>
        <w:t>90,857.42元，印刷费15,890.00元，水费1,052.00元，电费20,000.00元，邮电费43,400元，取暖费93,700.00元，专用材料334,006.30元，劳务费72,080.00元，委托业务费7,000.00元，公务用车运行维护费23,220.00元，其他商品和服务支出126,355.87元</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color w:val="000000" w:themeColor="text1"/>
          <w:sz w:val="32"/>
          <w:szCs w:val="32"/>
          <w:lang w:val="zh-CN"/>
          <w14:textFill>
            <w14:solidFill>
              <w14:schemeClr w14:val="tx1"/>
            </w14:solidFill>
          </w14:textFill>
        </w:rPr>
        <w:t>。单价100万元(含)以上设备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卫生事业单位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无公务车辆，</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YmRhMzJlYzg4NDI1NWYwYjk1ZTAwMDdlMGVlOGUifQ=="/>
  </w:docVars>
  <w:rsids>
    <w:rsidRoot w:val="00000000"/>
    <w:rsid w:val="02100117"/>
    <w:rsid w:val="02AA4B1F"/>
    <w:rsid w:val="0744372D"/>
    <w:rsid w:val="07F7636D"/>
    <w:rsid w:val="0B0D7C19"/>
    <w:rsid w:val="0D386A9E"/>
    <w:rsid w:val="11B25539"/>
    <w:rsid w:val="12A34BDD"/>
    <w:rsid w:val="1ACC68EE"/>
    <w:rsid w:val="1AD863F9"/>
    <w:rsid w:val="302D2CFD"/>
    <w:rsid w:val="33AD433F"/>
    <w:rsid w:val="432A2C6A"/>
    <w:rsid w:val="470E7B71"/>
    <w:rsid w:val="5D387615"/>
    <w:rsid w:val="69AA14E4"/>
    <w:rsid w:val="6A8941B3"/>
    <w:rsid w:val="6F9277B6"/>
    <w:rsid w:val="776C2BD5"/>
    <w:rsid w:val="77925050"/>
    <w:rsid w:val="786D3043"/>
    <w:rsid w:val="796B2B38"/>
    <w:rsid w:val="79F779B9"/>
    <w:rsid w:val="7D2E723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5027</Words>
  <Characters>5611</Characters>
  <Lines>0</Lines>
  <Paragraphs>0</Paragraphs>
  <TotalTime>0</TotalTime>
  <ScaleCrop>false</ScaleCrop>
  <LinksUpToDate>false</LinksUpToDate>
  <CharactersWithSpaces>5611</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2023-09-20T03:21:25Z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5B6385A7B46F483B86BE93C606BF86D0_12</vt:lpwstr>
  </property>
</Properties>
</file>