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bidi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zh-CN"/>
        </w:rPr>
        <w:t>附件</w:t>
      </w:r>
      <w:r>
        <w:rPr>
          <w:rFonts w:hint="eastAsia" w:ascii="仿宋_GB2312" w:hAnsi="仿宋_GB2312" w:eastAsia="仿宋_GB2312" w:cs="仿宋_GB2312"/>
          <w:sz w:val="32"/>
          <w:szCs w:val="32"/>
          <w:lang w:val="en-US" w:eastAsia="zh-CN"/>
        </w:rPr>
        <w:t>1：</w:t>
      </w: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center"/>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2022年度</w:t>
      </w:r>
    </w:p>
    <w:p>
      <w:pPr>
        <w:spacing w:before="100" w:beforeLines="0" w:after="100" w:afterLines="0"/>
        <w:jc w:val="center"/>
        <w:rPr>
          <w:rFonts w:hint="eastAsia" w:ascii="仿宋_GB2312" w:hAnsi="仿宋_GB2312" w:eastAsia="仿宋_GB2312" w:cs="仿宋_GB2312"/>
          <w:sz w:val="32"/>
          <w:szCs w:val="32"/>
          <w:lang w:val="zh-CN"/>
        </w:rPr>
      </w:pPr>
      <w:r>
        <w:rPr>
          <w:rFonts w:hint="eastAsia" w:ascii="仿宋_GB2312" w:hAnsi="仿宋_GB2312" w:eastAsia="仿宋_GB2312" w:cs="仿宋_GB2312"/>
          <w:color w:val="auto"/>
          <w:kern w:val="0"/>
          <w:sz w:val="32"/>
          <w:szCs w:val="32"/>
          <w:lang w:val="en-US" w:eastAsia="zh-CN"/>
        </w:rPr>
        <w:t>东乡族自治县工业和信息化局</w:t>
      </w:r>
      <w:r>
        <w:rPr>
          <w:rFonts w:hint="eastAsia" w:ascii="仿宋_GB2312" w:hAnsi="仿宋_GB2312" w:eastAsia="仿宋_GB2312" w:cs="仿宋_GB2312"/>
          <w:sz w:val="32"/>
          <w:szCs w:val="32"/>
          <w:lang w:val="zh-CN"/>
        </w:rPr>
        <w:t>部门决算情况说明</w:t>
      </w: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both"/>
        <w:rPr>
          <w:rFonts w:hint="eastAsia" w:ascii="仿宋_GB2312" w:hAnsi="仿宋_GB2312" w:eastAsia="仿宋_GB2312" w:cs="仿宋_GB2312"/>
          <w:sz w:val="32"/>
          <w:szCs w:val="32"/>
          <w:lang w:val="zh-CN"/>
        </w:rPr>
      </w:pPr>
    </w:p>
    <w:p>
      <w:pPr>
        <w:spacing w:before="100" w:beforeLines="0" w:after="100" w:afterLines="0"/>
        <w:jc w:val="both"/>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b/>
          <w:sz w:val="32"/>
          <w:szCs w:val="32"/>
          <w:lang w:val="zh-CN"/>
        </w:rPr>
      </w:pPr>
    </w:p>
    <w:p>
      <w:pPr>
        <w:pageBreakBefore w:val="0"/>
        <w:kinsoku/>
        <w:wordWrap/>
        <w:overflowPunct/>
        <w:topLinePunct w:val="0"/>
        <w:autoSpaceDE/>
        <w:autoSpaceDN/>
        <w:bidi w:val="0"/>
        <w:adjustRightInd/>
        <w:snapToGrid/>
        <w:spacing w:line="600" w:lineRule="exact"/>
        <w:ind w:left="0"/>
        <w:jc w:val="both"/>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目录</w:t>
      </w:r>
    </w:p>
    <w:p>
      <w:pPr>
        <w:pageBreakBefore w:val="0"/>
        <w:kinsoku/>
        <w:wordWrap/>
        <w:overflowPunct/>
        <w:topLinePunct w:val="0"/>
        <w:autoSpaceDE/>
        <w:autoSpaceDN/>
        <w:bidi w:val="0"/>
        <w:adjustRightInd/>
        <w:snapToGrid/>
        <w:spacing w:line="600" w:lineRule="exact"/>
        <w:ind w:left="0"/>
        <w:jc w:val="both"/>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第一部分部门（单位）概况</w:t>
      </w:r>
    </w:p>
    <w:p>
      <w:pPr>
        <w:pageBreakBefore w:val="0"/>
        <w:kinsoku/>
        <w:wordWrap/>
        <w:overflowPunct/>
        <w:topLinePunct w:val="0"/>
        <w:autoSpaceDE/>
        <w:autoSpaceDN/>
        <w:bidi w:val="0"/>
        <w:adjustRightInd/>
        <w:snapToGrid/>
        <w:spacing w:line="600" w:lineRule="exact"/>
        <w:ind w:left="0"/>
        <w:jc w:val="both"/>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一、部门（单位）职责</w:t>
      </w:r>
    </w:p>
    <w:p>
      <w:pPr>
        <w:pageBreakBefore w:val="0"/>
        <w:kinsoku/>
        <w:wordWrap/>
        <w:overflowPunct/>
        <w:topLinePunct w:val="0"/>
        <w:autoSpaceDE/>
        <w:autoSpaceDN/>
        <w:bidi w:val="0"/>
        <w:adjustRightInd/>
        <w:snapToGrid/>
        <w:spacing w:line="600" w:lineRule="exact"/>
        <w:ind w:left="0"/>
        <w:jc w:val="both"/>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二、机构设置</w:t>
      </w:r>
    </w:p>
    <w:p>
      <w:pPr>
        <w:pageBreakBefore w:val="0"/>
        <w:kinsoku/>
        <w:wordWrap/>
        <w:overflowPunct/>
        <w:topLinePunct w:val="0"/>
        <w:autoSpaceDE/>
        <w:autoSpaceDN/>
        <w:bidi w:val="0"/>
        <w:adjustRightInd/>
        <w:snapToGrid/>
        <w:spacing w:line="600" w:lineRule="exact"/>
        <w:ind w:left="0"/>
        <w:jc w:val="both"/>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第二部分2022年度部门决算表</w:t>
      </w:r>
    </w:p>
    <w:p>
      <w:pPr>
        <w:pageBreakBefore w:val="0"/>
        <w:kinsoku/>
        <w:wordWrap/>
        <w:overflowPunct/>
        <w:topLinePunct w:val="0"/>
        <w:autoSpaceDE/>
        <w:autoSpaceDN/>
        <w:bidi w:val="0"/>
        <w:adjustRightInd/>
        <w:snapToGrid/>
        <w:spacing w:line="600" w:lineRule="exact"/>
        <w:ind w:left="0"/>
        <w:jc w:val="both"/>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一、收入支出决算总表</w:t>
      </w:r>
    </w:p>
    <w:p>
      <w:pPr>
        <w:pageBreakBefore w:val="0"/>
        <w:kinsoku/>
        <w:wordWrap/>
        <w:overflowPunct/>
        <w:topLinePunct w:val="0"/>
        <w:autoSpaceDE/>
        <w:autoSpaceDN/>
        <w:bidi w:val="0"/>
        <w:adjustRightInd/>
        <w:snapToGrid/>
        <w:spacing w:line="600" w:lineRule="exact"/>
        <w:ind w:left="0"/>
        <w:jc w:val="both"/>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二、收入决算表</w:t>
      </w:r>
    </w:p>
    <w:p>
      <w:pPr>
        <w:pageBreakBefore w:val="0"/>
        <w:kinsoku/>
        <w:wordWrap/>
        <w:overflowPunct/>
        <w:topLinePunct w:val="0"/>
        <w:autoSpaceDE/>
        <w:autoSpaceDN/>
        <w:bidi w:val="0"/>
        <w:adjustRightInd/>
        <w:snapToGrid/>
        <w:spacing w:line="600" w:lineRule="exact"/>
        <w:ind w:left="0"/>
        <w:jc w:val="both"/>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三、支出决算表</w:t>
      </w:r>
    </w:p>
    <w:p>
      <w:pPr>
        <w:pageBreakBefore w:val="0"/>
        <w:kinsoku/>
        <w:wordWrap/>
        <w:overflowPunct/>
        <w:topLinePunct w:val="0"/>
        <w:autoSpaceDE/>
        <w:autoSpaceDN/>
        <w:bidi w:val="0"/>
        <w:adjustRightInd/>
        <w:snapToGrid/>
        <w:spacing w:line="600" w:lineRule="exact"/>
        <w:ind w:left="0"/>
        <w:jc w:val="both"/>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四、财政拨款收入支出决算总表</w:t>
      </w:r>
    </w:p>
    <w:p>
      <w:pPr>
        <w:pageBreakBefore w:val="0"/>
        <w:kinsoku/>
        <w:wordWrap/>
        <w:overflowPunct/>
        <w:topLinePunct w:val="0"/>
        <w:autoSpaceDE/>
        <w:autoSpaceDN/>
        <w:bidi w:val="0"/>
        <w:adjustRightInd/>
        <w:snapToGrid/>
        <w:spacing w:line="600" w:lineRule="exact"/>
        <w:ind w:left="0"/>
        <w:jc w:val="both"/>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五、一般公共预算财政拨款支出决算表</w:t>
      </w:r>
    </w:p>
    <w:p>
      <w:pPr>
        <w:pageBreakBefore w:val="0"/>
        <w:kinsoku/>
        <w:wordWrap/>
        <w:overflowPunct/>
        <w:topLinePunct w:val="0"/>
        <w:autoSpaceDE/>
        <w:autoSpaceDN/>
        <w:bidi w:val="0"/>
        <w:adjustRightInd/>
        <w:snapToGrid/>
        <w:spacing w:line="600" w:lineRule="exact"/>
        <w:ind w:left="0"/>
        <w:jc w:val="both"/>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六、一般公共预算财政拨款基本支出决算明细表</w:t>
      </w:r>
    </w:p>
    <w:p>
      <w:pPr>
        <w:pageBreakBefore w:val="0"/>
        <w:kinsoku/>
        <w:wordWrap/>
        <w:overflowPunct/>
        <w:topLinePunct w:val="0"/>
        <w:autoSpaceDE/>
        <w:autoSpaceDN/>
        <w:bidi w:val="0"/>
        <w:adjustRightInd/>
        <w:snapToGrid/>
        <w:spacing w:line="600" w:lineRule="exact"/>
        <w:ind w:left="0"/>
        <w:jc w:val="both"/>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七、政府性基金预算财政拨款收入支出决算表</w:t>
      </w:r>
    </w:p>
    <w:p>
      <w:pPr>
        <w:pageBreakBefore w:val="0"/>
        <w:kinsoku/>
        <w:wordWrap/>
        <w:overflowPunct/>
        <w:topLinePunct w:val="0"/>
        <w:autoSpaceDE/>
        <w:autoSpaceDN/>
        <w:bidi w:val="0"/>
        <w:adjustRightInd/>
        <w:snapToGrid/>
        <w:spacing w:line="600" w:lineRule="exact"/>
        <w:ind w:left="0"/>
        <w:jc w:val="both"/>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八、国有资本经营预算财政拨款支出决算表</w:t>
      </w:r>
    </w:p>
    <w:p>
      <w:pPr>
        <w:pageBreakBefore w:val="0"/>
        <w:kinsoku/>
        <w:wordWrap/>
        <w:overflowPunct/>
        <w:topLinePunct w:val="0"/>
        <w:autoSpaceDE/>
        <w:autoSpaceDN/>
        <w:bidi w:val="0"/>
        <w:adjustRightInd/>
        <w:snapToGrid/>
        <w:spacing w:line="600" w:lineRule="exact"/>
        <w:ind w:left="0"/>
        <w:jc w:val="both"/>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九、财政拨款“三公”经费支出决算表</w:t>
      </w:r>
    </w:p>
    <w:p>
      <w:pPr>
        <w:pageBreakBefore w:val="0"/>
        <w:kinsoku/>
        <w:wordWrap/>
        <w:overflowPunct/>
        <w:topLinePunct w:val="0"/>
        <w:autoSpaceDE/>
        <w:autoSpaceDN/>
        <w:bidi w:val="0"/>
        <w:adjustRightInd/>
        <w:snapToGrid/>
        <w:spacing w:line="600" w:lineRule="exact"/>
        <w:ind w:left="0"/>
        <w:jc w:val="both"/>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第三部分2022年度部门决算情况说明</w:t>
      </w:r>
    </w:p>
    <w:p>
      <w:pPr>
        <w:pageBreakBefore w:val="0"/>
        <w:kinsoku/>
        <w:wordWrap/>
        <w:overflowPunct/>
        <w:topLinePunct w:val="0"/>
        <w:autoSpaceDE/>
        <w:autoSpaceDN/>
        <w:bidi w:val="0"/>
        <w:adjustRightInd/>
        <w:snapToGrid/>
        <w:spacing w:line="600" w:lineRule="exact"/>
        <w:ind w:left="0"/>
        <w:jc w:val="both"/>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一、收入支出决算总体情况说明</w:t>
      </w:r>
    </w:p>
    <w:p>
      <w:pPr>
        <w:pageBreakBefore w:val="0"/>
        <w:kinsoku/>
        <w:wordWrap/>
        <w:overflowPunct/>
        <w:topLinePunct w:val="0"/>
        <w:autoSpaceDE/>
        <w:autoSpaceDN/>
        <w:bidi w:val="0"/>
        <w:adjustRightInd/>
        <w:snapToGrid/>
        <w:spacing w:line="600" w:lineRule="exact"/>
        <w:ind w:left="0"/>
        <w:jc w:val="both"/>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二、收入决算情况说明</w:t>
      </w:r>
    </w:p>
    <w:p>
      <w:pPr>
        <w:pageBreakBefore w:val="0"/>
        <w:kinsoku/>
        <w:wordWrap/>
        <w:overflowPunct/>
        <w:topLinePunct w:val="0"/>
        <w:autoSpaceDE/>
        <w:autoSpaceDN/>
        <w:bidi w:val="0"/>
        <w:adjustRightInd/>
        <w:snapToGrid/>
        <w:spacing w:line="600" w:lineRule="exact"/>
        <w:ind w:left="0"/>
        <w:jc w:val="both"/>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三、支出决算情况说明</w:t>
      </w:r>
    </w:p>
    <w:p>
      <w:pPr>
        <w:pageBreakBefore w:val="0"/>
        <w:kinsoku/>
        <w:wordWrap/>
        <w:overflowPunct/>
        <w:topLinePunct w:val="0"/>
        <w:autoSpaceDE/>
        <w:autoSpaceDN/>
        <w:bidi w:val="0"/>
        <w:adjustRightInd/>
        <w:snapToGrid/>
        <w:spacing w:line="600" w:lineRule="exact"/>
        <w:ind w:left="0"/>
        <w:jc w:val="both"/>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四、财政拨款收入支出决算总体情况说明</w:t>
      </w:r>
    </w:p>
    <w:p>
      <w:pPr>
        <w:pageBreakBefore w:val="0"/>
        <w:kinsoku/>
        <w:wordWrap/>
        <w:overflowPunct/>
        <w:topLinePunct w:val="0"/>
        <w:autoSpaceDE/>
        <w:autoSpaceDN/>
        <w:bidi w:val="0"/>
        <w:adjustRightInd/>
        <w:snapToGrid/>
        <w:spacing w:line="600" w:lineRule="exact"/>
        <w:ind w:left="0"/>
        <w:jc w:val="both"/>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五、一般公共预算财政拨款支出决算情况说明</w:t>
      </w:r>
    </w:p>
    <w:p>
      <w:pPr>
        <w:pageBreakBefore w:val="0"/>
        <w:kinsoku/>
        <w:wordWrap/>
        <w:overflowPunct/>
        <w:topLinePunct w:val="0"/>
        <w:autoSpaceDE/>
        <w:autoSpaceDN/>
        <w:bidi w:val="0"/>
        <w:adjustRightInd/>
        <w:snapToGrid/>
        <w:spacing w:line="600" w:lineRule="exact"/>
        <w:ind w:left="0"/>
        <w:jc w:val="both"/>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六、一般公共预算财政拨款基本支出决算情况说明</w:t>
      </w:r>
    </w:p>
    <w:p>
      <w:pPr>
        <w:pageBreakBefore w:val="0"/>
        <w:kinsoku/>
        <w:wordWrap/>
        <w:overflowPunct/>
        <w:topLinePunct w:val="0"/>
        <w:autoSpaceDE/>
        <w:autoSpaceDN/>
        <w:bidi w:val="0"/>
        <w:adjustRightInd/>
        <w:snapToGrid/>
        <w:spacing w:line="600" w:lineRule="exact"/>
        <w:ind w:left="0"/>
        <w:jc w:val="both"/>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七、机关运行经费支出情况说明</w:t>
      </w:r>
    </w:p>
    <w:p>
      <w:pPr>
        <w:pageBreakBefore w:val="0"/>
        <w:kinsoku/>
        <w:wordWrap/>
        <w:overflowPunct/>
        <w:topLinePunct w:val="0"/>
        <w:autoSpaceDE/>
        <w:autoSpaceDN/>
        <w:bidi w:val="0"/>
        <w:adjustRightInd/>
        <w:snapToGrid/>
        <w:spacing w:line="600" w:lineRule="exact"/>
        <w:ind w:left="0"/>
        <w:jc w:val="both"/>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八、政府采购支出情况说明</w:t>
      </w:r>
    </w:p>
    <w:p>
      <w:pPr>
        <w:pageBreakBefore w:val="0"/>
        <w:kinsoku/>
        <w:wordWrap/>
        <w:overflowPunct/>
        <w:topLinePunct w:val="0"/>
        <w:autoSpaceDE/>
        <w:autoSpaceDN/>
        <w:bidi w:val="0"/>
        <w:adjustRightInd/>
        <w:snapToGrid/>
        <w:spacing w:line="600" w:lineRule="exact"/>
        <w:ind w:left="0"/>
        <w:jc w:val="both"/>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九、国有资产占用情况说明</w:t>
      </w:r>
    </w:p>
    <w:p>
      <w:pPr>
        <w:pageBreakBefore w:val="0"/>
        <w:kinsoku/>
        <w:wordWrap/>
        <w:overflowPunct/>
        <w:topLinePunct w:val="0"/>
        <w:autoSpaceDE/>
        <w:autoSpaceDN/>
        <w:bidi w:val="0"/>
        <w:adjustRightInd/>
        <w:snapToGrid/>
        <w:spacing w:line="600" w:lineRule="exact"/>
        <w:ind w:left="0"/>
        <w:jc w:val="both"/>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十、政府性基金预算财政拨款收支决算情况说明</w:t>
      </w:r>
    </w:p>
    <w:p>
      <w:pPr>
        <w:pageBreakBefore w:val="0"/>
        <w:kinsoku/>
        <w:wordWrap/>
        <w:overflowPunct/>
        <w:topLinePunct w:val="0"/>
        <w:autoSpaceDE/>
        <w:autoSpaceDN/>
        <w:bidi w:val="0"/>
        <w:adjustRightInd/>
        <w:snapToGrid/>
        <w:spacing w:line="600" w:lineRule="exact"/>
        <w:ind w:left="0"/>
        <w:jc w:val="both"/>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十一、国有资本经营预算财政拨款支出情况说明</w:t>
      </w:r>
    </w:p>
    <w:p>
      <w:pPr>
        <w:pageBreakBefore w:val="0"/>
        <w:kinsoku/>
        <w:wordWrap/>
        <w:overflowPunct/>
        <w:topLinePunct w:val="0"/>
        <w:autoSpaceDE/>
        <w:autoSpaceDN/>
        <w:bidi w:val="0"/>
        <w:adjustRightInd/>
        <w:snapToGrid/>
        <w:spacing w:line="600" w:lineRule="exact"/>
        <w:ind w:left="0"/>
        <w:jc w:val="both"/>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十二、财政拨款“三公”经费支出决算情况说明</w:t>
      </w:r>
    </w:p>
    <w:p>
      <w:pPr>
        <w:pageBreakBefore w:val="0"/>
        <w:kinsoku/>
        <w:wordWrap/>
        <w:overflowPunct/>
        <w:topLinePunct w:val="0"/>
        <w:autoSpaceDE/>
        <w:autoSpaceDN/>
        <w:bidi w:val="0"/>
        <w:adjustRightInd/>
        <w:snapToGrid/>
        <w:spacing w:line="600" w:lineRule="exact"/>
        <w:ind w:left="0"/>
        <w:jc w:val="both"/>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第四部分预算绩效情况说明</w:t>
      </w:r>
    </w:p>
    <w:p>
      <w:pPr>
        <w:pageBreakBefore w:val="0"/>
        <w:kinsoku/>
        <w:wordWrap/>
        <w:overflowPunct/>
        <w:topLinePunct w:val="0"/>
        <w:autoSpaceDE/>
        <w:autoSpaceDN/>
        <w:bidi w:val="0"/>
        <w:adjustRightInd/>
        <w:snapToGrid/>
        <w:spacing w:line="600" w:lineRule="exact"/>
        <w:ind w:left="0"/>
        <w:jc w:val="both"/>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第五部分名词解释</w:t>
      </w:r>
    </w:p>
    <w:p>
      <w:pPr>
        <w:pageBreakBefore w:val="0"/>
        <w:kinsoku/>
        <w:wordWrap/>
        <w:overflowPunct/>
        <w:topLinePunct w:val="0"/>
        <w:autoSpaceDE/>
        <w:autoSpaceDN/>
        <w:bidi w:val="0"/>
        <w:adjustRightInd/>
        <w:snapToGrid/>
        <w:spacing w:line="600" w:lineRule="exact"/>
        <w:ind w:left="0"/>
        <w:jc w:val="both"/>
        <w:textAlignment w:val="auto"/>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line="600" w:lineRule="exact"/>
        <w:ind w:left="0"/>
        <w:jc w:val="both"/>
        <w:textAlignment w:val="auto"/>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line="600" w:lineRule="exact"/>
        <w:ind w:left="0"/>
        <w:jc w:val="both"/>
        <w:textAlignment w:val="auto"/>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line="600" w:lineRule="exact"/>
        <w:ind w:left="0"/>
        <w:jc w:val="both"/>
        <w:textAlignment w:val="auto"/>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line="600" w:lineRule="exact"/>
        <w:ind w:left="0"/>
        <w:jc w:val="both"/>
        <w:textAlignment w:val="auto"/>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line="600" w:lineRule="exact"/>
        <w:ind w:left="0"/>
        <w:jc w:val="both"/>
        <w:textAlignment w:val="auto"/>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line="600" w:lineRule="exact"/>
        <w:ind w:left="0"/>
        <w:jc w:val="both"/>
        <w:textAlignment w:val="auto"/>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line="600" w:lineRule="exact"/>
        <w:ind w:left="0" w:firstLine="643" w:firstLineChars="200"/>
        <w:jc w:val="both"/>
        <w:textAlignment w:val="auto"/>
        <w:rPr>
          <w:rFonts w:hint="eastAsia" w:ascii="仿宋_GB2312" w:hAnsi="仿宋_GB2312" w:eastAsia="仿宋_GB2312" w:cs="仿宋_GB2312"/>
          <w:b/>
          <w:sz w:val="32"/>
          <w:szCs w:val="32"/>
          <w:lang w:val="zh-CN"/>
        </w:rPr>
      </w:pPr>
    </w:p>
    <w:p>
      <w:pPr>
        <w:pageBreakBefore w:val="0"/>
        <w:kinsoku/>
        <w:wordWrap/>
        <w:overflowPunct/>
        <w:topLinePunct w:val="0"/>
        <w:autoSpaceDE/>
        <w:autoSpaceDN/>
        <w:bidi w:val="0"/>
        <w:adjustRightInd/>
        <w:snapToGrid/>
        <w:spacing w:line="600" w:lineRule="exact"/>
        <w:ind w:left="0" w:firstLine="643" w:firstLineChars="200"/>
        <w:jc w:val="both"/>
        <w:textAlignment w:val="auto"/>
        <w:rPr>
          <w:rFonts w:hint="eastAsia" w:ascii="仿宋_GB2312" w:hAnsi="仿宋_GB2312" w:eastAsia="仿宋_GB2312" w:cs="仿宋_GB2312"/>
          <w:b/>
          <w:sz w:val="32"/>
          <w:szCs w:val="32"/>
          <w:lang w:val="zh-CN"/>
        </w:rPr>
      </w:pPr>
    </w:p>
    <w:p>
      <w:pPr>
        <w:pageBreakBefore w:val="0"/>
        <w:kinsoku/>
        <w:wordWrap/>
        <w:overflowPunct/>
        <w:topLinePunct w:val="0"/>
        <w:autoSpaceDE/>
        <w:autoSpaceDN/>
        <w:bidi w:val="0"/>
        <w:adjustRightInd/>
        <w:snapToGrid/>
        <w:spacing w:line="600" w:lineRule="exact"/>
        <w:ind w:left="0" w:firstLine="643" w:firstLineChars="200"/>
        <w:jc w:val="both"/>
        <w:textAlignment w:val="auto"/>
        <w:rPr>
          <w:rFonts w:hint="eastAsia" w:ascii="仿宋_GB2312" w:hAnsi="仿宋_GB2312" w:eastAsia="仿宋_GB2312" w:cs="仿宋_GB2312"/>
          <w:b/>
          <w:sz w:val="32"/>
          <w:szCs w:val="32"/>
          <w:lang w:val="zh-CN"/>
        </w:rPr>
      </w:pPr>
    </w:p>
    <w:p>
      <w:pPr>
        <w:pageBreakBefore w:val="0"/>
        <w:kinsoku/>
        <w:wordWrap/>
        <w:overflowPunct/>
        <w:topLinePunct w:val="0"/>
        <w:autoSpaceDE/>
        <w:autoSpaceDN/>
        <w:bidi w:val="0"/>
        <w:adjustRightInd/>
        <w:snapToGrid/>
        <w:spacing w:line="600" w:lineRule="exact"/>
        <w:ind w:left="0" w:firstLine="643" w:firstLineChars="200"/>
        <w:jc w:val="both"/>
        <w:textAlignment w:val="auto"/>
        <w:rPr>
          <w:rFonts w:hint="eastAsia" w:ascii="仿宋_GB2312" w:hAnsi="仿宋_GB2312" w:eastAsia="仿宋_GB2312" w:cs="仿宋_GB2312"/>
          <w:b/>
          <w:sz w:val="32"/>
          <w:szCs w:val="32"/>
          <w:lang w:val="zh-CN"/>
        </w:rPr>
      </w:pPr>
    </w:p>
    <w:p>
      <w:pPr>
        <w:pageBreakBefore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第一部分部门概况</w:t>
      </w:r>
    </w:p>
    <w:p>
      <w:pPr>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ascii="黑体" w:hAnsi="黑体" w:eastAsia="黑体" w:cs="Times New Roman"/>
          <w:sz w:val="32"/>
          <w:szCs w:val="32"/>
          <w:lang w:val="en-US" w:eastAsia="zh-CN" w:bidi="ar-SA"/>
        </w:rPr>
      </w:pPr>
      <w:r>
        <w:rPr>
          <w:rFonts w:hint="eastAsia" w:ascii="黑体" w:hAnsi="黑体" w:eastAsia="黑体" w:cs="Times New Roman"/>
          <w:sz w:val="32"/>
          <w:szCs w:val="32"/>
          <w:lang w:val="en-US" w:eastAsia="zh-CN" w:bidi="ar-SA"/>
        </w:rPr>
        <w:t>一、部门职责</w:t>
      </w:r>
    </w:p>
    <w:p>
      <w:pPr>
        <w:spacing w:before="91" w:line="221" w:lineRule="auto"/>
        <w:ind w:firstLine="664" w:firstLineChars="200"/>
        <w:rPr>
          <w:rFonts w:ascii="仿宋" w:hAnsi="仿宋" w:eastAsia="仿宋" w:cs="仿宋"/>
          <w:sz w:val="34"/>
          <w:szCs w:val="34"/>
        </w:rPr>
      </w:pPr>
      <w:r>
        <w:rPr>
          <w:rFonts w:ascii="仿宋" w:hAnsi="仿宋" w:eastAsia="仿宋" w:cs="仿宋"/>
          <w:spacing w:val="-4"/>
          <w:sz w:val="34"/>
          <w:szCs w:val="34"/>
        </w:rPr>
        <w:t>(一)贯彻落实工业</w:t>
      </w:r>
      <w:r>
        <w:rPr>
          <w:rFonts w:ascii="仿宋" w:hAnsi="仿宋" w:eastAsia="仿宋" w:cs="仿宋"/>
          <w:spacing w:val="-3"/>
          <w:sz w:val="34"/>
          <w:szCs w:val="34"/>
        </w:rPr>
        <w:t>和</w:t>
      </w:r>
      <w:r>
        <w:rPr>
          <w:rFonts w:ascii="仿宋" w:hAnsi="仿宋" w:eastAsia="仿宋" w:cs="仿宋"/>
          <w:spacing w:val="-2"/>
          <w:sz w:val="34"/>
          <w:szCs w:val="34"/>
        </w:rPr>
        <w:t>信息化有关法律、法规、规章和方</w:t>
      </w:r>
      <w:r>
        <w:rPr>
          <w:rFonts w:ascii="仿宋" w:hAnsi="仿宋" w:eastAsia="仿宋" w:cs="仿宋"/>
          <w:spacing w:val="-6"/>
          <w:sz w:val="34"/>
          <w:szCs w:val="34"/>
        </w:rPr>
        <w:t>针、政策</w:t>
      </w:r>
      <w:r>
        <w:rPr>
          <w:rFonts w:ascii="仿宋" w:hAnsi="仿宋" w:eastAsia="仿宋" w:cs="仿宋"/>
          <w:spacing w:val="-3"/>
          <w:sz w:val="34"/>
          <w:szCs w:val="34"/>
        </w:rPr>
        <w:t>,并会同有关部门组织实施。</w:t>
      </w:r>
    </w:p>
    <w:p>
      <w:pPr>
        <w:spacing w:before="2" w:line="221" w:lineRule="auto"/>
        <w:ind w:left="53" w:firstLine="664" w:firstLineChars="200"/>
        <w:rPr>
          <w:rFonts w:ascii="仿宋" w:hAnsi="仿宋" w:eastAsia="仿宋" w:cs="仿宋"/>
          <w:sz w:val="34"/>
          <w:szCs w:val="34"/>
        </w:rPr>
      </w:pPr>
      <w:r>
        <w:rPr>
          <w:rFonts w:ascii="仿宋" w:hAnsi="仿宋" w:eastAsia="仿宋" w:cs="仿宋"/>
          <w:spacing w:val="-4"/>
          <w:sz w:val="34"/>
          <w:szCs w:val="34"/>
        </w:rPr>
        <w:t>(二)拟定全县工业</w:t>
      </w:r>
      <w:r>
        <w:rPr>
          <w:rFonts w:ascii="仿宋" w:hAnsi="仿宋" w:eastAsia="仿宋" w:cs="仿宋"/>
          <w:spacing w:val="-3"/>
          <w:sz w:val="34"/>
          <w:szCs w:val="34"/>
        </w:rPr>
        <w:t>和</w:t>
      </w:r>
      <w:r>
        <w:rPr>
          <w:rFonts w:ascii="仿宋" w:hAnsi="仿宋" w:eastAsia="仿宋" w:cs="仿宋"/>
          <w:spacing w:val="-2"/>
          <w:sz w:val="34"/>
          <w:szCs w:val="34"/>
        </w:rPr>
        <w:t>信息化的发展战略、规划和年度计</w:t>
      </w:r>
      <w:r>
        <w:rPr>
          <w:rFonts w:ascii="仿宋" w:hAnsi="仿宋" w:eastAsia="仿宋" w:cs="仿宋"/>
          <w:spacing w:val="-1"/>
          <w:sz w:val="34"/>
          <w:szCs w:val="34"/>
        </w:rPr>
        <w:t>划并组织实施;研究工业和信息化布局规划、结构调整的政策</w:t>
      </w:r>
      <w:r>
        <w:rPr>
          <w:rFonts w:ascii="仿宋" w:hAnsi="仿宋" w:eastAsia="仿宋" w:cs="仿宋"/>
          <w:sz w:val="34"/>
          <w:szCs w:val="34"/>
        </w:rPr>
        <w:t xml:space="preserve">措施并组织实施;组织实施工业和 </w:t>
      </w:r>
      <w:r>
        <w:rPr>
          <w:rFonts w:ascii="仿宋" w:hAnsi="仿宋" w:eastAsia="仿宋" w:cs="仿宋"/>
          <w:spacing w:val="-2"/>
          <w:sz w:val="34"/>
          <w:szCs w:val="34"/>
        </w:rPr>
        <w:t>信息化产业政策;推进工业和信息化管理体制机构创新,提</w:t>
      </w:r>
      <w:r>
        <w:rPr>
          <w:rFonts w:ascii="仿宋" w:hAnsi="仿宋" w:eastAsia="仿宋" w:cs="仿宋"/>
          <w:spacing w:val="-1"/>
          <w:sz w:val="34"/>
          <w:szCs w:val="34"/>
        </w:rPr>
        <w:t>高行业综合素质和核心竞争力。</w:t>
      </w:r>
    </w:p>
    <w:p>
      <w:pPr>
        <w:spacing w:before="1" w:line="220" w:lineRule="auto"/>
        <w:ind w:left="53" w:firstLine="664" w:firstLineChars="200"/>
        <w:rPr>
          <w:rFonts w:ascii="仿宋" w:hAnsi="仿宋" w:eastAsia="仿宋" w:cs="仿宋"/>
          <w:sz w:val="34"/>
          <w:szCs w:val="34"/>
        </w:rPr>
      </w:pPr>
      <w:r>
        <w:rPr>
          <w:rFonts w:ascii="仿宋" w:hAnsi="仿宋" w:eastAsia="仿宋" w:cs="仿宋"/>
          <w:spacing w:val="-4"/>
          <w:sz w:val="34"/>
          <w:szCs w:val="34"/>
        </w:rPr>
        <w:t>(三)承担工业和信</w:t>
      </w:r>
      <w:r>
        <w:rPr>
          <w:rFonts w:ascii="仿宋" w:hAnsi="仿宋" w:eastAsia="仿宋" w:cs="仿宋"/>
          <w:spacing w:val="-3"/>
          <w:sz w:val="34"/>
          <w:szCs w:val="34"/>
        </w:rPr>
        <w:t>息</w:t>
      </w:r>
      <w:r>
        <w:rPr>
          <w:rFonts w:ascii="仿宋" w:hAnsi="仿宋" w:eastAsia="仿宋" w:cs="仿宋"/>
          <w:spacing w:val="-2"/>
          <w:sz w:val="34"/>
          <w:szCs w:val="34"/>
        </w:rPr>
        <w:t>化行业固定资产投资、技术改造项目管理职能;负责提出工业和信息产业固定资产投资规模和方向、对省、州和本县用于工业和</w:t>
      </w:r>
      <w:r>
        <w:rPr>
          <w:rFonts w:ascii="仿宋" w:hAnsi="仿宋" w:eastAsia="仿宋" w:cs="仿宋"/>
          <w:spacing w:val="-1"/>
          <w:sz w:val="34"/>
          <w:szCs w:val="34"/>
        </w:rPr>
        <w:t>信</w:t>
      </w:r>
      <w:r>
        <w:rPr>
          <w:rFonts w:ascii="仿宋" w:hAnsi="仿宋" w:eastAsia="仿宋" w:cs="仿宋"/>
          <w:sz w:val="34"/>
          <w:szCs w:val="34"/>
        </w:rPr>
        <w:t xml:space="preserve"> </w:t>
      </w:r>
      <w:r>
        <w:rPr>
          <w:rFonts w:ascii="仿宋" w:hAnsi="仿宋" w:eastAsia="仿宋" w:cs="仿宋"/>
          <w:spacing w:val="-1"/>
          <w:sz w:val="34"/>
          <w:szCs w:val="34"/>
        </w:rPr>
        <w:t>息产业固定资投资规模和方向、对省、州和</w:t>
      </w:r>
      <w:r>
        <w:rPr>
          <w:rFonts w:ascii="仿宋" w:hAnsi="仿宋" w:eastAsia="仿宋" w:cs="仿宋"/>
          <w:sz w:val="34"/>
          <w:szCs w:val="34"/>
        </w:rPr>
        <w:t xml:space="preserve">本县用于工业和信息化产业财政性建设资金提出安 </w:t>
      </w:r>
      <w:r>
        <w:rPr>
          <w:rFonts w:ascii="仿宋" w:hAnsi="仿宋" w:eastAsia="仿宋" w:cs="仿宋"/>
          <w:spacing w:val="-1"/>
          <w:sz w:val="34"/>
          <w:szCs w:val="34"/>
        </w:rPr>
        <w:t>排意见;负责全县工业和信息化行业固定资</w:t>
      </w:r>
      <w:r>
        <w:rPr>
          <w:rFonts w:ascii="仿宋" w:hAnsi="仿宋" w:eastAsia="仿宋" w:cs="仿宋"/>
          <w:sz w:val="34"/>
          <w:szCs w:val="34"/>
        </w:rPr>
        <w:t xml:space="preserve">产投资和技术改造项目进行核准、审核、审批、上报 </w:t>
      </w:r>
      <w:r>
        <w:rPr>
          <w:rFonts w:ascii="仿宋" w:hAnsi="仿宋" w:eastAsia="仿宋" w:cs="仿宋"/>
          <w:spacing w:val="-13"/>
          <w:sz w:val="34"/>
          <w:szCs w:val="34"/>
        </w:rPr>
        <w:t>,</w:t>
      </w:r>
      <w:r>
        <w:rPr>
          <w:rFonts w:ascii="仿宋" w:hAnsi="仿宋" w:eastAsia="仿宋" w:cs="仿宋"/>
          <w:spacing w:val="-7"/>
          <w:sz w:val="34"/>
          <w:szCs w:val="34"/>
        </w:rPr>
        <w:t>并组织实施。</w:t>
      </w:r>
    </w:p>
    <w:p>
      <w:pPr>
        <w:spacing w:before="1" w:line="221" w:lineRule="auto"/>
        <w:ind w:left="11" w:firstLine="735" w:firstLineChars="219"/>
        <w:rPr>
          <w:rFonts w:ascii="仿宋" w:hAnsi="仿宋" w:eastAsia="仿宋" w:cs="仿宋"/>
          <w:sz w:val="34"/>
          <w:szCs w:val="34"/>
        </w:rPr>
      </w:pPr>
      <w:r>
        <w:rPr>
          <w:rFonts w:ascii="仿宋" w:hAnsi="仿宋" w:eastAsia="仿宋" w:cs="仿宋"/>
          <w:spacing w:val="-2"/>
          <w:sz w:val="34"/>
          <w:szCs w:val="34"/>
        </w:rPr>
        <w:t>(四)组织实施全县工业布局的调整;负责制定工业循环经济产</w:t>
      </w:r>
      <w:r>
        <w:rPr>
          <w:rFonts w:ascii="仿宋" w:hAnsi="仿宋" w:eastAsia="仿宋" w:cs="仿宋"/>
          <w:spacing w:val="-1"/>
          <w:sz w:val="34"/>
          <w:szCs w:val="34"/>
        </w:rPr>
        <w:t>业因发展规划,配合有关部门,协调</w:t>
      </w:r>
      <w:r>
        <w:rPr>
          <w:rFonts w:ascii="仿宋" w:hAnsi="仿宋" w:eastAsia="仿宋" w:cs="仿宋"/>
          <w:sz w:val="34"/>
          <w:szCs w:val="34"/>
        </w:rPr>
        <w:t xml:space="preserve"> </w:t>
      </w:r>
      <w:r>
        <w:rPr>
          <w:rFonts w:ascii="仿宋" w:hAnsi="仿宋" w:eastAsia="仿宋" w:cs="仿宋"/>
          <w:spacing w:val="-4"/>
          <w:sz w:val="34"/>
          <w:szCs w:val="34"/>
        </w:rPr>
        <w:t>工业园区建设和园区</w:t>
      </w:r>
      <w:r>
        <w:rPr>
          <w:rFonts w:ascii="仿宋" w:hAnsi="仿宋" w:eastAsia="仿宋" w:cs="仿宋"/>
          <w:spacing w:val="-2"/>
          <w:sz w:val="34"/>
          <w:szCs w:val="34"/>
        </w:rPr>
        <w:t>产业升级工作,推进工业项目向园区集中。</w:t>
      </w:r>
    </w:p>
    <w:p>
      <w:pPr>
        <w:spacing w:before="2" w:line="220" w:lineRule="auto"/>
        <w:ind w:left="53" w:firstLine="664" w:firstLineChars="200"/>
        <w:rPr>
          <w:rFonts w:ascii="仿宋" w:hAnsi="仿宋" w:eastAsia="仿宋" w:cs="仿宋"/>
          <w:sz w:val="34"/>
          <w:szCs w:val="34"/>
        </w:rPr>
      </w:pPr>
      <w:r>
        <w:rPr>
          <w:rFonts w:ascii="仿宋" w:hAnsi="仿宋" w:eastAsia="仿宋" w:cs="仿宋"/>
          <w:spacing w:val="-4"/>
          <w:sz w:val="34"/>
          <w:szCs w:val="34"/>
        </w:rPr>
        <w:t>(五)承担全县发展</w:t>
      </w:r>
      <w:r>
        <w:rPr>
          <w:rFonts w:ascii="仿宋" w:hAnsi="仿宋" w:eastAsia="仿宋" w:cs="仿宋"/>
          <w:spacing w:val="-3"/>
          <w:sz w:val="34"/>
          <w:szCs w:val="34"/>
        </w:rPr>
        <w:t>循</w:t>
      </w:r>
      <w:r>
        <w:rPr>
          <w:rFonts w:ascii="仿宋" w:hAnsi="仿宋" w:eastAsia="仿宋" w:cs="仿宋"/>
          <w:spacing w:val="-2"/>
          <w:sz w:val="34"/>
          <w:szCs w:val="34"/>
        </w:rPr>
        <w:t>环经济组织协调管理职责。负责拟</w:t>
      </w:r>
      <w:r>
        <w:rPr>
          <w:rFonts w:ascii="仿宋" w:hAnsi="仿宋" w:eastAsia="仿宋" w:cs="仿宋"/>
          <w:spacing w:val="-4"/>
          <w:sz w:val="34"/>
          <w:szCs w:val="34"/>
        </w:rPr>
        <w:t>订全县循环</w:t>
      </w:r>
      <w:r>
        <w:rPr>
          <w:rFonts w:ascii="仿宋" w:hAnsi="仿宋" w:eastAsia="仿宋" w:cs="仿宋"/>
          <w:spacing w:val="-3"/>
          <w:sz w:val="34"/>
          <w:szCs w:val="34"/>
        </w:rPr>
        <w:t>经</w:t>
      </w:r>
      <w:r>
        <w:rPr>
          <w:rFonts w:ascii="仿宋" w:hAnsi="仿宋" w:eastAsia="仿宋" w:cs="仿宋"/>
          <w:spacing w:val="-2"/>
          <w:sz w:val="34"/>
          <w:szCs w:val="34"/>
        </w:rPr>
        <w:t>济规划、循环经济产业化重点项目,并组织实施。</w:t>
      </w:r>
    </w:p>
    <w:p>
      <w:pPr>
        <w:spacing w:line="640" w:lineRule="exact"/>
        <w:ind w:firstLine="645"/>
        <w:rPr>
          <w:rFonts w:ascii="黑体" w:hAnsi="黑体" w:eastAsia="黑体"/>
          <w:sz w:val="32"/>
          <w:szCs w:val="32"/>
        </w:rPr>
      </w:pPr>
      <w:r>
        <w:rPr>
          <w:rFonts w:hint="eastAsia" w:ascii="黑体" w:hAnsi="黑体" w:eastAsia="黑体"/>
          <w:sz w:val="32"/>
          <w:szCs w:val="32"/>
        </w:rPr>
        <w:t>二、机构设置</w:t>
      </w:r>
    </w:p>
    <w:p>
      <w:pPr>
        <w:spacing w:before="2" w:line="220" w:lineRule="auto"/>
        <w:ind w:left="53" w:firstLine="672" w:firstLineChars="200"/>
        <w:rPr>
          <w:rFonts w:hint="eastAsia" w:ascii="仿宋" w:hAnsi="仿宋" w:eastAsia="仿宋" w:cs="仿宋"/>
          <w:spacing w:val="-2"/>
          <w:sz w:val="34"/>
          <w:szCs w:val="34"/>
          <w:lang w:eastAsia="zh-CN"/>
        </w:rPr>
      </w:pPr>
      <w:r>
        <w:rPr>
          <w:rFonts w:ascii="仿宋" w:hAnsi="仿宋" w:eastAsia="仿宋" w:cs="仿宋"/>
          <w:spacing w:val="-2"/>
          <w:sz w:val="34"/>
          <w:szCs w:val="34"/>
        </w:rPr>
        <w:t>综合办公室、综合业务股、经济运行办公室、循环经济发展与综合利用办公室、技术创新 办公室、政策法规与产业规划办公室两化融合与电子信息软件办公室、中小企业办公室</w:t>
      </w:r>
      <w:r>
        <w:rPr>
          <w:rFonts w:hint="eastAsia" w:ascii="仿宋" w:hAnsi="仿宋" w:eastAsia="仿宋" w:cs="仿宋"/>
          <w:spacing w:val="-2"/>
          <w:sz w:val="34"/>
          <w:szCs w:val="34"/>
          <w:lang w:eastAsia="zh-CN"/>
        </w:rPr>
        <w:t>。</w:t>
      </w:r>
    </w:p>
    <w:p>
      <w:pPr>
        <w:pageBreakBefore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color w:val="auto"/>
          <w:sz w:val="32"/>
          <w:szCs w:val="32"/>
          <w:lang w:val="zh-CN"/>
        </w:rPr>
      </w:pPr>
    </w:p>
    <w:p>
      <w:pPr>
        <w:pageBreakBefore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color w:val="auto"/>
          <w:sz w:val="32"/>
          <w:szCs w:val="32"/>
          <w:lang w:val="zh-CN"/>
        </w:rPr>
      </w:pPr>
    </w:p>
    <w:p>
      <w:pPr>
        <w:pageBreakBefore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color w:val="auto"/>
          <w:sz w:val="32"/>
          <w:szCs w:val="32"/>
          <w:lang w:val="zh-CN"/>
        </w:rPr>
      </w:pPr>
    </w:p>
    <w:p>
      <w:pPr>
        <w:pageBreakBefore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color w:val="auto"/>
          <w:sz w:val="32"/>
          <w:szCs w:val="32"/>
          <w:lang w:val="zh-CN"/>
        </w:rPr>
      </w:pPr>
    </w:p>
    <w:p>
      <w:pPr>
        <w:pageBreakBefore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color w:val="auto"/>
          <w:sz w:val="32"/>
          <w:szCs w:val="32"/>
          <w:lang w:val="zh-CN"/>
        </w:rPr>
      </w:pPr>
    </w:p>
    <w:p>
      <w:pPr>
        <w:pageBreakBefore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color w:val="auto"/>
          <w:sz w:val="32"/>
          <w:szCs w:val="32"/>
          <w:lang w:val="zh-CN"/>
        </w:rPr>
      </w:pPr>
    </w:p>
    <w:p>
      <w:pPr>
        <w:pageBreakBefore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color w:val="auto"/>
          <w:sz w:val="32"/>
          <w:szCs w:val="32"/>
          <w:lang w:val="zh-CN"/>
        </w:rPr>
      </w:pPr>
    </w:p>
    <w:p>
      <w:pPr>
        <w:pageBreakBefore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color w:val="auto"/>
          <w:sz w:val="32"/>
          <w:szCs w:val="32"/>
          <w:lang w:val="zh-CN"/>
        </w:rPr>
      </w:pPr>
    </w:p>
    <w:p>
      <w:pPr>
        <w:pageBreakBefore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color w:val="auto"/>
          <w:sz w:val="32"/>
          <w:szCs w:val="32"/>
          <w:lang w:val="zh-CN"/>
        </w:rPr>
      </w:pPr>
    </w:p>
    <w:p>
      <w:pPr>
        <w:pageBreakBefore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color w:val="auto"/>
          <w:sz w:val="32"/>
          <w:szCs w:val="32"/>
          <w:lang w:val="zh-CN"/>
        </w:rPr>
      </w:pPr>
    </w:p>
    <w:p>
      <w:pPr>
        <w:pageBreakBefore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color w:val="auto"/>
          <w:sz w:val="32"/>
          <w:szCs w:val="32"/>
          <w:lang w:val="zh-CN"/>
        </w:rPr>
      </w:pPr>
    </w:p>
    <w:p>
      <w:pPr>
        <w:pageBreakBefore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color w:val="auto"/>
          <w:sz w:val="32"/>
          <w:szCs w:val="32"/>
          <w:lang w:val="zh-CN"/>
        </w:rPr>
      </w:pPr>
    </w:p>
    <w:p>
      <w:pPr>
        <w:pageBreakBefore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color w:val="auto"/>
          <w:sz w:val="32"/>
          <w:szCs w:val="32"/>
          <w:lang w:val="zh-CN"/>
        </w:rPr>
      </w:pPr>
      <w:r>
        <w:rPr>
          <w:rFonts w:hint="eastAsia" w:ascii="仿宋_GB2312" w:hAnsi="仿宋_GB2312" w:eastAsia="仿宋_GB2312" w:cs="仿宋_GB2312"/>
          <w:b/>
          <w:color w:val="auto"/>
          <w:sz w:val="32"/>
          <w:szCs w:val="32"/>
          <w:lang w:val="zh-CN"/>
        </w:rPr>
        <w:t>第二部分2022年度部门决算表</w:t>
      </w:r>
    </w:p>
    <w:p>
      <w:pPr>
        <w:pageBreakBefore w:val="0"/>
        <w:numPr>
          <w:ilvl w:val="0"/>
          <w:numId w:val="1"/>
        </w:numPr>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收入支出决算总表（</w:t>
      </w:r>
      <w:r>
        <w:rPr>
          <w:rFonts w:hint="eastAsia" w:ascii="仿宋_GB2312" w:hAnsi="仿宋_GB2312" w:eastAsia="仿宋_GB2312" w:cs="仿宋_GB2312"/>
          <w:color w:val="auto"/>
          <w:sz w:val="32"/>
          <w:szCs w:val="32"/>
          <w:lang w:val="en-US" w:eastAsia="zh-CN"/>
        </w:rPr>
        <w:t>附件1</w:t>
      </w:r>
      <w:r>
        <w:rPr>
          <w:rFonts w:hint="eastAsia" w:ascii="仿宋_GB2312" w:hAnsi="仿宋_GB2312" w:eastAsia="仿宋_GB2312" w:cs="仿宋_GB2312"/>
          <w:color w:val="auto"/>
          <w:sz w:val="32"/>
          <w:szCs w:val="32"/>
          <w:lang w:val="zh-CN"/>
        </w:rPr>
        <w:t>）</w:t>
      </w:r>
    </w:p>
    <w:p>
      <w:pPr>
        <w:pageBreakBefore w:val="0"/>
        <w:numPr>
          <w:ilvl w:val="0"/>
          <w:numId w:val="0"/>
        </w:numPr>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二、收入决算表（</w:t>
      </w:r>
      <w:r>
        <w:rPr>
          <w:rFonts w:hint="eastAsia" w:ascii="仿宋_GB2312" w:hAnsi="仿宋_GB2312" w:eastAsia="仿宋_GB2312" w:cs="仿宋_GB2312"/>
          <w:color w:val="auto"/>
          <w:sz w:val="32"/>
          <w:szCs w:val="32"/>
          <w:lang w:val="en-US" w:eastAsia="zh-CN"/>
        </w:rPr>
        <w:t>附件2</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三、支出决算表（</w:t>
      </w:r>
      <w:r>
        <w:rPr>
          <w:rFonts w:hint="eastAsia" w:ascii="仿宋_GB2312" w:hAnsi="仿宋_GB2312" w:eastAsia="仿宋_GB2312" w:cs="仿宋_GB2312"/>
          <w:color w:val="auto"/>
          <w:sz w:val="32"/>
          <w:szCs w:val="32"/>
          <w:lang w:val="en-US" w:eastAsia="zh-CN"/>
        </w:rPr>
        <w:t>附件3</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四、财政拨款收入支出决算总表（</w:t>
      </w:r>
      <w:r>
        <w:rPr>
          <w:rFonts w:hint="eastAsia" w:ascii="仿宋_GB2312" w:hAnsi="仿宋_GB2312" w:eastAsia="仿宋_GB2312" w:cs="仿宋_GB2312"/>
          <w:color w:val="auto"/>
          <w:sz w:val="32"/>
          <w:szCs w:val="32"/>
          <w:lang w:val="en-US" w:eastAsia="zh-CN"/>
        </w:rPr>
        <w:t>附件4</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五、一般公共预算财政拨款支出决算表（</w:t>
      </w:r>
      <w:r>
        <w:rPr>
          <w:rFonts w:hint="eastAsia" w:ascii="仿宋_GB2312" w:hAnsi="仿宋_GB2312" w:eastAsia="仿宋_GB2312" w:cs="仿宋_GB2312"/>
          <w:color w:val="auto"/>
          <w:sz w:val="32"/>
          <w:szCs w:val="32"/>
          <w:lang w:val="en-US" w:eastAsia="zh-CN"/>
        </w:rPr>
        <w:t>附件5</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color w:val="auto"/>
          <w:spacing w:val="-20"/>
          <w:sz w:val="32"/>
          <w:szCs w:val="32"/>
          <w:lang w:val="zh-CN"/>
        </w:rPr>
      </w:pPr>
      <w:r>
        <w:rPr>
          <w:rFonts w:hint="eastAsia" w:ascii="仿宋_GB2312" w:hAnsi="仿宋_GB2312" w:eastAsia="仿宋_GB2312" w:cs="仿宋_GB2312"/>
          <w:color w:val="auto"/>
          <w:sz w:val="32"/>
          <w:szCs w:val="32"/>
          <w:lang w:val="zh-CN"/>
        </w:rPr>
        <w:t>六、</w:t>
      </w:r>
      <w:r>
        <w:rPr>
          <w:rFonts w:hint="eastAsia" w:ascii="仿宋_GB2312" w:hAnsi="仿宋_GB2312" w:eastAsia="仿宋_GB2312" w:cs="仿宋_GB2312"/>
          <w:color w:val="auto"/>
          <w:spacing w:val="-20"/>
          <w:sz w:val="32"/>
          <w:szCs w:val="32"/>
          <w:lang w:val="zh-CN"/>
        </w:rPr>
        <w:t>一般公共预算财政拨款基本支出决算明细表（</w:t>
      </w:r>
      <w:r>
        <w:rPr>
          <w:rFonts w:hint="eastAsia" w:ascii="仿宋_GB2312" w:hAnsi="仿宋_GB2312" w:eastAsia="仿宋_GB2312" w:cs="仿宋_GB2312"/>
          <w:color w:val="auto"/>
          <w:spacing w:val="-20"/>
          <w:sz w:val="32"/>
          <w:szCs w:val="32"/>
          <w:lang w:val="en-US" w:eastAsia="zh-CN"/>
        </w:rPr>
        <w:t>附件6</w:t>
      </w:r>
      <w:r>
        <w:rPr>
          <w:rFonts w:hint="eastAsia" w:ascii="仿宋_GB2312" w:hAnsi="仿宋_GB2312" w:eastAsia="仿宋_GB2312" w:cs="仿宋_GB2312"/>
          <w:color w:val="auto"/>
          <w:spacing w:val="-20"/>
          <w:sz w:val="32"/>
          <w:szCs w:val="32"/>
          <w:lang w:val="zh-CN"/>
        </w:rPr>
        <w:t>）</w:t>
      </w:r>
    </w:p>
    <w:p>
      <w:pPr>
        <w:pageBreakBefore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七、政府性基金预算财政拨款收入支出决算表（</w:t>
      </w:r>
      <w:r>
        <w:rPr>
          <w:rFonts w:hint="eastAsia" w:ascii="仿宋_GB2312" w:hAnsi="仿宋_GB2312" w:eastAsia="仿宋_GB2312" w:cs="仿宋_GB2312"/>
          <w:color w:val="auto"/>
          <w:sz w:val="32"/>
          <w:szCs w:val="32"/>
          <w:lang w:val="en-US" w:eastAsia="zh-CN"/>
        </w:rPr>
        <w:t>附件7</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八、国有资本经营预算财政拨款支出决算表（</w:t>
      </w:r>
      <w:r>
        <w:rPr>
          <w:rFonts w:hint="eastAsia" w:ascii="仿宋_GB2312" w:hAnsi="仿宋_GB2312" w:eastAsia="仿宋_GB2312" w:cs="仿宋_GB2312"/>
          <w:color w:val="auto"/>
          <w:sz w:val="32"/>
          <w:szCs w:val="32"/>
          <w:lang w:val="en-US" w:eastAsia="zh-CN"/>
        </w:rPr>
        <w:t>附件8</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九、财政拨款“三公”经费支出决算表（</w:t>
      </w:r>
      <w:r>
        <w:rPr>
          <w:rFonts w:hint="eastAsia" w:ascii="仿宋_GB2312" w:hAnsi="仿宋_GB2312" w:eastAsia="仿宋_GB2312" w:cs="仿宋_GB2312"/>
          <w:color w:val="auto"/>
          <w:sz w:val="32"/>
          <w:szCs w:val="32"/>
          <w:lang w:val="en-US" w:eastAsia="zh-CN"/>
        </w:rPr>
        <w:t>附件9</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line="600" w:lineRule="exact"/>
        <w:ind w:left="0" w:firstLine="643" w:firstLineChars="200"/>
        <w:jc w:val="both"/>
        <w:textAlignment w:val="auto"/>
        <w:rPr>
          <w:rFonts w:hint="eastAsia" w:ascii="仿宋_GB2312" w:hAnsi="仿宋_GB2312" w:eastAsia="仿宋_GB2312" w:cs="仿宋_GB2312"/>
          <w:b/>
          <w:color w:val="auto"/>
          <w:sz w:val="32"/>
          <w:szCs w:val="32"/>
          <w:lang w:val="zh-CN"/>
        </w:rPr>
      </w:pPr>
    </w:p>
    <w:p>
      <w:pPr>
        <w:pageBreakBefore w:val="0"/>
        <w:kinsoku/>
        <w:wordWrap/>
        <w:overflowPunct/>
        <w:topLinePunct w:val="0"/>
        <w:autoSpaceDE/>
        <w:autoSpaceDN/>
        <w:bidi w:val="0"/>
        <w:adjustRightInd/>
        <w:snapToGrid/>
        <w:spacing w:line="600" w:lineRule="exact"/>
        <w:ind w:left="0" w:firstLine="643" w:firstLineChars="200"/>
        <w:jc w:val="both"/>
        <w:textAlignment w:val="auto"/>
        <w:rPr>
          <w:rFonts w:hint="eastAsia" w:ascii="仿宋_GB2312" w:hAnsi="仿宋_GB2312" w:eastAsia="仿宋_GB2312" w:cs="仿宋_GB2312"/>
          <w:b/>
          <w:color w:val="auto"/>
          <w:sz w:val="32"/>
          <w:szCs w:val="32"/>
          <w:lang w:val="zh-CN"/>
        </w:rPr>
      </w:pPr>
    </w:p>
    <w:p>
      <w:pPr>
        <w:pageBreakBefore w:val="0"/>
        <w:kinsoku/>
        <w:wordWrap/>
        <w:overflowPunct/>
        <w:topLinePunct w:val="0"/>
        <w:autoSpaceDE/>
        <w:autoSpaceDN/>
        <w:bidi w:val="0"/>
        <w:adjustRightInd/>
        <w:snapToGrid/>
        <w:spacing w:line="600" w:lineRule="exact"/>
        <w:ind w:left="0" w:firstLine="643" w:firstLineChars="200"/>
        <w:jc w:val="both"/>
        <w:textAlignment w:val="auto"/>
        <w:rPr>
          <w:rFonts w:hint="eastAsia" w:ascii="仿宋_GB2312" w:hAnsi="仿宋_GB2312" w:eastAsia="仿宋_GB2312" w:cs="仿宋_GB2312"/>
          <w:b/>
          <w:color w:val="auto"/>
          <w:sz w:val="32"/>
          <w:szCs w:val="32"/>
          <w:lang w:val="zh-CN"/>
        </w:rPr>
      </w:pPr>
    </w:p>
    <w:p>
      <w:pPr>
        <w:pageBreakBefore w:val="0"/>
        <w:kinsoku/>
        <w:wordWrap/>
        <w:overflowPunct/>
        <w:topLinePunct w:val="0"/>
        <w:autoSpaceDE/>
        <w:autoSpaceDN/>
        <w:bidi w:val="0"/>
        <w:adjustRightInd/>
        <w:snapToGrid/>
        <w:spacing w:line="600" w:lineRule="exact"/>
        <w:ind w:left="0" w:firstLine="643" w:firstLineChars="200"/>
        <w:jc w:val="both"/>
        <w:textAlignment w:val="auto"/>
        <w:rPr>
          <w:rFonts w:hint="eastAsia" w:ascii="仿宋_GB2312" w:hAnsi="仿宋_GB2312" w:eastAsia="仿宋_GB2312" w:cs="仿宋_GB2312"/>
          <w:b/>
          <w:color w:val="auto"/>
          <w:sz w:val="32"/>
          <w:szCs w:val="32"/>
          <w:lang w:val="zh-CN"/>
        </w:rPr>
      </w:pPr>
    </w:p>
    <w:p>
      <w:pPr>
        <w:pageBreakBefore w:val="0"/>
        <w:kinsoku/>
        <w:wordWrap/>
        <w:overflowPunct/>
        <w:topLinePunct w:val="0"/>
        <w:autoSpaceDE/>
        <w:autoSpaceDN/>
        <w:bidi w:val="0"/>
        <w:adjustRightInd/>
        <w:snapToGrid/>
        <w:spacing w:line="600" w:lineRule="exact"/>
        <w:ind w:left="0" w:firstLine="643" w:firstLineChars="200"/>
        <w:jc w:val="both"/>
        <w:textAlignment w:val="auto"/>
        <w:rPr>
          <w:rFonts w:hint="eastAsia" w:ascii="仿宋_GB2312" w:hAnsi="仿宋_GB2312" w:eastAsia="仿宋_GB2312" w:cs="仿宋_GB2312"/>
          <w:b/>
          <w:color w:val="auto"/>
          <w:sz w:val="32"/>
          <w:szCs w:val="32"/>
          <w:lang w:val="zh-CN"/>
        </w:rPr>
      </w:pPr>
    </w:p>
    <w:p>
      <w:pPr>
        <w:pageBreakBefore w:val="0"/>
        <w:kinsoku/>
        <w:wordWrap/>
        <w:overflowPunct/>
        <w:topLinePunct w:val="0"/>
        <w:autoSpaceDE/>
        <w:autoSpaceDN/>
        <w:bidi w:val="0"/>
        <w:adjustRightInd/>
        <w:snapToGrid/>
        <w:spacing w:line="600" w:lineRule="exact"/>
        <w:ind w:left="0" w:firstLine="643" w:firstLineChars="200"/>
        <w:jc w:val="both"/>
        <w:textAlignment w:val="auto"/>
        <w:rPr>
          <w:rFonts w:hint="eastAsia" w:ascii="仿宋_GB2312" w:hAnsi="仿宋_GB2312" w:eastAsia="仿宋_GB2312" w:cs="仿宋_GB2312"/>
          <w:b/>
          <w:color w:val="auto"/>
          <w:sz w:val="32"/>
          <w:szCs w:val="32"/>
          <w:lang w:val="zh-CN"/>
        </w:rPr>
      </w:pPr>
    </w:p>
    <w:p>
      <w:pPr>
        <w:pageBreakBefore w:val="0"/>
        <w:kinsoku/>
        <w:wordWrap/>
        <w:overflowPunct/>
        <w:topLinePunct w:val="0"/>
        <w:autoSpaceDE/>
        <w:autoSpaceDN/>
        <w:bidi w:val="0"/>
        <w:adjustRightInd/>
        <w:snapToGrid/>
        <w:spacing w:line="600" w:lineRule="exact"/>
        <w:ind w:left="0" w:firstLine="643" w:firstLineChars="200"/>
        <w:jc w:val="both"/>
        <w:textAlignment w:val="auto"/>
        <w:rPr>
          <w:rFonts w:hint="eastAsia" w:ascii="仿宋_GB2312" w:hAnsi="仿宋_GB2312" w:eastAsia="仿宋_GB2312" w:cs="仿宋_GB2312"/>
          <w:b/>
          <w:color w:val="auto"/>
          <w:sz w:val="32"/>
          <w:szCs w:val="32"/>
          <w:lang w:val="zh-CN"/>
        </w:rPr>
      </w:pPr>
    </w:p>
    <w:p>
      <w:pPr>
        <w:pageBreakBefore w:val="0"/>
        <w:kinsoku/>
        <w:wordWrap/>
        <w:overflowPunct/>
        <w:topLinePunct w:val="0"/>
        <w:autoSpaceDE/>
        <w:autoSpaceDN/>
        <w:bidi w:val="0"/>
        <w:adjustRightInd/>
        <w:snapToGrid/>
        <w:spacing w:line="600" w:lineRule="exact"/>
        <w:ind w:left="0" w:firstLine="643" w:firstLineChars="200"/>
        <w:jc w:val="both"/>
        <w:textAlignment w:val="auto"/>
        <w:rPr>
          <w:rFonts w:hint="eastAsia" w:ascii="仿宋_GB2312" w:hAnsi="仿宋_GB2312" w:eastAsia="仿宋_GB2312" w:cs="仿宋_GB2312"/>
          <w:b/>
          <w:color w:val="auto"/>
          <w:sz w:val="32"/>
          <w:szCs w:val="32"/>
          <w:lang w:val="zh-CN"/>
        </w:rPr>
      </w:pPr>
    </w:p>
    <w:p>
      <w:pPr>
        <w:pageBreakBefore w:val="0"/>
        <w:kinsoku/>
        <w:wordWrap/>
        <w:overflowPunct/>
        <w:topLinePunct w:val="0"/>
        <w:autoSpaceDE/>
        <w:autoSpaceDN/>
        <w:bidi w:val="0"/>
        <w:adjustRightInd/>
        <w:snapToGrid/>
        <w:spacing w:line="600" w:lineRule="exact"/>
        <w:ind w:left="0" w:firstLine="643" w:firstLineChars="200"/>
        <w:jc w:val="both"/>
        <w:textAlignment w:val="auto"/>
        <w:rPr>
          <w:rFonts w:hint="eastAsia" w:ascii="仿宋_GB2312" w:hAnsi="仿宋_GB2312" w:eastAsia="仿宋_GB2312" w:cs="仿宋_GB2312"/>
          <w:b/>
          <w:color w:val="auto"/>
          <w:sz w:val="32"/>
          <w:szCs w:val="32"/>
          <w:lang w:val="zh-CN"/>
        </w:rPr>
      </w:pPr>
    </w:p>
    <w:p>
      <w:pPr>
        <w:pageBreakBefore w:val="0"/>
        <w:kinsoku/>
        <w:wordWrap/>
        <w:overflowPunct/>
        <w:topLinePunct w:val="0"/>
        <w:autoSpaceDE/>
        <w:autoSpaceDN/>
        <w:bidi w:val="0"/>
        <w:adjustRightInd/>
        <w:snapToGrid/>
        <w:spacing w:line="600" w:lineRule="exact"/>
        <w:ind w:left="0" w:firstLine="643" w:firstLineChars="200"/>
        <w:jc w:val="both"/>
        <w:textAlignment w:val="auto"/>
        <w:rPr>
          <w:rFonts w:hint="eastAsia" w:ascii="仿宋_GB2312" w:hAnsi="仿宋_GB2312" w:eastAsia="仿宋_GB2312" w:cs="仿宋_GB2312"/>
          <w:b/>
          <w:color w:val="auto"/>
          <w:sz w:val="32"/>
          <w:szCs w:val="32"/>
          <w:lang w:val="zh-CN"/>
        </w:rPr>
      </w:pPr>
    </w:p>
    <w:p>
      <w:pPr>
        <w:pageBreakBefore w:val="0"/>
        <w:kinsoku/>
        <w:wordWrap/>
        <w:overflowPunct/>
        <w:topLinePunct w:val="0"/>
        <w:autoSpaceDE/>
        <w:autoSpaceDN/>
        <w:bidi w:val="0"/>
        <w:adjustRightInd/>
        <w:snapToGrid/>
        <w:spacing w:line="600" w:lineRule="exact"/>
        <w:ind w:left="0" w:firstLine="643" w:firstLineChars="200"/>
        <w:jc w:val="both"/>
        <w:textAlignment w:val="auto"/>
        <w:rPr>
          <w:rFonts w:hint="eastAsia" w:ascii="仿宋_GB2312" w:hAnsi="仿宋_GB2312" w:eastAsia="仿宋_GB2312" w:cs="仿宋_GB2312"/>
          <w:b/>
          <w:color w:val="auto"/>
          <w:sz w:val="32"/>
          <w:szCs w:val="32"/>
          <w:lang w:val="zh-CN"/>
        </w:rPr>
      </w:pPr>
    </w:p>
    <w:p>
      <w:pPr>
        <w:pageBreakBefore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第三部分2022年度部门决算情况说明</w:t>
      </w:r>
    </w:p>
    <w:p>
      <w:pPr>
        <w:pageBreakBefore w:val="0"/>
        <w:kinsoku/>
        <w:wordWrap/>
        <w:overflowPunct/>
        <w:topLinePunct w:val="0"/>
        <w:autoSpaceDE/>
        <w:autoSpaceDN/>
        <w:bidi w:val="0"/>
        <w:adjustRightInd/>
        <w:snapToGrid/>
        <w:spacing w:line="600" w:lineRule="exact"/>
        <w:ind w:left="0" w:firstLine="643" w:firstLineChars="200"/>
        <w:jc w:val="both"/>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一、收入支出决算总体情况说明</w:t>
      </w:r>
    </w:p>
    <w:p>
      <w:pPr>
        <w:pageBreakBefore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color w:val="FF0000"/>
          <w:sz w:val="32"/>
          <w:szCs w:val="32"/>
          <w:lang w:val="zh-CN"/>
        </w:rPr>
      </w:pPr>
      <w:r>
        <w:rPr>
          <w:rFonts w:hint="eastAsia" w:ascii="仿宋_GB2312" w:hAnsi="仿宋_GB2312" w:eastAsia="仿宋_GB2312" w:cs="仿宋_GB2312"/>
          <w:color w:val="auto"/>
          <w:sz w:val="32"/>
          <w:szCs w:val="32"/>
          <w:lang w:val="zh-CN"/>
        </w:rPr>
        <w:t>2022年度</w:t>
      </w:r>
      <w:r>
        <w:rPr>
          <w:rFonts w:hint="eastAsia" w:ascii="仿宋_GB2312" w:hAnsi="仿宋_GB2312" w:eastAsia="仿宋_GB2312" w:cs="仿宋_GB2312"/>
          <w:color w:val="000000"/>
          <w:spacing w:val="0"/>
          <w:w w:val="100"/>
          <w:position w:val="0"/>
          <w:sz w:val="32"/>
          <w:szCs w:val="32"/>
          <w:lang w:eastAsia="zh-CN"/>
        </w:rPr>
        <w:t>本部门（本单位）</w:t>
      </w:r>
      <w:r>
        <w:rPr>
          <w:rFonts w:hint="eastAsia" w:ascii="仿宋_GB2312" w:hAnsi="仿宋_GB2312" w:eastAsia="仿宋_GB2312" w:cs="仿宋_GB2312"/>
          <w:color w:val="000000"/>
          <w:spacing w:val="0"/>
          <w:w w:val="100"/>
          <w:position w:val="0"/>
          <w:sz w:val="32"/>
          <w:szCs w:val="32"/>
          <w:lang w:val="en-US" w:eastAsia="zh-CN"/>
        </w:rPr>
        <w:t>收入总计24,124,066.98元，支出总计24,124,066.98元，与2021年决算数相比，收入增加17831081.85元，增长283%，支出增加17831081.85元，增长283%。主要原因是2022年疫情防控资金</w:t>
      </w:r>
      <w:r>
        <w:rPr>
          <w:rFonts w:hint="eastAsia" w:ascii="仿宋_GB2312" w:hAnsi="仿宋_GB2312" w:eastAsia="仿宋_GB2312" w:cs="仿宋_GB2312"/>
          <w:color w:val="000000"/>
          <w:spacing w:val="0"/>
          <w:w w:val="100"/>
          <w:position w:val="0"/>
          <w:sz w:val="32"/>
          <w:szCs w:val="32"/>
          <w:lang w:eastAsia="zh-CN"/>
        </w:rPr>
        <w:t>。</w:t>
      </w:r>
    </w:p>
    <w:p>
      <w:pPr>
        <w:pageBreakBefore w:val="0"/>
        <w:kinsoku/>
        <w:wordWrap/>
        <w:overflowPunct/>
        <w:topLinePunct w:val="0"/>
        <w:autoSpaceDE/>
        <w:autoSpaceDN/>
        <w:bidi w:val="0"/>
        <w:adjustRightInd/>
        <w:snapToGrid/>
        <w:spacing w:line="600" w:lineRule="exact"/>
        <w:ind w:left="0" w:firstLine="643" w:firstLineChars="200"/>
        <w:jc w:val="both"/>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二、收入决算情况说明</w:t>
      </w:r>
    </w:p>
    <w:p>
      <w:pPr>
        <w:pageBreakBefore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2022年度收入合计</w:t>
      </w:r>
      <w:r>
        <w:rPr>
          <w:rFonts w:hint="eastAsia" w:ascii="仿宋_GB2312" w:hAnsi="仿宋_GB2312" w:eastAsia="仿宋_GB2312" w:cs="仿宋_GB2312"/>
          <w:color w:val="000000"/>
          <w:spacing w:val="0"/>
          <w:w w:val="100"/>
          <w:position w:val="0"/>
          <w:sz w:val="32"/>
          <w:szCs w:val="32"/>
          <w:lang w:val="en-US" w:eastAsia="zh-CN"/>
        </w:rPr>
        <w:t>2412.406</w:t>
      </w:r>
      <w:r>
        <w:rPr>
          <w:rFonts w:hint="eastAsia" w:ascii="仿宋_GB2312" w:hAnsi="仿宋_GB2312" w:eastAsia="仿宋_GB2312" w:cs="仿宋_GB2312"/>
          <w:color w:val="auto"/>
          <w:sz w:val="32"/>
          <w:szCs w:val="32"/>
          <w:lang w:val="zh-CN"/>
        </w:rPr>
        <w:t>万元,其中：财政拨款收入</w:t>
      </w:r>
      <w:r>
        <w:rPr>
          <w:rFonts w:hint="eastAsia" w:ascii="仿宋_GB2312" w:hAnsi="仿宋_GB2312" w:eastAsia="仿宋_GB2312" w:cs="仿宋_GB2312"/>
          <w:color w:val="000000"/>
          <w:spacing w:val="0"/>
          <w:w w:val="100"/>
          <w:position w:val="0"/>
          <w:sz w:val="32"/>
          <w:szCs w:val="32"/>
          <w:lang w:val="en-US" w:eastAsia="zh-CN"/>
        </w:rPr>
        <w:t>2412.406</w:t>
      </w:r>
      <w:r>
        <w:rPr>
          <w:rFonts w:hint="eastAsia" w:ascii="仿宋_GB2312" w:hAnsi="仿宋_GB2312" w:eastAsia="仿宋_GB2312" w:cs="仿宋_GB2312"/>
          <w:color w:val="auto"/>
          <w:sz w:val="32"/>
          <w:szCs w:val="32"/>
          <w:lang w:val="zh-CN"/>
        </w:rPr>
        <w:t>万元,占</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line="600" w:lineRule="exact"/>
        <w:ind w:left="0" w:firstLine="643" w:firstLineChars="200"/>
        <w:jc w:val="both"/>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三、支出决算情况说明</w:t>
      </w:r>
    </w:p>
    <w:p>
      <w:pPr>
        <w:pageBreakBefore w:val="0"/>
        <w:kinsoku/>
        <w:wordWrap/>
        <w:overflowPunct/>
        <w:topLinePunct w:val="0"/>
        <w:autoSpaceDE/>
        <w:autoSpaceDN/>
        <w:bidi w:val="0"/>
        <w:adjustRightInd/>
        <w:snapToGrid/>
        <w:spacing w:line="600" w:lineRule="exact"/>
        <w:ind w:left="0" w:firstLine="640" w:firstLineChars="200"/>
        <w:jc w:val="both"/>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zh-CN"/>
        </w:rPr>
        <w:t>2022年度支出合计</w:t>
      </w:r>
      <w:r>
        <w:rPr>
          <w:rFonts w:hint="eastAsia" w:ascii="仿宋_GB2312" w:hAnsi="仿宋_GB2312" w:eastAsia="仿宋_GB2312" w:cs="仿宋_GB2312"/>
          <w:color w:val="000000"/>
          <w:spacing w:val="0"/>
          <w:w w:val="100"/>
          <w:position w:val="0"/>
          <w:sz w:val="32"/>
          <w:szCs w:val="32"/>
          <w:lang w:val="en-US" w:eastAsia="zh-CN"/>
        </w:rPr>
        <w:t>2412.406</w:t>
      </w:r>
      <w:r>
        <w:rPr>
          <w:rFonts w:hint="eastAsia" w:ascii="仿宋_GB2312" w:hAnsi="仿宋_GB2312" w:eastAsia="仿宋_GB2312" w:cs="仿宋_GB2312"/>
          <w:color w:val="auto"/>
          <w:sz w:val="32"/>
          <w:szCs w:val="32"/>
          <w:lang w:val="zh-CN"/>
        </w:rPr>
        <w:t>万元,其中：基本支出</w:t>
      </w:r>
      <w:r>
        <w:rPr>
          <w:rFonts w:hint="eastAsia" w:ascii="仿宋_GB2312" w:hAnsi="仿宋_GB2312" w:eastAsia="仿宋_GB2312" w:cs="仿宋_GB2312"/>
          <w:color w:val="000000"/>
          <w:spacing w:val="0"/>
          <w:w w:val="100"/>
          <w:position w:val="0"/>
          <w:sz w:val="32"/>
          <w:szCs w:val="32"/>
          <w:lang w:val="en-US" w:eastAsia="zh-CN"/>
        </w:rPr>
        <w:t>2408.406</w:t>
      </w:r>
      <w:r>
        <w:rPr>
          <w:rFonts w:hint="eastAsia" w:ascii="仿宋_GB2312" w:hAnsi="仿宋_GB2312" w:eastAsia="仿宋_GB2312" w:cs="仿宋_GB2312"/>
          <w:color w:val="auto"/>
          <w:sz w:val="32"/>
          <w:szCs w:val="32"/>
          <w:lang w:val="zh-CN"/>
        </w:rPr>
        <w:t>万元,占</w:t>
      </w:r>
      <w:r>
        <w:rPr>
          <w:rFonts w:hint="eastAsia" w:ascii="仿宋_GB2312" w:hAnsi="仿宋_GB2312" w:eastAsia="仿宋_GB2312" w:cs="仿宋_GB2312"/>
          <w:color w:val="auto"/>
          <w:sz w:val="32"/>
          <w:szCs w:val="32"/>
          <w:lang w:val="en-US" w:eastAsia="zh-CN"/>
        </w:rPr>
        <w:t>99.83</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auto"/>
          <w:sz w:val="32"/>
          <w:szCs w:val="32"/>
          <w:lang w:val="en-US" w:eastAsia="zh-CN"/>
        </w:rPr>
        <w:t>项目支出4万元，占0.17%。</w:t>
      </w:r>
    </w:p>
    <w:p>
      <w:pPr>
        <w:pageBreakBefore w:val="0"/>
        <w:kinsoku/>
        <w:wordWrap/>
        <w:overflowPunct/>
        <w:topLinePunct w:val="0"/>
        <w:autoSpaceDE/>
        <w:autoSpaceDN/>
        <w:bidi w:val="0"/>
        <w:adjustRightInd/>
        <w:snapToGrid/>
        <w:spacing w:line="600" w:lineRule="exact"/>
        <w:ind w:left="0" w:firstLine="643" w:firstLineChars="200"/>
        <w:jc w:val="both"/>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四、财政拨款收入支出决算总体情况说明</w:t>
      </w:r>
    </w:p>
    <w:p>
      <w:pPr>
        <w:pageBreakBefore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color w:val="FF0000"/>
          <w:sz w:val="32"/>
          <w:szCs w:val="32"/>
          <w:lang w:val="zh-CN"/>
        </w:rPr>
      </w:pPr>
      <w:r>
        <w:rPr>
          <w:rFonts w:hint="eastAsia" w:ascii="仿宋_GB2312" w:hAnsi="仿宋_GB2312" w:eastAsia="仿宋_GB2312" w:cs="仿宋_GB2312"/>
          <w:color w:val="000000"/>
          <w:spacing w:val="0"/>
          <w:w w:val="100"/>
          <w:position w:val="0"/>
          <w:sz w:val="32"/>
          <w:szCs w:val="32"/>
        </w:rPr>
        <w:t>本部门</w:t>
      </w:r>
      <w:r>
        <w:rPr>
          <w:rFonts w:hint="eastAsia" w:ascii="仿宋_GB2312" w:hAnsi="仿宋_GB2312" w:eastAsia="仿宋_GB2312" w:cs="仿宋_GB2312"/>
          <w:color w:val="000000"/>
          <w:spacing w:val="0"/>
          <w:w w:val="100"/>
          <w:position w:val="0"/>
          <w:sz w:val="32"/>
          <w:szCs w:val="32"/>
          <w:lang w:eastAsia="zh-CN"/>
        </w:rPr>
        <w:t>202</w:t>
      </w:r>
      <w:r>
        <w:rPr>
          <w:rFonts w:hint="eastAsia" w:ascii="仿宋_GB2312" w:hAnsi="仿宋_GB2312" w:eastAsia="仿宋_GB2312" w:cs="仿宋_GB2312"/>
          <w:color w:val="000000"/>
          <w:spacing w:val="0"/>
          <w:w w:val="100"/>
          <w:position w:val="0"/>
          <w:sz w:val="32"/>
          <w:szCs w:val="32"/>
          <w:lang w:val="en-US" w:eastAsia="zh-CN"/>
        </w:rPr>
        <w:t>2</w:t>
      </w:r>
      <w:r>
        <w:rPr>
          <w:rFonts w:hint="eastAsia" w:ascii="仿宋_GB2312" w:hAnsi="仿宋_GB2312" w:eastAsia="仿宋_GB2312" w:cs="仿宋_GB2312"/>
          <w:color w:val="000000"/>
          <w:spacing w:val="0"/>
          <w:w w:val="100"/>
          <w:position w:val="0"/>
          <w:sz w:val="32"/>
          <w:szCs w:val="32"/>
        </w:rPr>
        <w:t>年度财政拨款收入</w:t>
      </w:r>
      <w:r>
        <w:rPr>
          <w:rFonts w:hint="eastAsia" w:ascii="仿宋_GB2312" w:hAnsi="仿宋_GB2312" w:eastAsia="仿宋_GB2312" w:cs="仿宋_GB2312"/>
          <w:color w:val="000000"/>
          <w:spacing w:val="0"/>
          <w:w w:val="100"/>
          <w:position w:val="0"/>
          <w:sz w:val="32"/>
          <w:szCs w:val="32"/>
          <w:lang w:val="en-US" w:eastAsia="zh-CN"/>
        </w:rPr>
        <w:t>24,124,066.98</w:t>
      </w:r>
      <w:r>
        <w:rPr>
          <w:rFonts w:hint="eastAsia" w:ascii="仿宋_GB2312" w:hAnsi="仿宋_GB2312" w:eastAsia="仿宋_GB2312" w:cs="仿宋_GB2312"/>
          <w:color w:val="000000"/>
          <w:spacing w:val="0"/>
          <w:w w:val="100"/>
          <w:position w:val="0"/>
          <w:sz w:val="32"/>
          <w:szCs w:val="32"/>
        </w:rPr>
        <w:t>元，较上年决算数增加</w:t>
      </w:r>
      <w:r>
        <w:rPr>
          <w:rFonts w:hint="eastAsia" w:ascii="仿宋_GB2312" w:hAnsi="仿宋_GB2312" w:eastAsia="仿宋_GB2312" w:cs="仿宋_GB2312"/>
          <w:color w:val="000000"/>
          <w:spacing w:val="0"/>
          <w:w w:val="100"/>
          <w:position w:val="0"/>
          <w:sz w:val="32"/>
          <w:szCs w:val="32"/>
          <w:lang w:val="en-US" w:eastAsia="zh-CN"/>
        </w:rPr>
        <w:t>17831081.85</w:t>
      </w:r>
      <w:r>
        <w:rPr>
          <w:rFonts w:hint="eastAsia" w:ascii="仿宋_GB2312" w:hAnsi="仿宋_GB2312" w:eastAsia="仿宋_GB2312" w:cs="仿宋_GB2312"/>
          <w:color w:val="000000"/>
          <w:spacing w:val="0"/>
          <w:w w:val="100"/>
          <w:position w:val="0"/>
          <w:sz w:val="32"/>
          <w:szCs w:val="32"/>
        </w:rPr>
        <w:t>元，增长</w:t>
      </w:r>
      <w:r>
        <w:rPr>
          <w:rFonts w:hint="eastAsia" w:ascii="仿宋_GB2312" w:hAnsi="仿宋_GB2312" w:eastAsia="仿宋_GB2312" w:cs="仿宋_GB2312"/>
          <w:color w:val="000000"/>
          <w:spacing w:val="0"/>
          <w:w w:val="100"/>
          <w:position w:val="0"/>
          <w:sz w:val="32"/>
          <w:szCs w:val="32"/>
          <w:lang w:val="en-US" w:eastAsia="zh-CN"/>
        </w:rPr>
        <w:t>283</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val="en-US" w:eastAsia="zh-CN"/>
        </w:rPr>
        <w:t>2022年拨入全县疫情防控物资采购资金</w:t>
      </w:r>
      <w:r>
        <w:rPr>
          <w:rFonts w:hint="eastAsia" w:ascii="仿宋_GB2312" w:hAnsi="仿宋_GB2312" w:eastAsia="仿宋_GB2312" w:cs="仿宋_GB2312"/>
          <w:color w:val="000000"/>
          <w:spacing w:val="0"/>
          <w:w w:val="100"/>
          <w:position w:val="0"/>
          <w:sz w:val="32"/>
          <w:szCs w:val="32"/>
          <w:lang w:val="zh-CN"/>
        </w:rPr>
        <w:t>。</w:t>
      </w:r>
      <w:r>
        <w:rPr>
          <w:rFonts w:hint="eastAsia" w:ascii="仿宋_GB2312" w:hAnsi="仿宋_GB2312" w:eastAsia="仿宋_GB2312" w:cs="仿宋_GB2312"/>
          <w:color w:val="000000"/>
          <w:spacing w:val="0"/>
          <w:w w:val="100"/>
          <w:position w:val="0"/>
          <w:sz w:val="32"/>
          <w:szCs w:val="32"/>
        </w:rPr>
        <w:t>本部门</w:t>
      </w:r>
      <w:r>
        <w:rPr>
          <w:rFonts w:hint="eastAsia" w:ascii="仿宋_GB2312" w:hAnsi="仿宋_GB2312" w:eastAsia="仿宋_GB2312" w:cs="仿宋_GB2312"/>
          <w:color w:val="000000"/>
          <w:spacing w:val="0"/>
          <w:w w:val="100"/>
          <w:position w:val="0"/>
          <w:sz w:val="32"/>
          <w:szCs w:val="32"/>
          <w:lang w:eastAsia="zh-CN"/>
        </w:rPr>
        <w:t>202</w:t>
      </w:r>
      <w:r>
        <w:rPr>
          <w:rFonts w:hint="eastAsia" w:ascii="仿宋_GB2312" w:hAnsi="仿宋_GB2312" w:eastAsia="仿宋_GB2312" w:cs="仿宋_GB2312"/>
          <w:color w:val="000000"/>
          <w:spacing w:val="0"/>
          <w:w w:val="100"/>
          <w:position w:val="0"/>
          <w:sz w:val="32"/>
          <w:szCs w:val="32"/>
          <w:lang w:val="en-US" w:eastAsia="zh-CN"/>
        </w:rPr>
        <w:t>2</w:t>
      </w:r>
      <w:r>
        <w:rPr>
          <w:rFonts w:hint="eastAsia" w:ascii="仿宋_GB2312" w:hAnsi="仿宋_GB2312" w:eastAsia="仿宋_GB2312" w:cs="仿宋_GB2312"/>
          <w:color w:val="000000"/>
          <w:spacing w:val="0"/>
          <w:w w:val="100"/>
          <w:position w:val="0"/>
          <w:sz w:val="32"/>
          <w:szCs w:val="32"/>
        </w:rPr>
        <w:t>年度财政拨款支出</w:t>
      </w:r>
      <w:r>
        <w:rPr>
          <w:rFonts w:hint="eastAsia" w:ascii="仿宋_GB2312" w:hAnsi="仿宋_GB2312" w:eastAsia="仿宋_GB2312" w:cs="仿宋_GB2312"/>
          <w:color w:val="000000"/>
          <w:spacing w:val="0"/>
          <w:w w:val="100"/>
          <w:position w:val="0"/>
          <w:sz w:val="32"/>
          <w:szCs w:val="32"/>
          <w:lang w:val="en-US" w:eastAsia="zh-CN"/>
        </w:rPr>
        <w:t>24,124,066.98</w:t>
      </w:r>
      <w:r>
        <w:rPr>
          <w:rFonts w:hint="eastAsia" w:ascii="仿宋_GB2312" w:hAnsi="仿宋_GB2312" w:eastAsia="仿宋_GB2312" w:cs="仿宋_GB2312"/>
          <w:color w:val="000000"/>
          <w:spacing w:val="0"/>
          <w:w w:val="100"/>
          <w:position w:val="0"/>
          <w:sz w:val="32"/>
          <w:szCs w:val="32"/>
        </w:rPr>
        <w:t>元，较上年决算数增加</w:t>
      </w:r>
      <w:r>
        <w:rPr>
          <w:rFonts w:hint="eastAsia" w:ascii="仿宋_GB2312" w:hAnsi="仿宋_GB2312" w:eastAsia="仿宋_GB2312" w:cs="仿宋_GB2312"/>
          <w:color w:val="000000"/>
          <w:spacing w:val="0"/>
          <w:w w:val="100"/>
          <w:position w:val="0"/>
          <w:sz w:val="32"/>
          <w:szCs w:val="32"/>
          <w:lang w:val="en-US" w:eastAsia="zh-CN"/>
        </w:rPr>
        <w:t>17831081.85</w:t>
      </w:r>
      <w:r>
        <w:rPr>
          <w:rFonts w:hint="eastAsia" w:ascii="仿宋_GB2312" w:hAnsi="仿宋_GB2312" w:eastAsia="仿宋_GB2312" w:cs="仿宋_GB2312"/>
          <w:color w:val="000000"/>
          <w:spacing w:val="0"/>
          <w:w w:val="100"/>
          <w:position w:val="0"/>
          <w:sz w:val="32"/>
          <w:szCs w:val="32"/>
        </w:rPr>
        <w:t>元，增长</w:t>
      </w:r>
      <w:r>
        <w:rPr>
          <w:rFonts w:hint="eastAsia" w:ascii="仿宋_GB2312" w:hAnsi="仿宋_GB2312" w:eastAsia="仿宋_GB2312" w:cs="仿宋_GB2312"/>
          <w:color w:val="000000"/>
          <w:spacing w:val="0"/>
          <w:w w:val="100"/>
          <w:position w:val="0"/>
          <w:sz w:val="32"/>
          <w:szCs w:val="32"/>
          <w:lang w:val="en-US" w:eastAsia="zh-CN"/>
        </w:rPr>
        <w:t>283</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val="en-US" w:eastAsia="zh-CN"/>
        </w:rPr>
        <w:t>2022年拨入全县疫情防控物资采购资金</w:t>
      </w:r>
      <w:r>
        <w:rPr>
          <w:rFonts w:hint="eastAsia" w:ascii="仿宋_GB2312" w:hAnsi="仿宋_GB2312" w:eastAsia="仿宋_GB2312" w:cs="仿宋_GB2312"/>
          <w:color w:val="000000"/>
          <w:spacing w:val="0"/>
          <w:w w:val="100"/>
          <w:position w:val="0"/>
          <w:sz w:val="32"/>
          <w:szCs w:val="32"/>
        </w:rPr>
        <w:t>。</w:t>
      </w:r>
    </w:p>
    <w:p>
      <w:pPr>
        <w:pageBreakBefore w:val="0"/>
        <w:kinsoku/>
        <w:wordWrap/>
        <w:overflowPunct/>
        <w:topLinePunct w:val="0"/>
        <w:autoSpaceDE/>
        <w:autoSpaceDN/>
        <w:bidi w:val="0"/>
        <w:adjustRightInd/>
        <w:snapToGrid/>
        <w:spacing w:line="600" w:lineRule="exact"/>
        <w:ind w:left="0" w:firstLine="643" w:firstLineChars="200"/>
        <w:jc w:val="both"/>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五、一般公共预算财政拨款支出决算情况说明</w:t>
      </w:r>
    </w:p>
    <w:p>
      <w:pPr>
        <w:pageBreakBefore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2022年度一般公共预算财政拨款支出</w:t>
      </w:r>
      <w:r>
        <w:rPr>
          <w:rFonts w:hint="eastAsia" w:ascii="仿宋_GB2312" w:hAnsi="仿宋_GB2312" w:eastAsia="仿宋_GB2312" w:cs="仿宋_GB2312"/>
          <w:color w:val="000000"/>
          <w:spacing w:val="0"/>
          <w:w w:val="100"/>
          <w:position w:val="0"/>
          <w:sz w:val="32"/>
          <w:szCs w:val="32"/>
          <w:lang w:val="en-US" w:eastAsia="zh-CN"/>
        </w:rPr>
        <w:t>2412.406</w:t>
      </w:r>
      <w:r>
        <w:rPr>
          <w:rFonts w:hint="eastAsia" w:ascii="仿宋_GB2312" w:hAnsi="仿宋_GB2312" w:eastAsia="仿宋_GB2312" w:cs="仿宋_GB2312"/>
          <w:color w:val="auto"/>
          <w:sz w:val="32"/>
          <w:szCs w:val="32"/>
          <w:lang w:val="zh-CN"/>
        </w:rPr>
        <w:t>万元,较上年决算数</w:t>
      </w:r>
      <w:r>
        <w:rPr>
          <w:rFonts w:hint="eastAsia" w:ascii="仿宋_GB2312" w:hAnsi="仿宋_GB2312" w:eastAsia="仿宋_GB2312" w:cs="仿宋_GB2312"/>
          <w:color w:val="auto"/>
          <w:sz w:val="32"/>
          <w:szCs w:val="32"/>
          <w:lang w:val="en-US" w:eastAsia="zh-CN"/>
        </w:rPr>
        <w:t>增加</w:t>
      </w:r>
      <w:r>
        <w:rPr>
          <w:rFonts w:hint="eastAsia" w:ascii="仿宋_GB2312" w:hAnsi="仿宋_GB2312" w:eastAsia="仿宋_GB2312" w:cs="仿宋_GB2312"/>
          <w:color w:val="000000"/>
          <w:spacing w:val="0"/>
          <w:w w:val="100"/>
          <w:position w:val="0"/>
          <w:sz w:val="32"/>
          <w:szCs w:val="32"/>
          <w:lang w:val="en-US" w:eastAsia="zh-CN"/>
        </w:rPr>
        <w:t>1783.1081</w:t>
      </w:r>
      <w:r>
        <w:rPr>
          <w:rFonts w:hint="eastAsia" w:ascii="仿宋_GB2312" w:hAnsi="仿宋_GB2312" w:eastAsia="仿宋_GB2312" w:cs="仿宋_GB2312"/>
          <w:color w:val="auto"/>
          <w:sz w:val="32"/>
          <w:szCs w:val="32"/>
          <w:lang w:val="zh-CN"/>
        </w:rPr>
        <w:t>万元,</w:t>
      </w:r>
      <w:r>
        <w:rPr>
          <w:rFonts w:hint="eastAsia" w:ascii="仿宋_GB2312" w:hAnsi="仿宋_GB2312" w:eastAsia="仿宋_GB2312" w:cs="仿宋_GB2312"/>
          <w:color w:val="auto"/>
          <w:sz w:val="32"/>
          <w:szCs w:val="32"/>
          <w:lang w:val="en-US" w:eastAsia="zh-CN"/>
        </w:rPr>
        <w:t>增长283</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000000"/>
          <w:spacing w:val="0"/>
          <w:w w:val="100"/>
          <w:position w:val="0"/>
          <w:sz w:val="32"/>
          <w:szCs w:val="32"/>
          <w:lang w:val="zh-CN" w:eastAsia="zh-CN"/>
        </w:rPr>
        <w:t>主要原因是</w:t>
      </w:r>
      <w:r>
        <w:rPr>
          <w:rFonts w:hint="eastAsia" w:ascii="仿宋_GB2312" w:hAnsi="仿宋_GB2312" w:eastAsia="仿宋_GB2312" w:cs="仿宋_GB2312"/>
          <w:color w:val="000000"/>
          <w:spacing w:val="0"/>
          <w:w w:val="100"/>
          <w:position w:val="0"/>
          <w:sz w:val="32"/>
          <w:szCs w:val="32"/>
          <w:lang w:val="en-US" w:eastAsia="zh-CN"/>
        </w:rPr>
        <w:t>2022年拨入全县疫情防控物资采购资金。</w:t>
      </w:r>
    </w:p>
    <w:p>
      <w:pPr>
        <w:pageBreakBefore w:val="0"/>
        <w:kinsoku/>
        <w:wordWrap/>
        <w:overflowPunct/>
        <w:topLinePunct w:val="0"/>
        <w:autoSpaceDE/>
        <w:autoSpaceDN/>
        <w:bidi w:val="0"/>
        <w:adjustRightInd/>
        <w:snapToGrid/>
        <w:spacing w:line="600" w:lineRule="exact"/>
        <w:ind w:left="0" w:firstLine="643" w:firstLineChars="200"/>
        <w:jc w:val="both"/>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1.一般公共服务支出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6.6239</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5.1028</w:t>
      </w:r>
      <w:r>
        <w:rPr>
          <w:rFonts w:hint="eastAsia" w:ascii="仿宋_GB2312" w:hAnsi="仿宋_GB2312" w:eastAsia="仿宋_GB2312" w:cs="仿宋_GB2312"/>
          <w:color w:val="auto"/>
          <w:sz w:val="32"/>
          <w:szCs w:val="32"/>
          <w:lang w:val="zh-CN"/>
        </w:rPr>
        <w:t>万元,完成年初预算的</w:t>
      </w:r>
      <w:r>
        <w:rPr>
          <w:rFonts w:hint="eastAsia" w:ascii="仿宋_GB2312" w:hAnsi="仿宋_GB2312" w:eastAsia="仿宋_GB2312" w:cs="仿宋_GB2312"/>
          <w:color w:val="auto"/>
          <w:sz w:val="32"/>
          <w:szCs w:val="32"/>
          <w:lang w:val="en-US" w:eastAsia="zh-CN"/>
        </w:rPr>
        <w:t>77</w:t>
      </w:r>
      <w:r>
        <w:rPr>
          <w:rFonts w:hint="eastAsia" w:ascii="仿宋_GB2312" w:hAnsi="仿宋_GB2312" w:eastAsia="仿宋_GB2312" w:cs="仿宋_GB2312"/>
          <w:color w:val="auto"/>
          <w:sz w:val="32"/>
          <w:szCs w:val="32"/>
          <w:lang w:val="zh-CN"/>
        </w:rPr>
        <w:t>%,预算数大于决算数的主要。</w:t>
      </w:r>
    </w:p>
    <w:p>
      <w:pPr>
        <w:pageBreakBefore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b/>
          <w:color w:val="auto"/>
          <w:sz w:val="32"/>
          <w:szCs w:val="32"/>
          <w:lang w:val="zh-CN"/>
        </w:rPr>
        <w:t>社会保障和就业支出</w:t>
      </w:r>
      <w:r>
        <w:rPr>
          <w:rFonts w:hint="eastAsia" w:ascii="仿宋_GB2312" w:hAnsi="仿宋_GB2312" w:eastAsia="仿宋_GB2312" w:cs="仿宋_GB2312"/>
          <w:color w:val="auto"/>
          <w:sz w:val="32"/>
          <w:szCs w:val="32"/>
          <w:lang w:val="zh-CN"/>
        </w:rPr>
        <w:t>年初预算数为</w:t>
      </w:r>
      <w:r>
        <w:rPr>
          <w:rFonts w:hint="eastAsia" w:ascii="仿宋_GB2312" w:hAnsi="黑体" w:eastAsia="仿宋_GB2312"/>
          <w:sz w:val="32"/>
          <w:szCs w:val="32"/>
        </w:rPr>
        <w:t>53</w:t>
      </w:r>
      <w:r>
        <w:rPr>
          <w:rFonts w:hint="eastAsia" w:ascii="仿宋_GB2312" w:hAnsi="黑体" w:eastAsia="仿宋_GB2312"/>
          <w:sz w:val="32"/>
          <w:szCs w:val="32"/>
          <w:lang w:val="en-US" w:eastAsia="zh-CN"/>
        </w:rPr>
        <w:t>.</w:t>
      </w:r>
      <w:r>
        <w:rPr>
          <w:rFonts w:hint="eastAsia" w:ascii="仿宋_GB2312" w:hAnsi="黑体" w:eastAsia="仿宋_GB2312"/>
          <w:sz w:val="32"/>
          <w:szCs w:val="32"/>
        </w:rPr>
        <w:t>6543</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56.1896</w:t>
      </w:r>
      <w:r>
        <w:rPr>
          <w:rFonts w:hint="eastAsia" w:ascii="仿宋_GB2312" w:hAnsi="仿宋_GB2312" w:eastAsia="仿宋_GB2312" w:cs="仿宋_GB2312"/>
          <w:color w:val="auto"/>
          <w:sz w:val="32"/>
          <w:szCs w:val="32"/>
          <w:lang w:val="zh-CN"/>
        </w:rPr>
        <w:t>万元,完成年初预算的</w:t>
      </w:r>
      <w:r>
        <w:rPr>
          <w:rFonts w:hint="eastAsia" w:ascii="仿宋_GB2312" w:hAnsi="仿宋_GB2312" w:eastAsia="仿宋_GB2312" w:cs="仿宋_GB2312"/>
          <w:color w:val="auto"/>
          <w:sz w:val="32"/>
          <w:szCs w:val="32"/>
          <w:lang w:val="en-US" w:eastAsia="zh-CN"/>
        </w:rPr>
        <w:t>104</w:t>
      </w:r>
      <w:r>
        <w:rPr>
          <w:rFonts w:hint="eastAsia" w:ascii="仿宋_GB2312" w:hAnsi="仿宋_GB2312" w:eastAsia="仿宋_GB2312" w:cs="仿宋_GB2312"/>
          <w:color w:val="auto"/>
          <w:sz w:val="32"/>
          <w:szCs w:val="32"/>
          <w:lang w:val="zh-CN"/>
        </w:rPr>
        <w:t>%,预算数</w:t>
      </w:r>
      <w:r>
        <w:rPr>
          <w:rFonts w:hint="eastAsia" w:ascii="仿宋_GB2312" w:hAnsi="仿宋_GB2312" w:eastAsia="仿宋_GB2312" w:cs="仿宋_GB2312"/>
          <w:color w:val="auto"/>
          <w:sz w:val="32"/>
          <w:szCs w:val="32"/>
          <w:lang w:val="en-US" w:eastAsia="zh-CN"/>
        </w:rPr>
        <w:t>小于</w:t>
      </w:r>
      <w:r>
        <w:rPr>
          <w:rFonts w:hint="eastAsia" w:ascii="仿宋_GB2312" w:hAnsi="仿宋_GB2312" w:eastAsia="仿宋_GB2312" w:cs="仿宋_GB2312"/>
          <w:color w:val="auto"/>
          <w:sz w:val="32"/>
          <w:szCs w:val="32"/>
          <w:lang w:val="zh-CN"/>
        </w:rPr>
        <w:t>决算数的主要原因是</w:t>
      </w:r>
      <w:r>
        <w:rPr>
          <w:rFonts w:hint="eastAsia" w:ascii="仿宋_GB2312" w:hAnsi="仿宋_GB2312" w:eastAsia="仿宋_GB2312" w:cs="仿宋_GB2312"/>
          <w:color w:val="auto"/>
          <w:sz w:val="32"/>
          <w:szCs w:val="32"/>
          <w:lang w:val="en-US" w:eastAsia="zh-CN"/>
        </w:rPr>
        <w:t>年末基本养老费用结转</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line="600" w:lineRule="exact"/>
        <w:ind w:left="0" w:firstLine="643" w:firstLineChars="200"/>
        <w:jc w:val="both"/>
        <w:textAlignment w:val="auto"/>
        <w:rPr>
          <w:rFonts w:hint="eastAsia" w:ascii="仿宋_GB2312" w:hAnsi="仿宋_GB2312" w:eastAsia="仿宋_GB2312" w:cs="仿宋_GB2312"/>
          <w:color w:val="auto"/>
          <w:sz w:val="32"/>
          <w:szCs w:val="32"/>
          <w:lang w:val="zh-CN" w:eastAsia="zh-CN"/>
        </w:rPr>
      </w:pPr>
      <w:r>
        <w:rPr>
          <w:rFonts w:hint="eastAsia" w:ascii="仿宋_GB2312" w:hAnsi="仿宋_GB2312" w:eastAsia="仿宋_GB2312" w:cs="仿宋_GB2312"/>
          <w:b/>
          <w:color w:val="auto"/>
          <w:sz w:val="32"/>
          <w:szCs w:val="32"/>
          <w:lang w:val="en-US" w:eastAsia="zh-CN"/>
        </w:rPr>
        <w:t>3</w:t>
      </w:r>
      <w:r>
        <w:rPr>
          <w:rFonts w:hint="eastAsia" w:ascii="仿宋_GB2312" w:hAnsi="仿宋_GB2312" w:eastAsia="仿宋_GB2312" w:cs="仿宋_GB2312"/>
          <w:b/>
          <w:color w:val="auto"/>
          <w:sz w:val="32"/>
          <w:szCs w:val="32"/>
          <w:lang w:val="zh-CN"/>
        </w:rPr>
        <w:t>.卫生健康支出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22.1219</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20.6801</w:t>
      </w:r>
      <w:r>
        <w:rPr>
          <w:rFonts w:hint="eastAsia" w:ascii="仿宋_GB2312" w:hAnsi="仿宋_GB2312" w:eastAsia="仿宋_GB2312" w:cs="仿宋_GB2312"/>
          <w:color w:val="auto"/>
          <w:sz w:val="32"/>
          <w:szCs w:val="32"/>
          <w:lang w:val="zh-CN"/>
        </w:rPr>
        <w:t>万元,完成年初预算的</w:t>
      </w:r>
      <w:r>
        <w:rPr>
          <w:rFonts w:hint="eastAsia" w:ascii="仿宋_GB2312" w:hAnsi="仿宋_GB2312" w:eastAsia="仿宋_GB2312" w:cs="仿宋_GB2312"/>
          <w:color w:val="auto"/>
          <w:sz w:val="32"/>
          <w:szCs w:val="32"/>
          <w:lang w:val="en-US" w:eastAsia="zh-CN"/>
        </w:rPr>
        <w:t>93.4</w:t>
      </w:r>
      <w:r>
        <w:rPr>
          <w:rFonts w:hint="eastAsia" w:ascii="仿宋_GB2312" w:hAnsi="仿宋_GB2312" w:eastAsia="仿宋_GB2312" w:cs="仿宋_GB2312"/>
          <w:color w:val="auto"/>
          <w:sz w:val="32"/>
          <w:szCs w:val="32"/>
          <w:lang w:val="zh-CN"/>
        </w:rPr>
        <w:t>%,预算数大于</w:t>
      </w:r>
      <w:r>
        <w:rPr>
          <w:rFonts w:hint="eastAsia" w:ascii="仿宋_GB2312" w:hAnsi="仿宋_GB2312" w:eastAsia="仿宋_GB2312" w:cs="仿宋_GB2312"/>
          <w:color w:val="auto"/>
          <w:sz w:val="32"/>
          <w:szCs w:val="32"/>
          <w:lang w:val="zh-CN" w:eastAsia="zh-CN"/>
        </w:rPr>
        <w:t>决算数的主要原因是</w:t>
      </w:r>
      <w:r>
        <w:rPr>
          <w:rFonts w:hint="eastAsia" w:ascii="仿宋_GB2312" w:hAnsi="仿宋_GB2312" w:eastAsia="仿宋_GB2312" w:cs="仿宋_GB2312"/>
          <w:color w:val="auto"/>
          <w:sz w:val="32"/>
          <w:szCs w:val="32"/>
          <w:lang w:val="en-US" w:eastAsia="zh-CN"/>
        </w:rPr>
        <w:t>年末医疗保障配套资金结转</w:t>
      </w:r>
      <w:r>
        <w:rPr>
          <w:rFonts w:hint="eastAsia" w:ascii="仿宋_GB2312" w:hAnsi="仿宋_GB2312" w:eastAsia="仿宋_GB2312" w:cs="仿宋_GB2312"/>
          <w:color w:val="auto"/>
          <w:sz w:val="32"/>
          <w:szCs w:val="32"/>
          <w:lang w:val="zh-CN" w:eastAsia="zh-CN"/>
        </w:rPr>
        <w:t>。</w:t>
      </w:r>
    </w:p>
    <w:p>
      <w:pPr>
        <w:pageBreakBefore w:val="0"/>
        <w:kinsoku/>
        <w:wordWrap/>
        <w:overflowPunct/>
        <w:topLinePunct w:val="0"/>
        <w:autoSpaceDE/>
        <w:autoSpaceDN/>
        <w:bidi w:val="0"/>
        <w:adjustRightInd/>
        <w:snapToGrid/>
        <w:spacing w:line="600" w:lineRule="exact"/>
        <w:ind w:left="0" w:firstLine="643" w:firstLineChars="200"/>
        <w:jc w:val="both"/>
        <w:textAlignment w:val="auto"/>
        <w:rPr>
          <w:rFonts w:hint="eastAsia" w:ascii="仿宋_GB2312" w:hAnsi="仿宋_GB2312" w:eastAsia="仿宋_GB2312" w:cs="仿宋_GB2312"/>
          <w:b/>
          <w:color w:val="auto"/>
          <w:sz w:val="32"/>
          <w:szCs w:val="32"/>
          <w:lang w:val="zh-CN"/>
        </w:rPr>
      </w:pPr>
      <w:r>
        <w:rPr>
          <w:rFonts w:hint="eastAsia" w:ascii="仿宋_GB2312" w:hAnsi="仿宋_GB2312" w:eastAsia="仿宋_GB2312" w:cs="仿宋_GB2312"/>
          <w:b/>
          <w:color w:val="auto"/>
          <w:sz w:val="32"/>
          <w:szCs w:val="32"/>
          <w:lang w:val="en-US" w:eastAsia="zh-CN"/>
        </w:rPr>
        <w:t>4</w:t>
      </w:r>
      <w:r>
        <w:rPr>
          <w:rFonts w:hint="eastAsia" w:ascii="仿宋_GB2312" w:hAnsi="仿宋_GB2312" w:eastAsia="仿宋_GB2312" w:cs="仿宋_GB2312"/>
          <w:b/>
          <w:color w:val="auto"/>
          <w:sz w:val="32"/>
          <w:szCs w:val="32"/>
          <w:lang w:val="zh-CN"/>
        </w:rPr>
        <w:t>.节能环保支出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4.0007</w:t>
      </w:r>
      <w:r>
        <w:rPr>
          <w:rFonts w:hint="eastAsia" w:ascii="仿宋_GB2312" w:hAnsi="仿宋_GB2312" w:eastAsia="仿宋_GB2312" w:cs="仿宋_GB2312"/>
          <w:color w:val="auto"/>
          <w:sz w:val="32"/>
          <w:szCs w:val="32"/>
          <w:lang w:val="zh-CN"/>
        </w:rPr>
        <w:t>万元,完成年初预算的</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lang w:val="zh-CN"/>
        </w:rPr>
        <w:t>%,预算数大于</w:t>
      </w:r>
      <w:r>
        <w:rPr>
          <w:rFonts w:hint="eastAsia" w:ascii="仿宋_GB2312" w:hAnsi="仿宋_GB2312" w:eastAsia="仿宋_GB2312" w:cs="仿宋_GB2312"/>
          <w:color w:val="auto"/>
          <w:sz w:val="32"/>
          <w:szCs w:val="32"/>
          <w:lang w:val="zh-CN" w:eastAsia="zh-CN"/>
        </w:rPr>
        <w:t>决算数的主要原因是</w:t>
      </w:r>
      <w:r>
        <w:rPr>
          <w:rFonts w:hint="eastAsia" w:ascii="仿宋_GB2312" w:hAnsi="仿宋_GB2312" w:eastAsia="仿宋_GB2312" w:cs="仿宋_GB2312"/>
          <w:color w:val="auto"/>
          <w:sz w:val="32"/>
          <w:szCs w:val="32"/>
          <w:lang w:val="en-US" w:eastAsia="zh-CN"/>
        </w:rPr>
        <w:t>未预算驻村人员生活补助资金</w:t>
      </w:r>
      <w:r>
        <w:rPr>
          <w:rFonts w:hint="eastAsia" w:ascii="仿宋_GB2312" w:hAnsi="仿宋_GB2312" w:eastAsia="仿宋_GB2312" w:cs="仿宋_GB2312"/>
          <w:color w:val="auto"/>
          <w:sz w:val="32"/>
          <w:szCs w:val="32"/>
          <w:lang w:val="zh-CN" w:eastAsia="zh-CN"/>
        </w:rPr>
        <w:t>。</w:t>
      </w:r>
    </w:p>
    <w:p>
      <w:pPr>
        <w:pageBreakBefore w:val="0"/>
        <w:kinsoku/>
        <w:wordWrap/>
        <w:overflowPunct/>
        <w:topLinePunct w:val="0"/>
        <w:autoSpaceDE/>
        <w:autoSpaceDN/>
        <w:bidi w:val="0"/>
        <w:adjustRightInd/>
        <w:snapToGrid/>
        <w:spacing w:line="600" w:lineRule="exact"/>
        <w:ind w:left="0" w:firstLine="643" w:firstLineChars="200"/>
        <w:jc w:val="both"/>
        <w:textAlignment w:val="auto"/>
        <w:rPr>
          <w:rFonts w:hint="eastAsia" w:ascii="仿宋_GB2312" w:hAnsi="仿宋_GB2312" w:eastAsia="仿宋_GB2312" w:cs="仿宋_GB2312"/>
          <w:b/>
          <w:color w:val="auto"/>
          <w:sz w:val="32"/>
          <w:szCs w:val="32"/>
          <w:lang w:val="zh-CN"/>
        </w:rPr>
      </w:pPr>
      <w:r>
        <w:rPr>
          <w:rFonts w:hint="eastAsia" w:ascii="仿宋_GB2312" w:hAnsi="仿宋_GB2312" w:eastAsia="仿宋_GB2312" w:cs="仿宋_GB2312"/>
          <w:b/>
          <w:color w:val="auto"/>
          <w:sz w:val="32"/>
          <w:szCs w:val="32"/>
          <w:lang w:val="en-US" w:eastAsia="zh-CN"/>
        </w:rPr>
        <w:t>5.农林水支出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11</w:t>
      </w:r>
      <w:r>
        <w:rPr>
          <w:rFonts w:hint="eastAsia" w:ascii="仿宋_GB2312" w:hAnsi="仿宋_GB2312" w:eastAsia="仿宋_GB2312" w:cs="仿宋_GB2312"/>
          <w:color w:val="auto"/>
          <w:sz w:val="32"/>
          <w:szCs w:val="32"/>
          <w:lang w:val="zh-CN"/>
        </w:rPr>
        <w:t>万元,完成年初预算的</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lang w:val="zh-CN"/>
        </w:rPr>
        <w:t>%,预算数大于</w:t>
      </w:r>
      <w:r>
        <w:rPr>
          <w:rFonts w:hint="eastAsia" w:ascii="仿宋_GB2312" w:hAnsi="仿宋_GB2312" w:eastAsia="仿宋_GB2312" w:cs="仿宋_GB2312"/>
          <w:color w:val="auto"/>
          <w:sz w:val="32"/>
          <w:szCs w:val="32"/>
          <w:lang w:val="zh-CN" w:eastAsia="zh-CN"/>
        </w:rPr>
        <w:t>决算数的主要原因是</w:t>
      </w:r>
      <w:r>
        <w:rPr>
          <w:rFonts w:hint="eastAsia" w:ascii="仿宋_GB2312" w:hAnsi="仿宋_GB2312" w:eastAsia="仿宋_GB2312" w:cs="仿宋_GB2312"/>
          <w:color w:val="auto"/>
          <w:sz w:val="32"/>
          <w:szCs w:val="32"/>
          <w:lang w:val="en-US" w:eastAsia="zh-CN"/>
        </w:rPr>
        <w:t>未预算减排专项支出</w:t>
      </w:r>
      <w:r>
        <w:rPr>
          <w:rFonts w:hint="eastAsia" w:ascii="仿宋_GB2312" w:hAnsi="仿宋_GB2312" w:eastAsia="仿宋_GB2312" w:cs="仿宋_GB2312"/>
          <w:color w:val="auto"/>
          <w:sz w:val="32"/>
          <w:szCs w:val="32"/>
          <w:lang w:val="zh-CN" w:eastAsia="zh-CN"/>
        </w:rPr>
        <w:t>。</w:t>
      </w:r>
    </w:p>
    <w:p>
      <w:pPr>
        <w:pageBreakBefore w:val="0"/>
        <w:kinsoku/>
        <w:wordWrap/>
        <w:overflowPunct/>
        <w:topLinePunct w:val="0"/>
        <w:autoSpaceDE/>
        <w:autoSpaceDN/>
        <w:bidi w:val="0"/>
        <w:adjustRightInd/>
        <w:snapToGrid/>
        <w:spacing w:line="600" w:lineRule="exact"/>
        <w:ind w:left="0" w:firstLine="643" w:firstLineChars="200"/>
        <w:jc w:val="both"/>
        <w:textAlignment w:val="auto"/>
        <w:rPr>
          <w:rFonts w:hint="eastAsia" w:ascii="仿宋_GB2312" w:hAnsi="仿宋_GB2312" w:eastAsia="仿宋_GB2312" w:cs="仿宋_GB2312"/>
          <w:color w:val="auto"/>
          <w:sz w:val="32"/>
          <w:szCs w:val="32"/>
          <w:lang w:val="zh-CN" w:eastAsia="zh-CN"/>
        </w:rPr>
      </w:pPr>
      <w:r>
        <w:rPr>
          <w:rFonts w:hint="eastAsia" w:ascii="仿宋_GB2312" w:hAnsi="仿宋_GB2312" w:eastAsia="仿宋_GB2312" w:cs="仿宋_GB2312"/>
          <w:b/>
          <w:color w:val="auto"/>
          <w:sz w:val="32"/>
          <w:szCs w:val="32"/>
          <w:lang w:val="en-US" w:eastAsia="zh-CN"/>
        </w:rPr>
        <w:t>6.资源勘探工业信息等支出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590.3151</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2263.4215</w:t>
      </w:r>
      <w:r>
        <w:rPr>
          <w:rFonts w:hint="eastAsia" w:ascii="仿宋_GB2312" w:hAnsi="仿宋_GB2312" w:eastAsia="仿宋_GB2312" w:cs="仿宋_GB2312"/>
          <w:color w:val="auto"/>
          <w:sz w:val="32"/>
          <w:szCs w:val="32"/>
          <w:lang w:val="zh-CN"/>
        </w:rPr>
        <w:t>万元,完成年初预算的</w:t>
      </w:r>
      <w:r>
        <w:rPr>
          <w:rFonts w:hint="eastAsia" w:ascii="仿宋_GB2312" w:hAnsi="仿宋_GB2312" w:eastAsia="仿宋_GB2312" w:cs="仿宋_GB2312"/>
          <w:color w:val="auto"/>
          <w:sz w:val="32"/>
          <w:szCs w:val="32"/>
          <w:lang w:val="en-US" w:eastAsia="zh-CN"/>
        </w:rPr>
        <w:t>383</w:t>
      </w:r>
      <w:r>
        <w:rPr>
          <w:rFonts w:hint="eastAsia" w:ascii="仿宋_GB2312" w:hAnsi="仿宋_GB2312" w:eastAsia="仿宋_GB2312" w:cs="仿宋_GB2312"/>
          <w:color w:val="auto"/>
          <w:sz w:val="32"/>
          <w:szCs w:val="32"/>
          <w:lang w:val="zh-CN"/>
        </w:rPr>
        <w:t>%,预算数大于</w:t>
      </w:r>
      <w:r>
        <w:rPr>
          <w:rFonts w:hint="eastAsia" w:ascii="仿宋_GB2312" w:hAnsi="仿宋_GB2312" w:eastAsia="仿宋_GB2312" w:cs="仿宋_GB2312"/>
          <w:color w:val="auto"/>
          <w:sz w:val="32"/>
          <w:szCs w:val="32"/>
          <w:lang w:val="zh-CN" w:eastAsia="zh-CN"/>
        </w:rPr>
        <w:t>决算数的主要原因是</w:t>
      </w:r>
      <w:r>
        <w:rPr>
          <w:rFonts w:hint="eastAsia" w:ascii="仿宋_GB2312" w:hAnsi="仿宋_GB2312" w:eastAsia="仿宋_GB2312" w:cs="仿宋_GB2312"/>
          <w:color w:val="000000"/>
          <w:spacing w:val="0"/>
          <w:w w:val="100"/>
          <w:position w:val="0"/>
          <w:sz w:val="32"/>
          <w:szCs w:val="32"/>
          <w:lang w:val="en-US" w:eastAsia="zh-CN"/>
        </w:rPr>
        <w:t>拨入全县疫情防控物资采购资金</w:t>
      </w:r>
      <w:r>
        <w:rPr>
          <w:rFonts w:hint="eastAsia" w:ascii="仿宋_GB2312" w:hAnsi="仿宋_GB2312" w:eastAsia="仿宋_GB2312" w:cs="仿宋_GB2312"/>
          <w:color w:val="auto"/>
          <w:sz w:val="32"/>
          <w:szCs w:val="32"/>
          <w:lang w:val="zh-CN" w:eastAsia="zh-CN"/>
        </w:rPr>
        <w:t>。</w:t>
      </w:r>
    </w:p>
    <w:p>
      <w:pPr>
        <w:pageBreakBefore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color w:val="auto"/>
          <w:sz w:val="32"/>
          <w:szCs w:val="32"/>
          <w:lang w:val="zh-CN" w:eastAsia="zh-CN"/>
        </w:rPr>
      </w:pP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b/>
          <w:color w:val="auto"/>
          <w:sz w:val="32"/>
          <w:szCs w:val="32"/>
          <w:lang w:val="zh-CN"/>
        </w:rPr>
        <w:t>住房保障支出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22.2598</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41.0069</w:t>
      </w:r>
      <w:r>
        <w:rPr>
          <w:rFonts w:hint="eastAsia" w:ascii="仿宋_GB2312" w:hAnsi="仿宋_GB2312" w:eastAsia="仿宋_GB2312" w:cs="仿宋_GB2312"/>
          <w:color w:val="auto"/>
          <w:sz w:val="32"/>
          <w:szCs w:val="32"/>
          <w:lang w:val="zh-CN"/>
        </w:rPr>
        <w:t>万元,完成年初预算的</w:t>
      </w:r>
      <w:r>
        <w:rPr>
          <w:rFonts w:hint="eastAsia" w:ascii="仿宋_GB2312" w:hAnsi="仿宋_GB2312" w:eastAsia="仿宋_GB2312" w:cs="仿宋_GB2312"/>
          <w:color w:val="auto"/>
          <w:sz w:val="32"/>
          <w:szCs w:val="32"/>
          <w:lang w:val="en-US" w:eastAsia="zh-CN"/>
        </w:rPr>
        <w:t>103</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auto"/>
          <w:sz w:val="32"/>
          <w:szCs w:val="32"/>
          <w:lang w:val="zh-CN" w:eastAsia="zh-CN"/>
        </w:rPr>
        <w:t>决算数</w:t>
      </w:r>
      <w:r>
        <w:rPr>
          <w:rFonts w:hint="eastAsia" w:ascii="仿宋_GB2312" w:hAnsi="仿宋_GB2312" w:eastAsia="仿宋_GB2312" w:cs="仿宋_GB2312"/>
          <w:color w:val="auto"/>
          <w:sz w:val="32"/>
          <w:szCs w:val="32"/>
          <w:lang w:val="zh-CN"/>
        </w:rPr>
        <w:t>大于预算数</w:t>
      </w:r>
      <w:r>
        <w:rPr>
          <w:rFonts w:hint="eastAsia" w:ascii="仿宋_GB2312" w:hAnsi="仿宋_GB2312" w:eastAsia="仿宋_GB2312" w:cs="仿宋_GB2312"/>
          <w:color w:val="auto"/>
          <w:sz w:val="32"/>
          <w:szCs w:val="32"/>
          <w:lang w:val="zh-CN" w:eastAsia="zh-CN"/>
        </w:rPr>
        <w:t>的主要原因是</w:t>
      </w:r>
      <w:r>
        <w:rPr>
          <w:rFonts w:hint="eastAsia" w:ascii="仿宋_GB2312" w:hAnsi="仿宋_GB2312" w:eastAsia="仿宋_GB2312" w:cs="仿宋_GB2312"/>
          <w:color w:val="auto"/>
          <w:sz w:val="32"/>
          <w:szCs w:val="32"/>
          <w:lang w:val="en-US" w:eastAsia="zh-CN"/>
        </w:rPr>
        <w:t>人员增加</w:t>
      </w:r>
      <w:r>
        <w:rPr>
          <w:rFonts w:hint="eastAsia" w:ascii="仿宋_GB2312" w:hAnsi="仿宋_GB2312" w:eastAsia="仿宋_GB2312" w:cs="仿宋_GB2312"/>
          <w:color w:val="auto"/>
          <w:sz w:val="32"/>
          <w:szCs w:val="32"/>
          <w:lang w:val="zh-CN" w:eastAsia="zh-CN"/>
        </w:rPr>
        <w:t>。</w:t>
      </w:r>
    </w:p>
    <w:p>
      <w:pPr>
        <w:pageBreakBefore w:val="0"/>
        <w:kinsoku/>
        <w:wordWrap/>
        <w:overflowPunct/>
        <w:topLinePunct w:val="0"/>
        <w:autoSpaceDE/>
        <w:autoSpaceDN/>
        <w:bidi w:val="0"/>
        <w:adjustRightInd/>
        <w:snapToGrid/>
        <w:spacing w:line="600" w:lineRule="exact"/>
        <w:ind w:left="0" w:firstLine="643" w:firstLineChars="200"/>
        <w:jc w:val="both"/>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六、一般公共预算财政拨款基本支出决算情况说明</w:t>
      </w:r>
    </w:p>
    <w:p>
      <w:pPr>
        <w:pageBreakBefore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2022年度一般公共预算财政拨款基本支出</w:t>
      </w:r>
      <w:r>
        <w:rPr>
          <w:rFonts w:hint="eastAsia" w:ascii="仿宋_GB2312" w:hAnsi="仿宋_GB2312" w:eastAsia="仿宋_GB2312" w:cs="仿宋_GB2312"/>
          <w:color w:val="auto"/>
          <w:sz w:val="32"/>
          <w:szCs w:val="32"/>
          <w:lang w:val="en-US" w:eastAsia="zh-CN"/>
        </w:rPr>
        <w:t>629.2985</w:t>
      </w:r>
      <w:r>
        <w:rPr>
          <w:rFonts w:hint="eastAsia" w:ascii="仿宋_GB2312" w:hAnsi="仿宋_GB2312" w:eastAsia="仿宋_GB2312" w:cs="仿宋_GB2312"/>
          <w:color w:val="auto"/>
          <w:sz w:val="32"/>
          <w:szCs w:val="32"/>
          <w:lang w:val="zh-CN"/>
        </w:rPr>
        <w:t>万元。其中：</w:t>
      </w:r>
      <w:r>
        <w:rPr>
          <w:rFonts w:hint="eastAsia" w:ascii="仿宋_GB2312" w:hAnsi="仿宋_GB2312" w:eastAsia="仿宋_GB2312" w:cs="仿宋_GB2312"/>
          <w:b/>
          <w:color w:val="auto"/>
          <w:sz w:val="32"/>
          <w:szCs w:val="32"/>
          <w:lang w:val="zh-CN"/>
        </w:rPr>
        <w:t>人员经费</w:t>
      </w:r>
      <w:r>
        <w:rPr>
          <w:rFonts w:hint="eastAsia" w:ascii="仿宋_GB2312" w:hAnsi="仿宋_GB2312" w:eastAsia="仿宋_GB2312" w:cs="仿宋_GB2312"/>
          <w:color w:val="auto"/>
          <w:sz w:val="32"/>
          <w:szCs w:val="32"/>
          <w:lang w:val="en-US" w:eastAsia="zh-CN"/>
        </w:rPr>
        <w:t>593.9188</w:t>
      </w:r>
      <w:r>
        <w:rPr>
          <w:rFonts w:hint="eastAsia" w:ascii="仿宋_GB2312" w:hAnsi="仿宋_GB2312" w:eastAsia="仿宋_GB2312" w:cs="仿宋_GB2312"/>
          <w:color w:val="auto"/>
          <w:sz w:val="32"/>
          <w:szCs w:val="32"/>
          <w:lang w:val="zh-CN"/>
        </w:rPr>
        <w:t>万元,较上年决算数增加</w:t>
      </w:r>
      <w:r>
        <w:rPr>
          <w:rFonts w:hint="eastAsia" w:ascii="仿宋_GB2312" w:hAnsi="仿宋_GB2312" w:eastAsia="仿宋_GB2312" w:cs="仿宋_GB2312"/>
          <w:color w:val="auto"/>
          <w:sz w:val="32"/>
          <w:szCs w:val="32"/>
          <w:lang w:val="en-US" w:eastAsia="zh-CN"/>
        </w:rPr>
        <w:t>122.3523</w:t>
      </w:r>
      <w:r>
        <w:rPr>
          <w:rFonts w:hint="eastAsia" w:ascii="仿宋_GB2312" w:hAnsi="仿宋_GB2312" w:eastAsia="仿宋_GB2312" w:cs="仿宋_GB2312"/>
          <w:color w:val="auto"/>
          <w:sz w:val="32"/>
          <w:szCs w:val="32"/>
          <w:lang w:val="zh-CN"/>
        </w:rPr>
        <w:t>万元,增长</w:t>
      </w:r>
      <w:r>
        <w:rPr>
          <w:rFonts w:hint="eastAsia" w:ascii="仿宋_GB2312" w:hAnsi="仿宋_GB2312" w:eastAsia="仿宋_GB2312" w:cs="仿宋_GB2312"/>
          <w:color w:val="auto"/>
          <w:sz w:val="32"/>
          <w:szCs w:val="32"/>
          <w:lang w:val="en-US" w:eastAsia="zh-CN"/>
        </w:rPr>
        <w:t>25.27</w:t>
      </w:r>
      <w:r>
        <w:rPr>
          <w:rFonts w:hint="eastAsia" w:ascii="仿宋_GB2312" w:hAnsi="仿宋_GB2312" w:eastAsia="仿宋_GB2312" w:cs="仿宋_GB2312"/>
          <w:color w:val="auto"/>
          <w:sz w:val="32"/>
          <w:szCs w:val="32"/>
          <w:lang w:val="zh-CN"/>
        </w:rPr>
        <w:t>%,主要原因是</w:t>
      </w:r>
      <w:r>
        <w:rPr>
          <w:rFonts w:hint="eastAsia" w:ascii="仿宋_GB2312" w:hAnsi="仿宋_GB2312" w:eastAsia="仿宋_GB2312" w:cs="仿宋_GB2312"/>
          <w:color w:val="auto"/>
          <w:sz w:val="32"/>
          <w:szCs w:val="32"/>
          <w:lang w:val="en-US" w:eastAsia="zh-CN"/>
        </w:rPr>
        <w:t>发放绩效工资、人员增加</w:t>
      </w:r>
      <w:r>
        <w:rPr>
          <w:rFonts w:hint="eastAsia" w:ascii="仿宋_GB2312" w:hAnsi="仿宋_GB2312" w:eastAsia="仿宋_GB2312" w:cs="仿宋_GB2312"/>
          <w:color w:val="auto"/>
          <w:sz w:val="32"/>
          <w:szCs w:val="32"/>
          <w:lang w:val="zh-CN"/>
        </w:rPr>
        <w:t>。人员经费用途主要包括基本工资258</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val="zh-CN"/>
        </w:rPr>
        <w:t>3516</w:t>
      </w:r>
      <w:r>
        <w:rPr>
          <w:rFonts w:hint="eastAsia" w:ascii="仿宋_GB2312" w:hAnsi="仿宋_GB2312" w:eastAsia="仿宋_GB2312" w:cs="仿宋_GB2312"/>
          <w:color w:val="auto"/>
          <w:sz w:val="32"/>
          <w:szCs w:val="32"/>
          <w:lang w:val="en-US" w:eastAsia="zh-CN"/>
        </w:rPr>
        <w:t>万元，津贴补贴108.1001万元，奖金14.6255万元，绩效工资93.51万元，机关事业单位基本养老保险缴费54.0896万元，职工基本医疗保险缴费20.6801万元，住房公积金41.0069万元，其他工资福利支出3.5548万元；</w:t>
      </w:r>
      <w:r>
        <w:rPr>
          <w:rFonts w:hint="eastAsia" w:ascii="仿宋_GB2312" w:hAnsi="仿宋_GB2312" w:eastAsia="仿宋_GB2312" w:cs="仿宋_GB2312"/>
          <w:b/>
          <w:bCs/>
          <w:color w:val="auto"/>
          <w:sz w:val="32"/>
          <w:szCs w:val="32"/>
          <w:lang w:val="en-US" w:eastAsia="zh-CN"/>
        </w:rPr>
        <w:t>对个人和家庭的补助</w:t>
      </w:r>
      <w:r>
        <w:rPr>
          <w:rFonts w:hint="eastAsia" w:ascii="仿宋_GB2312" w:hAnsi="仿宋_GB2312" w:eastAsia="仿宋_GB2312" w:cs="仿宋_GB2312"/>
          <w:color w:val="auto"/>
          <w:sz w:val="32"/>
          <w:szCs w:val="32"/>
          <w:lang w:val="en-US" w:eastAsia="zh-CN"/>
        </w:rPr>
        <w:t>12.6万元</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line="600" w:lineRule="exact"/>
        <w:ind w:left="0" w:firstLine="643"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color w:val="auto"/>
          <w:sz w:val="32"/>
          <w:szCs w:val="32"/>
          <w:lang w:val="zh-CN"/>
        </w:rPr>
        <w:t>公用经费</w:t>
      </w:r>
      <w:r>
        <w:rPr>
          <w:rFonts w:hint="eastAsia" w:ascii="仿宋_GB2312" w:hAnsi="仿宋_GB2312" w:eastAsia="仿宋_GB2312" w:cs="仿宋_GB2312"/>
          <w:color w:val="auto"/>
          <w:sz w:val="32"/>
          <w:szCs w:val="32"/>
          <w:lang w:val="en-US" w:eastAsia="zh-CN"/>
        </w:rPr>
        <w:t>1790.883</w:t>
      </w:r>
      <w:r>
        <w:rPr>
          <w:rFonts w:hint="eastAsia" w:ascii="仿宋_GB2312" w:hAnsi="仿宋_GB2312" w:eastAsia="仿宋_GB2312" w:cs="仿宋_GB2312"/>
          <w:color w:val="auto"/>
          <w:sz w:val="32"/>
          <w:szCs w:val="32"/>
          <w:lang w:val="zh-CN"/>
        </w:rPr>
        <w:t>万元,较上年决算数</w:t>
      </w:r>
      <w:r>
        <w:rPr>
          <w:rFonts w:hint="eastAsia" w:ascii="仿宋_GB2312" w:hAnsi="仿宋_GB2312" w:eastAsia="仿宋_GB2312" w:cs="仿宋_GB2312"/>
          <w:color w:val="auto"/>
          <w:sz w:val="32"/>
          <w:szCs w:val="32"/>
          <w:lang w:val="en-US" w:eastAsia="zh-CN"/>
        </w:rPr>
        <w:t>增加1645.7509</w:t>
      </w:r>
      <w:r>
        <w:rPr>
          <w:rFonts w:hint="eastAsia" w:ascii="仿宋_GB2312" w:hAnsi="仿宋_GB2312" w:eastAsia="仿宋_GB2312" w:cs="仿宋_GB2312"/>
          <w:color w:val="auto"/>
          <w:sz w:val="32"/>
          <w:szCs w:val="32"/>
          <w:lang w:val="zh-CN"/>
        </w:rPr>
        <w:t>万元,</w:t>
      </w:r>
      <w:r>
        <w:rPr>
          <w:rFonts w:hint="eastAsia" w:ascii="仿宋_GB2312" w:hAnsi="仿宋_GB2312" w:eastAsia="仿宋_GB2312" w:cs="仿宋_GB2312"/>
          <w:color w:val="auto"/>
          <w:sz w:val="32"/>
          <w:szCs w:val="32"/>
          <w:lang w:val="en-US" w:eastAsia="zh-CN"/>
        </w:rPr>
        <w:t>增长1133.97</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auto"/>
          <w:sz w:val="32"/>
          <w:szCs w:val="32"/>
          <w:lang w:val="zh-CN" w:eastAsia="zh-CN"/>
        </w:rPr>
        <w:t>主要原因是</w:t>
      </w:r>
      <w:r>
        <w:rPr>
          <w:rFonts w:hint="eastAsia" w:ascii="仿宋_GB2312" w:hAnsi="仿宋_GB2312" w:eastAsia="仿宋_GB2312" w:cs="仿宋_GB2312"/>
          <w:color w:val="auto"/>
          <w:sz w:val="32"/>
          <w:szCs w:val="32"/>
          <w:lang w:val="en-US" w:eastAsia="zh-CN"/>
        </w:rPr>
        <w:t>拨入拨入全县疫情防控物资储备、采购工作经费</w:t>
      </w:r>
      <w:r>
        <w:rPr>
          <w:rFonts w:hint="eastAsia" w:ascii="仿宋_GB2312" w:hAnsi="仿宋_GB2312" w:eastAsia="仿宋_GB2312" w:cs="仿宋_GB2312"/>
          <w:color w:val="auto"/>
          <w:sz w:val="32"/>
          <w:szCs w:val="32"/>
          <w:lang w:val="zh-CN"/>
        </w:rPr>
        <w:t>。公用经费用途</w:t>
      </w:r>
      <w:r>
        <w:rPr>
          <w:rFonts w:hint="eastAsia" w:ascii="仿宋_GB2312" w:hAnsi="仿宋_GB2312" w:eastAsia="仿宋_GB2312" w:cs="仿宋_GB2312"/>
          <w:color w:val="auto"/>
          <w:sz w:val="32"/>
          <w:szCs w:val="32"/>
          <w:lang w:val="zh-CN" w:eastAsia="zh-CN"/>
        </w:rPr>
        <w:t>主要包括</w:t>
      </w:r>
      <w:r>
        <w:rPr>
          <w:rFonts w:hint="eastAsia" w:ascii="仿宋_GB2312" w:hAnsi="仿宋_GB2312" w:eastAsia="仿宋_GB2312" w:cs="仿宋_GB2312"/>
          <w:color w:val="auto"/>
          <w:sz w:val="32"/>
          <w:szCs w:val="32"/>
          <w:lang w:val="en-US" w:eastAsia="zh-CN"/>
        </w:rPr>
        <w:t>办公费</w:t>
      </w:r>
      <w:r>
        <w:rPr>
          <w:rFonts w:hint="eastAsia" w:ascii="仿宋_GB2312" w:hAnsi="仿宋_GB2312" w:eastAsia="仿宋_GB2312" w:cs="仿宋_GB2312"/>
          <w:color w:val="auto"/>
          <w:sz w:val="32"/>
          <w:szCs w:val="32"/>
          <w:lang w:val="zh-CN" w:eastAsia="zh-CN"/>
        </w:rPr>
        <w:t>5</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val="zh-CN" w:eastAsia="zh-CN"/>
        </w:rPr>
        <w:t>7628</w:t>
      </w:r>
      <w:r>
        <w:rPr>
          <w:rFonts w:hint="eastAsia" w:ascii="仿宋_GB2312" w:hAnsi="仿宋_GB2312" w:eastAsia="仿宋_GB2312" w:cs="仿宋_GB2312"/>
          <w:color w:val="auto"/>
          <w:sz w:val="32"/>
          <w:szCs w:val="32"/>
          <w:lang w:val="en-US" w:eastAsia="zh-CN"/>
        </w:rPr>
        <w:t>万元，印刷费2.1788万元，水费1600元，电费0.5023万元，邮电费205.3221万元，差旅费5.5976万元，租赁费16.55万元，专用材料费1660元，劳务费6.78万元，委托业务费14.7800万元，对企业补助78.5714万元。</w:t>
      </w:r>
    </w:p>
    <w:p>
      <w:pPr>
        <w:pageBreakBefore w:val="0"/>
        <w:kinsoku/>
        <w:wordWrap/>
        <w:overflowPunct/>
        <w:topLinePunct w:val="0"/>
        <w:autoSpaceDE/>
        <w:autoSpaceDN/>
        <w:bidi w:val="0"/>
        <w:adjustRightInd/>
        <w:snapToGrid/>
        <w:spacing w:line="600" w:lineRule="exact"/>
        <w:ind w:left="0" w:firstLine="643"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color w:val="auto"/>
          <w:sz w:val="32"/>
          <w:szCs w:val="32"/>
          <w:lang w:val="en-US" w:eastAsia="zh-CN"/>
        </w:rPr>
        <w:t>项目支出</w:t>
      </w:r>
      <w:r>
        <w:rPr>
          <w:rFonts w:hint="eastAsia" w:ascii="仿宋_GB2312" w:hAnsi="仿宋_GB2312" w:eastAsia="仿宋_GB2312" w:cs="仿宋_GB2312"/>
          <w:color w:val="auto"/>
          <w:sz w:val="32"/>
          <w:szCs w:val="32"/>
          <w:lang w:val="en-US" w:eastAsia="zh-CN"/>
        </w:rPr>
        <w:t>4万元，</w:t>
      </w:r>
      <w:r>
        <w:rPr>
          <w:rFonts w:hint="eastAsia" w:ascii="仿宋_GB2312" w:hAnsi="仿宋_GB2312" w:eastAsia="仿宋_GB2312" w:cs="仿宋_GB2312"/>
          <w:color w:val="auto"/>
          <w:sz w:val="32"/>
          <w:szCs w:val="32"/>
          <w:lang w:val="zh-CN"/>
        </w:rPr>
        <w:t>较上年决算数</w:t>
      </w:r>
      <w:r>
        <w:rPr>
          <w:rFonts w:hint="eastAsia" w:ascii="仿宋_GB2312" w:hAnsi="仿宋_GB2312" w:eastAsia="仿宋_GB2312" w:cs="仿宋_GB2312"/>
          <w:color w:val="auto"/>
          <w:sz w:val="32"/>
          <w:szCs w:val="32"/>
          <w:lang w:val="en-US" w:eastAsia="zh-CN"/>
        </w:rPr>
        <w:t>增加4</w:t>
      </w:r>
      <w:r>
        <w:rPr>
          <w:rFonts w:hint="eastAsia" w:ascii="仿宋_GB2312" w:hAnsi="仿宋_GB2312" w:eastAsia="仿宋_GB2312" w:cs="仿宋_GB2312"/>
          <w:color w:val="auto"/>
          <w:sz w:val="32"/>
          <w:szCs w:val="32"/>
          <w:lang w:val="zh-CN"/>
        </w:rPr>
        <w:t>万元,</w:t>
      </w:r>
      <w:r>
        <w:rPr>
          <w:rFonts w:hint="eastAsia" w:ascii="仿宋_GB2312" w:hAnsi="仿宋_GB2312" w:eastAsia="仿宋_GB2312" w:cs="仿宋_GB2312"/>
          <w:color w:val="auto"/>
          <w:sz w:val="32"/>
          <w:szCs w:val="32"/>
          <w:lang w:val="en-US" w:eastAsia="zh-CN"/>
        </w:rPr>
        <w:t>主要原因是煤炭管控经费支出用于差旅费。</w:t>
      </w:r>
    </w:p>
    <w:p>
      <w:pPr>
        <w:pageBreakBefore w:val="0"/>
        <w:kinsoku/>
        <w:wordWrap/>
        <w:overflowPunct/>
        <w:topLinePunct w:val="0"/>
        <w:autoSpaceDE/>
        <w:autoSpaceDN/>
        <w:bidi w:val="0"/>
        <w:adjustRightInd/>
        <w:snapToGrid/>
        <w:spacing w:line="600" w:lineRule="exact"/>
        <w:ind w:left="0" w:firstLine="643" w:firstLineChars="200"/>
        <w:jc w:val="both"/>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en-US"/>
        </w:rPr>
        <w:t>七</w:t>
      </w:r>
      <w:r>
        <w:rPr>
          <w:rFonts w:hint="eastAsia" w:ascii="仿宋_GB2312" w:hAnsi="仿宋_GB2312" w:eastAsia="仿宋_GB2312" w:cs="仿宋_GB2312"/>
          <w:b/>
          <w:sz w:val="32"/>
          <w:szCs w:val="32"/>
          <w:lang w:val="zh-CN"/>
        </w:rPr>
        <w:t>、机关运行经费支出情况说明</w:t>
      </w:r>
    </w:p>
    <w:p>
      <w:pPr>
        <w:pageBreakBefore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2022年支出机关运行经费</w:t>
      </w:r>
      <w:r>
        <w:rPr>
          <w:rFonts w:hint="eastAsia" w:ascii="仿宋_GB2312" w:hAnsi="仿宋_GB2312" w:eastAsia="仿宋_GB2312" w:cs="仿宋_GB2312"/>
          <w:color w:val="auto"/>
          <w:sz w:val="32"/>
          <w:szCs w:val="32"/>
          <w:lang w:val="zh-CN"/>
        </w:rPr>
        <w:t>1790</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val="zh-CN"/>
        </w:rPr>
        <w:t>883</w:t>
      </w:r>
      <w:r>
        <w:rPr>
          <w:rFonts w:hint="eastAsia" w:ascii="仿宋_GB2312" w:hAnsi="仿宋_GB2312" w:eastAsia="仿宋_GB2312" w:cs="仿宋_GB2312"/>
          <w:color w:val="auto"/>
          <w:sz w:val="32"/>
          <w:szCs w:val="32"/>
          <w:lang w:val="en-US" w:eastAsia="zh-CN"/>
        </w:rPr>
        <w:t>万元。</w:t>
      </w:r>
    </w:p>
    <w:p>
      <w:pPr>
        <w:pageBreakBefore w:val="0"/>
        <w:kinsoku/>
        <w:wordWrap/>
        <w:overflowPunct/>
        <w:topLinePunct w:val="0"/>
        <w:autoSpaceDE/>
        <w:autoSpaceDN/>
        <w:bidi w:val="0"/>
        <w:adjustRightInd/>
        <w:snapToGrid/>
        <w:spacing w:line="600" w:lineRule="exact"/>
        <w:ind w:left="0" w:firstLine="643" w:firstLineChars="200"/>
        <w:jc w:val="both"/>
        <w:textAlignment w:val="auto"/>
        <w:rPr>
          <w:rFonts w:hint="eastAsia" w:ascii="仿宋_GB2312" w:hAnsi="仿宋_GB2312" w:eastAsia="仿宋_GB2312" w:cs="仿宋_GB2312"/>
          <w:b/>
          <w:bCs/>
          <w:color w:val="auto"/>
          <w:sz w:val="32"/>
          <w:szCs w:val="32"/>
          <w:lang w:val="zh-CN"/>
        </w:rPr>
      </w:pPr>
      <w:r>
        <w:rPr>
          <w:rFonts w:hint="eastAsia" w:ascii="仿宋_GB2312" w:hAnsi="仿宋_GB2312" w:eastAsia="仿宋_GB2312" w:cs="仿宋_GB2312"/>
          <w:b/>
          <w:bCs/>
          <w:color w:val="auto"/>
          <w:sz w:val="32"/>
          <w:szCs w:val="32"/>
          <w:lang w:val="zh-CN"/>
        </w:rPr>
        <w:t>八、政府采购支出情况说明</w:t>
      </w:r>
    </w:p>
    <w:p>
      <w:pPr>
        <w:pageBreakBefore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2022年度本部门政府采购支出合计</w:t>
      </w:r>
      <w:r>
        <w:rPr>
          <w:rFonts w:hint="eastAsia" w:ascii="仿宋_GB2312" w:hAnsi="仿宋_GB2312" w:eastAsia="仿宋_GB2312" w:cs="仿宋_GB2312"/>
          <w:color w:val="auto"/>
          <w:sz w:val="32"/>
          <w:szCs w:val="32"/>
          <w:lang w:val="en-US" w:eastAsia="zh-CN"/>
        </w:rPr>
        <w:t>8.8865</w:t>
      </w:r>
      <w:r>
        <w:rPr>
          <w:rFonts w:hint="eastAsia" w:ascii="仿宋_GB2312" w:hAnsi="仿宋_GB2312" w:eastAsia="仿宋_GB2312" w:cs="仿宋_GB2312"/>
          <w:color w:val="auto"/>
          <w:sz w:val="32"/>
          <w:szCs w:val="32"/>
          <w:lang w:val="zh-CN"/>
        </w:rPr>
        <w:t>万元,其中：政府采购货物支出</w:t>
      </w:r>
      <w:r>
        <w:rPr>
          <w:rFonts w:hint="eastAsia" w:ascii="仿宋_GB2312" w:hAnsi="仿宋_GB2312" w:eastAsia="仿宋_GB2312" w:cs="仿宋_GB2312"/>
          <w:color w:val="auto"/>
          <w:sz w:val="32"/>
          <w:szCs w:val="32"/>
          <w:lang w:val="en-US" w:eastAsia="zh-CN"/>
        </w:rPr>
        <w:t>8.8865</w:t>
      </w:r>
      <w:r>
        <w:rPr>
          <w:rFonts w:hint="eastAsia" w:ascii="仿宋_GB2312" w:hAnsi="仿宋_GB2312" w:eastAsia="仿宋_GB2312" w:cs="仿宋_GB2312"/>
          <w:color w:val="auto"/>
          <w:sz w:val="32"/>
          <w:szCs w:val="32"/>
          <w:lang w:val="zh-CN"/>
        </w:rPr>
        <w:t>万元。</w:t>
      </w:r>
    </w:p>
    <w:p>
      <w:pPr>
        <w:pageBreakBefore w:val="0"/>
        <w:kinsoku/>
        <w:wordWrap/>
        <w:overflowPunct/>
        <w:topLinePunct w:val="0"/>
        <w:autoSpaceDE/>
        <w:autoSpaceDN/>
        <w:bidi w:val="0"/>
        <w:adjustRightInd/>
        <w:snapToGrid/>
        <w:spacing w:line="600" w:lineRule="exact"/>
        <w:ind w:left="0" w:firstLine="643" w:firstLineChars="200"/>
        <w:jc w:val="both"/>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en-US"/>
        </w:rPr>
        <w:t>九</w:t>
      </w:r>
      <w:r>
        <w:rPr>
          <w:rFonts w:hint="eastAsia" w:ascii="仿宋_GB2312" w:hAnsi="仿宋_GB2312" w:eastAsia="仿宋_GB2312" w:cs="仿宋_GB2312"/>
          <w:b/>
          <w:sz w:val="32"/>
          <w:szCs w:val="32"/>
          <w:lang w:val="zh-CN"/>
        </w:rPr>
        <w:t>、国有资产占用情况说明</w:t>
      </w:r>
    </w:p>
    <w:p>
      <w:pPr>
        <w:pageBreakBefore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截至2022年12月31日,本部门共有车辆</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辆。</w:t>
      </w:r>
    </w:p>
    <w:p>
      <w:pPr>
        <w:pageBreakBefore w:val="0"/>
        <w:kinsoku/>
        <w:wordWrap/>
        <w:overflowPunct/>
        <w:topLinePunct w:val="0"/>
        <w:autoSpaceDE/>
        <w:autoSpaceDN/>
        <w:bidi w:val="0"/>
        <w:adjustRightInd/>
        <w:snapToGrid/>
        <w:spacing w:line="600" w:lineRule="exact"/>
        <w:ind w:left="0" w:firstLine="643" w:firstLineChars="200"/>
        <w:jc w:val="both"/>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十、政府性基金预算财政拨款收支决算情况说明</w:t>
      </w:r>
    </w:p>
    <w:p>
      <w:pPr>
        <w:pageBreakBefore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本部门2022年度无政府性基金收入,也没有使用政府性基金安排的支出。</w:t>
      </w:r>
    </w:p>
    <w:p>
      <w:pPr>
        <w:pageBreakBefore w:val="0"/>
        <w:kinsoku/>
        <w:wordWrap/>
        <w:overflowPunct/>
        <w:topLinePunct w:val="0"/>
        <w:autoSpaceDE/>
        <w:autoSpaceDN/>
        <w:bidi w:val="0"/>
        <w:adjustRightInd/>
        <w:snapToGrid/>
        <w:spacing w:line="600" w:lineRule="exact"/>
        <w:ind w:left="0" w:firstLine="643" w:firstLineChars="200"/>
        <w:jc w:val="both"/>
        <w:textAlignment w:val="auto"/>
        <w:rPr>
          <w:rFonts w:hint="eastAsia" w:eastAsia="宋体" w:asciiTheme="minorHAnsi" w:hAnsiTheme="minorHAnsi" w:cstheme="minorBidi"/>
          <w:kern w:val="2"/>
          <w:sz w:val="21"/>
          <w:lang w:val="zh-CN"/>
        </w:rPr>
      </w:pPr>
      <w:r>
        <w:rPr>
          <w:rFonts w:hint="eastAsia" w:ascii="仿宋_GB2312" w:hAnsi="仿宋_GB2312" w:eastAsia="仿宋_GB2312" w:cs="仿宋_GB2312"/>
          <w:b/>
          <w:sz w:val="32"/>
          <w:szCs w:val="32"/>
          <w:lang w:val="zh-CN"/>
        </w:rPr>
        <w:t>十</w:t>
      </w:r>
      <w:r>
        <w:rPr>
          <w:rFonts w:hint="eastAsia" w:ascii="仿宋_GB2312" w:hAnsi="仿宋_GB2312" w:eastAsia="仿宋_GB2312" w:cs="仿宋_GB2312"/>
          <w:b/>
          <w:sz w:val="32"/>
          <w:szCs w:val="32"/>
          <w:lang w:val="en-US"/>
        </w:rPr>
        <w:t>一</w:t>
      </w:r>
      <w:r>
        <w:rPr>
          <w:rFonts w:hint="eastAsia" w:ascii="仿宋_GB2312" w:hAnsi="仿宋_GB2312" w:eastAsia="仿宋_GB2312" w:cs="仿宋_GB2312"/>
          <w:b/>
          <w:sz w:val="32"/>
          <w:szCs w:val="32"/>
          <w:lang w:val="zh-CN"/>
        </w:rPr>
        <w:t>、国有资本经营预算财政拨款支出情况说明</w:t>
      </w:r>
    </w:p>
    <w:p>
      <w:pPr>
        <w:pageBreakBefore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本部门2022年度没有使用国有资本经营预算安排的支出。</w:t>
      </w:r>
    </w:p>
    <w:p>
      <w:pPr>
        <w:pageBreakBefore w:val="0"/>
        <w:kinsoku/>
        <w:wordWrap/>
        <w:overflowPunct/>
        <w:topLinePunct w:val="0"/>
        <w:autoSpaceDE/>
        <w:autoSpaceDN/>
        <w:bidi w:val="0"/>
        <w:adjustRightInd/>
        <w:snapToGrid/>
        <w:spacing w:line="600" w:lineRule="exact"/>
        <w:ind w:left="0" w:firstLine="643" w:firstLineChars="200"/>
        <w:jc w:val="both"/>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en-US"/>
        </w:rPr>
        <w:t>十二</w:t>
      </w:r>
      <w:r>
        <w:rPr>
          <w:rFonts w:hint="eastAsia" w:ascii="仿宋_GB2312" w:hAnsi="仿宋_GB2312" w:eastAsia="仿宋_GB2312" w:cs="仿宋_GB2312"/>
          <w:b/>
          <w:sz w:val="32"/>
          <w:szCs w:val="32"/>
          <w:lang w:val="zh-CN"/>
        </w:rPr>
        <w:t>、财政拨款“三公”经费支出决算情况说明</w:t>
      </w:r>
    </w:p>
    <w:p>
      <w:pPr>
        <w:pageBreakBefore w:val="0"/>
        <w:kinsoku/>
        <w:wordWrap/>
        <w:overflowPunct/>
        <w:topLinePunct w:val="0"/>
        <w:autoSpaceDE/>
        <w:autoSpaceDN/>
        <w:bidi w:val="0"/>
        <w:adjustRightInd/>
        <w:snapToGrid/>
        <w:spacing w:line="600" w:lineRule="exact"/>
        <w:ind w:left="0" w:firstLine="643" w:firstLineChars="200"/>
        <w:jc w:val="both"/>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(一)“三公”经费财政拨款支出总体情况说明</w:t>
      </w:r>
    </w:p>
    <w:p>
      <w:pPr>
        <w:pageBreakBefore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2022年度“三公”经费支出</w:t>
      </w:r>
      <w:r>
        <w:rPr>
          <w:rFonts w:hint="eastAsia" w:ascii="仿宋_GB2312" w:hAnsi="仿宋_GB2312" w:eastAsia="仿宋_GB2312" w:cs="仿宋_GB2312"/>
          <w:color w:val="auto"/>
          <w:sz w:val="32"/>
          <w:szCs w:val="32"/>
          <w:lang w:val="en-US"/>
        </w:rPr>
        <w:t>全年</w:t>
      </w:r>
      <w:r>
        <w:rPr>
          <w:rFonts w:hint="eastAsia" w:ascii="仿宋_GB2312" w:hAnsi="仿宋_GB2312" w:eastAsia="仿宋_GB2312" w:cs="仿宋_GB2312"/>
          <w:color w:val="auto"/>
          <w:sz w:val="32"/>
          <w:szCs w:val="32"/>
          <w:lang w:val="zh-CN"/>
        </w:rPr>
        <w:t>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w:t>
      </w:r>
    </w:p>
    <w:p>
      <w:pPr>
        <w:pageBreakBefore w:val="0"/>
        <w:kinsoku/>
        <w:wordWrap/>
        <w:overflowPunct/>
        <w:topLinePunct w:val="0"/>
        <w:autoSpaceDE/>
        <w:autoSpaceDN/>
        <w:bidi w:val="0"/>
        <w:adjustRightInd/>
        <w:snapToGrid/>
        <w:spacing w:line="600" w:lineRule="exact"/>
        <w:ind w:left="0" w:firstLine="643" w:firstLineChars="200"/>
        <w:jc w:val="both"/>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(二)“三公”经费财政拨款支出决算具体情况说明</w:t>
      </w:r>
    </w:p>
    <w:p>
      <w:pPr>
        <w:pageBreakBefore w:val="0"/>
        <w:kinsoku/>
        <w:wordWrap/>
        <w:overflowPunct/>
        <w:topLinePunct w:val="0"/>
        <w:autoSpaceDE/>
        <w:autoSpaceDN/>
        <w:bidi w:val="0"/>
        <w:adjustRightInd/>
        <w:snapToGrid/>
        <w:spacing w:line="600" w:lineRule="exact"/>
        <w:ind w:left="0" w:firstLine="643" w:firstLineChars="200"/>
        <w:jc w:val="both"/>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1.因公出国(境)费用</w:t>
      </w:r>
      <w:r>
        <w:rPr>
          <w:rFonts w:hint="eastAsia" w:ascii="仿宋_GB2312" w:hAnsi="仿宋_GB2312" w:eastAsia="仿宋_GB2312" w:cs="仿宋_GB2312"/>
          <w:color w:val="auto"/>
          <w:sz w:val="32"/>
          <w:szCs w:val="32"/>
          <w:lang w:val="en-US"/>
        </w:rPr>
        <w:t>全年</w:t>
      </w:r>
      <w:r>
        <w:rPr>
          <w:rFonts w:hint="eastAsia" w:ascii="仿宋_GB2312" w:hAnsi="仿宋_GB2312" w:eastAsia="仿宋_GB2312" w:cs="仿宋_GB2312"/>
          <w:color w:val="auto"/>
          <w:sz w:val="32"/>
          <w:szCs w:val="32"/>
          <w:lang w:val="zh-CN"/>
        </w:rPr>
        <w:t>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w:t>
      </w:r>
      <w:r>
        <w:rPr>
          <w:rFonts w:hint="eastAsia" w:ascii="仿宋_GB2312" w:hAnsi="仿宋_GB2312" w:eastAsia="仿宋_GB2312" w:cs="仿宋_GB2312"/>
          <w:color w:val="FF0000"/>
          <w:sz w:val="32"/>
          <w:szCs w:val="32"/>
          <w:lang w:val="zh-CN"/>
        </w:rPr>
        <w:t>。</w:t>
      </w:r>
    </w:p>
    <w:p>
      <w:pPr>
        <w:pageBreakBefore w:val="0"/>
        <w:kinsoku/>
        <w:wordWrap/>
        <w:overflowPunct/>
        <w:topLinePunct w:val="0"/>
        <w:autoSpaceDE/>
        <w:autoSpaceDN/>
        <w:bidi w:val="0"/>
        <w:adjustRightInd/>
        <w:snapToGrid/>
        <w:spacing w:line="600" w:lineRule="exact"/>
        <w:ind w:left="0" w:firstLine="643" w:firstLineChars="200"/>
        <w:jc w:val="both"/>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2.公务用车购置及运行维护费</w:t>
      </w:r>
      <w:r>
        <w:rPr>
          <w:rFonts w:hint="eastAsia" w:ascii="仿宋_GB2312" w:hAnsi="仿宋_GB2312" w:eastAsia="仿宋_GB2312" w:cs="仿宋_GB2312"/>
          <w:color w:val="auto"/>
          <w:sz w:val="32"/>
          <w:szCs w:val="32"/>
          <w:lang w:val="en-US"/>
        </w:rPr>
        <w:t>全年</w:t>
      </w:r>
      <w:r>
        <w:rPr>
          <w:rFonts w:hint="eastAsia" w:ascii="仿宋_GB2312" w:hAnsi="仿宋_GB2312" w:eastAsia="仿宋_GB2312" w:cs="仿宋_GB2312"/>
          <w:color w:val="auto"/>
          <w:sz w:val="32"/>
          <w:szCs w:val="32"/>
          <w:lang w:val="zh-CN"/>
        </w:rPr>
        <w:t>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w:t>
      </w:r>
    </w:p>
    <w:p>
      <w:pPr>
        <w:pageBreakBefore w:val="0"/>
        <w:kinsoku/>
        <w:wordWrap/>
        <w:overflowPunct/>
        <w:topLinePunct w:val="0"/>
        <w:autoSpaceDE/>
        <w:autoSpaceDN/>
        <w:bidi w:val="0"/>
        <w:adjustRightInd/>
        <w:snapToGrid/>
        <w:spacing w:line="600" w:lineRule="exact"/>
        <w:ind w:left="0" w:firstLine="643" w:firstLineChars="200"/>
        <w:jc w:val="both"/>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3.公务接待费</w:t>
      </w:r>
      <w:r>
        <w:rPr>
          <w:rFonts w:hint="eastAsia" w:ascii="仿宋_GB2312" w:hAnsi="仿宋_GB2312" w:eastAsia="仿宋_GB2312" w:cs="仿宋_GB2312"/>
          <w:color w:val="auto"/>
          <w:sz w:val="32"/>
          <w:szCs w:val="32"/>
          <w:lang w:val="en-US"/>
        </w:rPr>
        <w:t>全</w:t>
      </w:r>
      <w:r>
        <w:rPr>
          <w:rFonts w:hint="eastAsia" w:ascii="仿宋_GB2312" w:hAnsi="仿宋_GB2312" w:eastAsia="仿宋_GB2312" w:cs="仿宋_GB2312"/>
          <w:color w:val="auto"/>
          <w:sz w:val="32"/>
          <w:szCs w:val="32"/>
          <w:lang w:val="zh-CN"/>
        </w:rPr>
        <w:t>年预算数为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w:t>
      </w:r>
    </w:p>
    <w:p>
      <w:pPr>
        <w:pageBreakBefore w:val="0"/>
        <w:kinsoku/>
        <w:wordWrap/>
        <w:overflowPunct/>
        <w:topLinePunct w:val="0"/>
        <w:autoSpaceDE/>
        <w:autoSpaceDN/>
        <w:bidi w:val="0"/>
        <w:adjustRightInd/>
        <w:snapToGrid/>
        <w:spacing w:line="600" w:lineRule="exact"/>
        <w:ind w:left="0" w:firstLine="643" w:firstLineChars="200"/>
        <w:jc w:val="both"/>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(三)“三公”经费财政拨款支出决算实物量情况</w:t>
      </w:r>
    </w:p>
    <w:p>
      <w:pPr>
        <w:pageBreakBefore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2022年度本部门</w:t>
      </w:r>
      <w:r>
        <w:rPr>
          <w:rFonts w:hint="eastAsia" w:ascii="仿宋_GB2312" w:hAnsi="仿宋_GB2312" w:eastAsia="仿宋_GB2312" w:cs="仿宋_GB2312"/>
          <w:b/>
          <w:color w:val="auto"/>
          <w:sz w:val="32"/>
          <w:szCs w:val="32"/>
          <w:lang w:val="zh-CN"/>
        </w:rPr>
        <w:t>公务用车保有量</w:t>
      </w:r>
      <w:r>
        <w:rPr>
          <w:rFonts w:hint="eastAsia" w:ascii="仿宋_GB2312" w:hAnsi="仿宋_GB2312" w:eastAsia="仿宋_GB2312" w:cs="仿宋_GB2312"/>
          <w:color w:val="auto"/>
          <w:sz w:val="32"/>
          <w:szCs w:val="32"/>
          <w:lang w:val="zh-CN"/>
        </w:rPr>
        <w:t>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辆；</w:t>
      </w:r>
      <w:r>
        <w:rPr>
          <w:rFonts w:hint="eastAsia" w:ascii="仿宋_GB2312" w:hAnsi="仿宋_GB2312" w:eastAsia="仿宋_GB2312" w:cs="仿宋_GB2312"/>
          <w:b/>
          <w:color w:val="auto"/>
          <w:sz w:val="32"/>
          <w:szCs w:val="32"/>
          <w:lang w:val="zh-CN"/>
        </w:rPr>
        <w:t>国内公务接待</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val="zh-CN"/>
        </w:rPr>
        <w:t>批次</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人。</w:t>
      </w:r>
    </w:p>
    <w:p>
      <w:pPr>
        <w:pageBreakBefore w:val="0"/>
        <w:kinsoku/>
        <w:wordWrap/>
        <w:overflowPunct/>
        <w:topLinePunct w:val="0"/>
        <w:autoSpaceDE/>
        <w:autoSpaceDN/>
        <w:bidi w:val="0"/>
        <w:adjustRightInd/>
        <w:snapToGrid/>
        <w:spacing w:line="600" w:lineRule="exact"/>
        <w:ind w:left="0" w:firstLine="643" w:firstLineChars="200"/>
        <w:jc w:val="both"/>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第四部分预算绩效情况说明</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(一)预算绩效管理工作开展情况</w:t>
      </w:r>
    </w:p>
    <w:p>
      <w:pPr>
        <w:keepNext/>
        <w:keepLines/>
        <w:pageBreakBefore w:val="0"/>
        <w:suppressLineNumbers/>
        <w:kinsoku/>
        <w:wordWrap/>
        <w:overflowPunct/>
        <w:topLinePunct w:val="0"/>
        <w:autoSpaceDE/>
        <w:autoSpaceDN/>
        <w:bidi w:val="0"/>
        <w:adjustRightInd/>
        <w:snapToGrid/>
        <w:spacing w:beforeLines="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kern w:val="0"/>
          <w:sz w:val="32"/>
          <w:szCs w:val="32"/>
          <w:lang w:val="en-US"/>
        </w:rPr>
        <w:t>根据预算绩效管理要求,本部门对2022年度一般公共预算项目支出全面开展绩效自评,其中,一级项目</w:t>
      </w:r>
      <w:r>
        <w:rPr>
          <w:rFonts w:hint="eastAsia" w:ascii="仿宋_GB2312" w:hAnsi="仿宋_GB2312" w:eastAsia="仿宋_GB2312" w:cs="仿宋_GB2312"/>
          <w:color w:val="auto"/>
          <w:kern w:val="0"/>
          <w:sz w:val="32"/>
          <w:szCs w:val="32"/>
          <w:lang w:val="en-US" w:eastAsia="zh-CN"/>
        </w:rPr>
        <w:t>1</w:t>
      </w:r>
      <w:r>
        <w:rPr>
          <w:rFonts w:hint="eastAsia" w:ascii="仿宋_GB2312" w:hAnsi="仿宋_GB2312" w:eastAsia="仿宋_GB2312" w:cs="仿宋_GB2312"/>
          <w:color w:val="auto"/>
          <w:kern w:val="0"/>
          <w:sz w:val="32"/>
          <w:szCs w:val="32"/>
          <w:lang w:val="en-US"/>
        </w:rPr>
        <w:t>个,二级项目</w:t>
      </w:r>
      <w:r>
        <w:rPr>
          <w:rFonts w:hint="eastAsia" w:ascii="仿宋_GB2312" w:hAnsi="仿宋_GB2312" w:eastAsia="仿宋_GB2312" w:cs="仿宋_GB2312"/>
          <w:color w:val="auto"/>
          <w:kern w:val="0"/>
          <w:sz w:val="32"/>
          <w:szCs w:val="32"/>
          <w:lang w:val="en-US" w:eastAsia="zh-CN"/>
        </w:rPr>
        <w:t>0</w:t>
      </w:r>
      <w:r>
        <w:rPr>
          <w:rFonts w:hint="eastAsia" w:ascii="仿宋_GB2312" w:hAnsi="仿宋_GB2312" w:eastAsia="仿宋_GB2312" w:cs="仿宋_GB2312"/>
          <w:color w:val="auto"/>
          <w:kern w:val="0"/>
          <w:sz w:val="32"/>
          <w:szCs w:val="32"/>
          <w:lang w:val="en-US"/>
        </w:rPr>
        <w:t>个,共涉及资金</w:t>
      </w:r>
      <w:r>
        <w:rPr>
          <w:rFonts w:hint="eastAsia" w:ascii="仿宋_GB2312" w:hAnsi="仿宋_GB2312" w:eastAsia="仿宋_GB2312" w:cs="仿宋_GB2312"/>
          <w:color w:val="auto"/>
          <w:kern w:val="0"/>
          <w:sz w:val="32"/>
          <w:szCs w:val="32"/>
          <w:lang w:val="en-US" w:eastAsia="zh-CN"/>
        </w:rPr>
        <w:t>4</w:t>
      </w:r>
      <w:r>
        <w:rPr>
          <w:rFonts w:hint="eastAsia" w:ascii="仿宋_GB2312" w:hAnsi="仿宋_GB2312" w:eastAsia="仿宋_GB2312" w:cs="仿宋_GB2312"/>
          <w:color w:val="auto"/>
          <w:kern w:val="0"/>
          <w:sz w:val="32"/>
          <w:szCs w:val="32"/>
          <w:lang w:val="en-US"/>
        </w:rPr>
        <w:t>万元,占一般公共预算项目支出总额的</w:t>
      </w:r>
      <w:r>
        <w:rPr>
          <w:rFonts w:hint="eastAsia" w:ascii="仿宋_GB2312" w:hAnsi="仿宋_GB2312" w:eastAsia="仿宋_GB2312" w:cs="仿宋_GB2312"/>
          <w:color w:val="auto"/>
          <w:kern w:val="0"/>
          <w:sz w:val="32"/>
          <w:szCs w:val="32"/>
          <w:lang w:val="en-US" w:eastAsia="zh-CN"/>
        </w:rPr>
        <w:t>100</w:t>
      </w:r>
      <w:bookmarkStart w:id="0" w:name="_GoBack"/>
      <w:bookmarkEnd w:id="0"/>
      <w:r>
        <w:rPr>
          <w:rFonts w:hint="eastAsia" w:ascii="仿宋_GB2312" w:hAnsi="仿宋_GB2312" w:eastAsia="仿宋_GB2312" w:cs="仿宋_GB2312"/>
          <w:color w:val="auto"/>
          <w:kern w:val="0"/>
          <w:sz w:val="32"/>
          <w:szCs w:val="32"/>
          <w:lang w:val="en-US"/>
        </w:rPr>
        <w:t>%</w:t>
      </w:r>
      <w:r>
        <w:rPr>
          <w:rFonts w:hint="eastAsia" w:ascii="仿宋_GB2312" w:hAnsi="仿宋_GB2312" w:eastAsia="仿宋_GB2312" w:cs="仿宋_GB2312"/>
          <w:color w:val="auto"/>
          <w:kern w:val="0"/>
          <w:sz w:val="32"/>
          <w:szCs w:val="32"/>
          <w:lang w:val="en-US" w:eastAsia="zh-CN"/>
        </w:rPr>
        <w:t>，资金主要用于支付差旅费</w:t>
      </w:r>
      <w:r>
        <w:rPr>
          <w:rFonts w:hint="eastAsia" w:ascii="仿宋_GB2312" w:hAnsi="仿宋_GB2312" w:eastAsia="仿宋_GB2312" w:cs="仿宋_GB2312"/>
          <w:color w:val="auto"/>
          <w:kern w:val="0"/>
          <w:sz w:val="32"/>
          <w:szCs w:val="32"/>
          <w:lang w:val="en-US"/>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(二)绩效自评结果</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color w:val="auto"/>
          <w:sz w:val="32"/>
          <w:szCs w:val="32"/>
          <w:lang w:val="zh-CN"/>
        </w:rPr>
      </w:pPr>
      <w:r>
        <w:rPr>
          <w:rFonts w:hint="eastAsia" w:ascii="仿宋_GB2312" w:hAnsi="仿宋_GB2312" w:eastAsia="仿宋_GB2312" w:cs="仿宋_GB2312"/>
          <w:b/>
          <w:color w:val="auto"/>
          <w:sz w:val="32"/>
          <w:szCs w:val="32"/>
          <w:lang w:val="zh-CN"/>
        </w:rPr>
        <w:t>1.绩效目标自评表</w:t>
      </w:r>
    </w:p>
    <w:p>
      <w:pPr>
        <w:tabs>
          <w:tab w:val="left" w:pos="1327"/>
        </w:tabs>
        <w:bidi w:val="0"/>
        <w:ind w:firstLine="640" w:firstLineChars="200"/>
        <w:jc w:val="left"/>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kern w:val="0"/>
          <w:sz w:val="32"/>
          <w:szCs w:val="32"/>
          <w:lang w:val="en-US"/>
        </w:rPr>
        <w:t>我部门在2022年度部门决算中反映</w:t>
      </w:r>
      <w:r>
        <w:rPr>
          <w:rFonts w:hint="eastAsia" w:ascii="仿宋_GB2312" w:hAnsi="仿宋_GB2312" w:eastAsia="仿宋_GB2312" w:cs="仿宋_GB2312"/>
          <w:color w:val="auto"/>
          <w:kern w:val="0"/>
          <w:sz w:val="32"/>
          <w:szCs w:val="32"/>
          <w:lang w:val="en-US" w:eastAsia="zh-CN"/>
        </w:rPr>
        <w:t>2022年煤炭管控经费1</w:t>
      </w:r>
      <w:r>
        <w:rPr>
          <w:rFonts w:hint="eastAsia" w:ascii="仿宋_GB2312" w:hAnsi="仿宋_GB2312" w:eastAsia="仿宋_GB2312" w:cs="仿宋_GB2312"/>
          <w:color w:val="auto"/>
          <w:kern w:val="0"/>
          <w:sz w:val="32"/>
          <w:szCs w:val="32"/>
          <w:lang w:val="en-US"/>
        </w:rPr>
        <w:t>个项目绩效自评结果。</w:t>
      </w:r>
    </w:p>
    <w:p>
      <w:pPr>
        <w:pageBreakBefore w:val="0"/>
        <w:kinsoku/>
        <w:wordWrap/>
        <w:overflowPunct/>
        <w:topLinePunct w:val="0"/>
        <w:autoSpaceDE/>
        <w:autoSpaceDN/>
        <w:bidi w:val="0"/>
        <w:adjustRightInd/>
        <w:snapToGrid/>
        <w:spacing w:line="600" w:lineRule="exact"/>
        <w:ind w:left="0" w:firstLine="643" w:firstLineChars="200"/>
        <w:jc w:val="both"/>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第五部分名词解释</w:t>
      </w:r>
    </w:p>
    <w:p>
      <w:pPr>
        <w:pageBreakBefore w:val="0"/>
        <w:kinsoku/>
        <w:wordWrap/>
        <w:overflowPunct/>
        <w:topLinePunct w:val="0"/>
        <w:autoSpaceDE/>
        <w:autoSpaceDN/>
        <w:bidi w:val="0"/>
        <w:adjustRightInd/>
        <w:snapToGrid/>
        <w:spacing w:line="600" w:lineRule="exact"/>
        <w:ind w:left="0" w:firstLine="643" w:firstLineChars="200"/>
        <w:jc w:val="both"/>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一、财政拨款收入</w:t>
      </w:r>
      <w:r>
        <w:rPr>
          <w:rFonts w:hint="eastAsia" w:ascii="仿宋_GB2312" w:hAnsi="仿宋_GB2312" w:eastAsia="仿宋_GB2312" w:cs="仿宋_GB2312"/>
          <w:color w:val="auto"/>
          <w:sz w:val="32"/>
          <w:szCs w:val="32"/>
          <w:lang w:val="zh-CN"/>
        </w:rPr>
        <w:t>：指本年度从本级财政部门取得的财政拨款,包括一般公共预算财政拨款和政府性基金预算财政拨款。</w:t>
      </w:r>
    </w:p>
    <w:p>
      <w:pPr>
        <w:pageBreakBefore w:val="0"/>
        <w:kinsoku/>
        <w:wordWrap/>
        <w:overflowPunct/>
        <w:topLinePunct w:val="0"/>
        <w:autoSpaceDE/>
        <w:autoSpaceDN/>
        <w:bidi w:val="0"/>
        <w:adjustRightInd/>
        <w:snapToGrid/>
        <w:spacing w:line="600" w:lineRule="exact"/>
        <w:ind w:left="0" w:firstLine="643" w:firstLineChars="200"/>
        <w:jc w:val="both"/>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二、事业收入</w:t>
      </w:r>
      <w:r>
        <w:rPr>
          <w:rFonts w:hint="eastAsia" w:ascii="仿宋_GB2312" w:hAnsi="仿宋_GB2312" w:eastAsia="仿宋_GB2312" w:cs="仿宋_GB2312"/>
          <w:color w:val="auto"/>
          <w:sz w:val="32"/>
          <w:szCs w:val="32"/>
          <w:lang w:val="zh-CN"/>
        </w:rPr>
        <w:t>：指事业单位开展专业业务活动及其辅助活动取得的现金流入；事业单位收到的财政专户实际核拨的教育收费等资金在此反映。</w:t>
      </w:r>
    </w:p>
    <w:p>
      <w:pPr>
        <w:pageBreakBefore w:val="0"/>
        <w:kinsoku/>
        <w:wordWrap/>
        <w:overflowPunct/>
        <w:topLinePunct w:val="0"/>
        <w:autoSpaceDE/>
        <w:autoSpaceDN/>
        <w:bidi w:val="0"/>
        <w:adjustRightInd/>
        <w:snapToGrid/>
        <w:spacing w:line="600" w:lineRule="exact"/>
        <w:ind w:left="0" w:firstLine="643" w:firstLineChars="200"/>
        <w:jc w:val="both"/>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三、经营收入</w:t>
      </w:r>
      <w:r>
        <w:rPr>
          <w:rFonts w:hint="eastAsia" w:ascii="仿宋_GB2312" w:hAnsi="仿宋_GB2312" w:eastAsia="仿宋_GB2312" w:cs="仿宋_GB2312"/>
          <w:color w:val="auto"/>
          <w:sz w:val="32"/>
          <w:szCs w:val="32"/>
          <w:lang w:val="zh-CN"/>
        </w:rPr>
        <w:t>：指事业单位在专业业务活动及其辅助活动之外开展非独立核算经营活动取得的现金流入。</w:t>
      </w:r>
    </w:p>
    <w:p>
      <w:pPr>
        <w:pageBreakBefore w:val="0"/>
        <w:kinsoku/>
        <w:wordWrap/>
        <w:overflowPunct/>
        <w:topLinePunct w:val="0"/>
        <w:autoSpaceDE/>
        <w:autoSpaceDN/>
        <w:bidi w:val="0"/>
        <w:adjustRightInd/>
        <w:snapToGrid/>
        <w:spacing w:line="600" w:lineRule="exact"/>
        <w:ind w:left="0" w:firstLine="643" w:firstLineChars="200"/>
        <w:jc w:val="both"/>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四、其他收入</w:t>
      </w:r>
      <w:r>
        <w:rPr>
          <w:rFonts w:hint="eastAsia" w:ascii="仿宋_GB2312" w:hAnsi="仿宋_GB2312" w:eastAsia="仿宋_GB2312" w:cs="仿宋_GB2312"/>
          <w:color w:val="auto"/>
          <w:sz w:val="32"/>
          <w:szCs w:val="32"/>
          <w:lang w:val="zh-CN"/>
        </w:rPr>
        <w:t>：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ageBreakBefore w:val="0"/>
        <w:kinsoku/>
        <w:wordWrap/>
        <w:overflowPunct/>
        <w:topLinePunct w:val="0"/>
        <w:autoSpaceDE/>
        <w:autoSpaceDN/>
        <w:bidi w:val="0"/>
        <w:adjustRightInd/>
        <w:snapToGrid/>
        <w:spacing w:line="600" w:lineRule="exact"/>
        <w:ind w:left="0" w:firstLine="643" w:firstLineChars="200"/>
        <w:jc w:val="both"/>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五、年初结转和结余</w:t>
      </w:r>
      <w:r>
        <w:rPr>
          <w:rFonts w:hint="eastAsia" w:ascii="仿宋_GB2312" w:hAnsi="仿宋_GB2312" w:eastAsia="仿宋_GB2312" w:cs="仿宋_GB2312"/>
          <w:color w:val="auto"/>
          <w:sz w:val="32"/>
          <w:szCs w:val="32"/>
          <w:lang w:val="zh-CN"/>
        </w:rPr>
        <w:t>：指单位上年结转本年使用的基本支出结转、项目支出结转和结余、经营结余。</w:t>
      </w:r>
    </w:p>
    <w:p>
      <w:pPr>
        <w:pageBreakBefore w:val="0"/>
        <w:kinsoku/>
        <w:wordWrap/>
        <w:overflowPunct/>
        <w:topLinePunct w:val="0"/>
        <w:autoSpaceDE/>
        <w:autoSpaceDN/>
        <w:bidi w:val="0"/>
        <w:adjustRightInd/>
        <w:snapToGrid/>
        <w:spacing w:line="600" w:lineRule="exact"/>
        <w:ind w:left="0" w:firstLine="643" w:firstLineChars="200"/>
        <w:jc w:val="both"/>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六、结余分配</w:t>
      </w:r>
      <w:r>
        <w:rPr>
          <w:rFonts w:hint="eastAsia" w:ascii="仿宋_GB2312" w:hAnsi="仿宋_GB2312" w:eastAsia="仿宋_GB2312" w:cs="仿宋_GB2312"/>
          <w:color w:val="auto"/>
          <w:sz w:val="32"/>
          <w:szCs w:val="32"/>
          <w:lang w:val="zh-CN"/>
        </w:rPr>
        <w:t>：指单位按照国家有关规定,缴纳所得税、提取专用基金、转入事业基金等当年结余的分配情况。</w:t>
      </w:r>
    </w:p>
    <w:p>
      <w:pPr>
        <w:pageBreakBefore w:val="0"/>
        <w:kinsoku/>
        <w:wordWrap/>
        <w:overflowPunct/>
        <w:topLinePunct w:val="0"/>
        <w:autoSpaceDE/>
        <w:autoSpaceDN/>
        <w:bidi w:val="0"/>
        <w:adjustRightInd/>
        <w:snapToGrid/>
        <w:spacing w:line="600" w:lineRule="exact"/>
        <w:ind w:left="0" w:firstLine="643" w:firstLineChars="200"/>
        <w:jc w:val="both"/>
        <w:textAlignment w:val="auto"/>
        <w:rPr>
          <w:rFonts w:hint="eastAsia"/>
          <w:lang w:val="zh-CN"/>
        </w:rPr>
      </w:pPr>
      <w:r>
        <w:rPr>
          <w:rFonts w:hint="eastAsia" w:ascii="仿宋_GB2312" w:hAnsi="仿宋_GB2312" w:eastAsia="仿宋_GB2312" w:cs="仿宋_GB2312"/>
          <w:b/>
          <w:color w:val="auto"/>
          <w:sz w:val="32"/>
          <w:szCs w:val="32"/>
          <w:lang w:val="zh-CN"/>
        </w:rPr>
        <w:t>七、年末结转和结余</w:t>
      </w:r>
      <w:r>
        <w:rPr>
          <w:rFonts w:hint="eastAsia" w:ascii="仿宋_GB2312" w:hAnsi="仿宋_GB2312" w:eastAsia="仿宋_GB2312" w:cs="仿宋_GB2312"/>
          <w:color w:val="auto"/>
          <w:sz w:val="32"/>
          <w:szCs w:val="32"/>
          <w:lang w:val="zh-CN"/>
        </w:rPr>
        <w:t>：指单位结转下年的基本支出结转、项目支出结转和结余、经营结余。</w:t>
      </w:r>
    </w:p>
    <w:p>
      <w:pPr>
        <w:pageBreakBefore w:val="0"/>
        <w:kinsoku/>
        <w:wordWrap/>
        <w:overflowPunct/>
        <w:topLinePunct w:val="0"/>
        <w:autoSpaceDE/>
        <w:autoSpaceDN/>
        <w:bidi w:val="0"/>
        <w:adjustRightInd/>
        <w:snapToGrid/>
        <w:spacing w:line="600" w:lineRule="exact"/>
        <w:ind w:left="0" w:firstLine="643" w:firstLineChars="200"/>
        <w:jc w:val="both"/>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八、基本支出</w:t>
      </w:r>
      <w:r>
        <w:rPr>
          <w:rFonts w:hint="eastAsia" w:ascii="仿宋_GB2312" w:hAnsi="仿宋_GB2312" w:eastAsia="仿宋_GB2312" w:cs="仿宋_GB2312"/>
          <w:color w:val="auto"/>
          <w:sz w:val="32"/>
          <w:szCs w:val="32"/>
          <w:lang w:val="zh-CN"/>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ageBreakBefore w:val="0"/>
        <w:kinsoku/>
        <w:wordWrap/>
        <w:overflowPunct/>
        <w:topLinePunct w:val="0"/>
        <w:autoSpaceDE/>
        <w:autoSpaceDN/>
        <w:bidi w:val="0"/>
        <w:adjustRightInd/>
        <w:snapToGrid/>
        <w:spacing w:line="600" w:lineRule="exact"/>
        <w:ind w:left="0" w:firstLine="643" w:firstLineChars="200"/>
        <w:jc w:val="both"/>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九、项目支出</w:t>
      </w:r>
      <w:r>
        <w:rPr>
          <w:rFonts w:hint="eastAsia" w:ascii="仿宋_GB2312" w:hAnsi="仿宋_GB2312" w:eastAsia="仿宋_GB2312" w:cs="仿宋_GB2312"/>
          <w:color w:val="auto"/>
          <w:sz w:val="32"/>
          <w:szCs w:val="32"/>
          <w:lang w:val="zh-CN"/>
        </w:rPr>
        <w:t>：指在基本支出之外为完成特定行政任务和事业发展目标所发生的支出。</w:t>
      </w:r>
    </w:p>
    <w:p>
      <w:pPr>
        <w:pageBreakBefore w:val="0"/>
        <w:kinsoku/>
        <w:wordWrap/>
        <w:overflowPunct/>
        <w:topLinePunct w:val="0"/>
        <w:autoSpaceDE/>
        <w:autoSpaceDN/>
        <w:bidi w:val="0"/>
        <w:adjustRightInd/>
        <w:snapToGrid/>
        <w:spacing w:line="600" w:lineRule="exact"/>
        <w:ind w:left="0" w:firstLine="643" w:firstLineChars="200"/>
        <w:jc w:val="both"/>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十、经营支出</w:t>
      </w:r>
      <w:r>
        <w:rPr>
          <w:rFonts w:hint="eastAsia" w:ascii="仿宋_GB2312" w:hAnsi="仿宋_GB2312" w:eastAsia="仿宋_GB2312" w:cs="仿宋_GB2312"/>
          <w:color w:val="auto"/>
          <w:sz w:val="32"/>
          <w:szCs w:val="32"/>
          <w:lang w:val="zh-CN"/>
        </w:rPr>
        <w:t>：指事业单位在专业业务活动及其辅助活动之外开展非独立核算经营活动发生的支出。</w:t>
      </w:r>
    </w:p>
    <w:p>
      <w:pPr>
        <w:pageBreakBefore w:val="0"/>
        <w:kinsoku/>
        <w:wordWrap/>
        <w:overflowPunct/>
        <w:topLinePunct w:val="0"/>
        <w:autoSpaceDE/>
        <w:autoSpaceDN/>
        <w:bidi w:val="0"/>
        <w:adjustRightInd/>
        <w:snapToGrid/>
        <w:spacing w:line="600" w:lineRule="exact"/>
        <w:ind w:left="0" w:firstLine="643" w:firstLineChars="200"/>
        <w:jc w:val="both"/>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十一、“三公”经费</w:t>
      </w:r>
      <w:r>
        <w:rPr>
          <w:rFonts w:hint="eastAsia" w:ascii="仿宋_GB2312" w:hAnsi="仿宋_GB2312" w:eastAsia="仿宋_GB2312" w:cs="仿宋_GB2312"/>
          <w:color w:val="auto"/>
          <w:sz w:val="32"/>
          <w:szCs w:val="32"/>
          <w:lang w:val="zh-CN"/>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pageBreakBefore w:val="0"/>
        <w:kinsoku/>
        <w:wordWrap/>
        <w:overflowPunct/>
        <w:topLinePunct w:val="0"/>
        <w:autoSpaceDE/>
        <w:autoSpaceDN/>
        <w:bidi w:val="0"/>
        <w:adjustRightInd/>
        <w:snapToGrid/>
        <w:spacing w:line="600" w:lineRule="exact"/>
        <w:ind w:left="0" w:firstLine="643" w:firstLineChars="200"/>
        <w:jc w:val="both"/>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十二、机关运行经费</w:t>
      </w:r>
      <w:r>
        <w:rPr>
          <w:rFonts w:hint="eastAsia" w:ascii="仿宋_GB2312" w:hAnsi="仿宋_GB2312" w:eastAsia="仿宋_GB2312" w:cs="仿宋_GB2312"/>
          <w:color w:val="auto"/>
          <w:sz w:val="32"/>
          <w:szCs w:val="32"/>
          <w:lang w:val="zh-CN"/>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keepNext w:val="0"/>
        <w:keepLines w:val="0"/>
        <w:pageBreakBefore w:val="0"/>
        <w:widowControl w:val="0"/>
        <w:tabs>
          <w:tab w:val="left" w:pos="3501"/>
        </w:tabs>
        <w:kinsoku/>
        <w:wordWrap/>
        <w:overflowPunct/>
        <w:topLinePunct w:val="0"/>
        <w:autoSpaceDE/>
        <w:autoSpaceDN/>
        <w:bidi w:val="0"/>
        <w:adjustRightInd/>
        <w:snapToGrid/>
        <w:spacing w:line="600" w:lineRule="exact"/>
        <w:ind w:left="0" w:firstLine="643" w:firstLineChars="200"/>
        <w:jc w:val="both"/>
        <w:textAlignment w:val="auto"/>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pPr>
      <w:r>
        <w:rPr>
          <w:rFonts w:hint="eastAsia" w:ascii="仿宋_GB2312" w:hAnsi="仿宋_GB2312" w:eastAsia="仿宋_GB2312" w:cs="仿宋_GB2312"/>
          <w:b/>
          <w:color w:val="auto"/>
          <w:sz w:val="32"/>
          <w:szCs w:val="32"/>
          <w:lang w:val="en-US" w:eastAsia="zh-CN"/>
        </w:rPr>
        <w:t>十三、工资福利支出（支出经济分类科目类级）</w:t>
      </w:r>
      <w:r>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t>：反映单位开支的在职职工和编制外长期聘用人员的各类劳动报酬，以及为上述人员缴纳的各项社会保险费等。</w:t>
      </w:r>
    </w:p>
    <w:p>
      <w:pPr>
        <w:keepNext w:val="0"/>
        <w:keepLines w:val="0"/>
        <w:pageBreakBefore w:val="0"/>
        <w:widowControl w:val="0"/>
        <w:tabs>
          <w:tab w:val="left" w:pos="3501"/>
        </w:tabs>
        <w:kinsoku/>
        <w:wordWrap/>
        <w:overflowPunct/>
        <w:topLinePunct w:val="0"/>
        <w:autoSpaceDE/>
        <w:autoSpaceDN/>
        <w:bidi w:val="0"/>
        <w:adjustRightInd/>
        <w:snapToGrid/>
        <w:spacing w:line="600" w:lineRule="exact"/>
        <w:ind w:left="0" w:firstLine="643" w:firstLineChars="200"/>
        <w:jc w:val="both"/>
        <w:textAlignment w:val="auto"/>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pPr>
      <w:r>
        <w:rPr>
          <w:rFonts w:hint="eastAsia" w:ascii="仿宋_GB2312" w:hAnsi="仿宋_GB2312" w:eastAsia="仿宋_GB2312" w:cs="仿宋_GB2312"/>
          <w:b/>
          <w:color w:val="auto"/>
          <w:sz w:val="32"/>
          <w:szCs w:val="32"/>
          <w:lang w:val="en-US" w:eastAsia="zh-CN"/>
        </w:rPr>
        <w:t>十四、商品和服务支出（支出经济分类科目类级）：</w:t>
      </w:r>
      <w:r>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t>反映单位购买商品和服务的支出（不包括用于购置固定资产的支出、战略性和应急储备支出）。</w:t>
      </w:r>
    </w:p>
    <w:p>
      <w:pPr>
        <w:keepNext w:val="0"/>
        <w:keepLines w:val="0"/>
        <w:pageBreakBefore w:val="0"/>
        <w:widowControl w:val="0"/>
        <w:tabs>
          <w:tab w:val="left" w:pos="3501"/>
        </w:tabs>
        <w:kinsoku/>
        <w:wordWrap/>
        <w:overflowPunct/>
        <w:topLinePunct w:val="0"/>
        <w:autoSpaceDE/>
        <w:autoSpaceDN/>
        <w:bidi w:val="0"/>
        <w:adjustRightInd/>
        <w:snapToGrid/>
        <w:spacing w:line="600" w:lineRule="exact"/>
        <w:ind w:left="0" w:firstLine="643" w:firstLineChars="200"/>
        <w:jc w:val="both"/>
        <w:textAlignment w:val="auto"/>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pPr>
      <w:r>
        <w:rPr>
          <w:rFonts w:hint="eastAsia" w:ascii="仿宋_GB2312" w:hAnsi="仿宋_GB2312" w:eastAsia="仿宋_GB2312" w:cs="仿宋_GB2312"/>
          <w:b/>
          <w:color w:val="auto"/>
          <w:sz w:val="32"/>
          <w:szCs w:val="32"/>
          <w:lang w:val="en-US" w:eastAsia="zh-CN"/>
        </w:rPr>
        <w:t>十五、对个人和家庭的补助（支出经济分类科目类级）：</w:t>
      </w:r>
      <w:r>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t>反映用于对个人和家庭的补助支出。</w:t>
      </w:r>
    </w:p>
    <w:p>
      <w:pPr>
        <w:keepNext w:val="0"/>
        <w:keepLines w:val="0"/>
        <w:pageBreakBefore w:val="0"/>
        <w:widowControl w:val="0"/>
        <w:tabs>
          <w:tab w:val="left" w:pos="3501"/>
        </w:tabs>
        <w:kinsoku/>
        <w:wordWrap/>
        <w:overflowPunct/>
        <w:topLinePunct w:val="0"/>
        <w:autoSpaceDE/>
        <w:autoSpaceDN/>
        <w:bidi w:val="0"/>
        <w:adjustRightInd/>
        <w:snapToGrid/>
        <w:spacing w:line="600" w:lineRule="exact"/>
        <w:ind w:left="0" w:firstLine="643" w:firstLineChars="200"/>
        <w:jc w:val="both"/>
        <w:textAlignment w:val="auto"/>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pPr>
      <w:r>
        <w:rPr>
          <w:rFonts w:hint="eastAsia" w:ascii="仿宋_GB2312" w:hAnsi="仿宋_GB2312" w:eastAsia="仿宋_GB2312" w:cs="仿宋_GB2312"/>
          <w:b/>
          <w:color w:val="auto"/>
          <w:sz w:val="32"/>
          <w:szCs w:val="32"/>
          <w:lang w:val="en-US" w:eastAsia="zh-CN"/>
        </w:rPr>
        <w:t>十六、其他资本性支出（支出经济分类科目类级）</w:t>
      </w:r>
      <w:r>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t>：反映非各级发展与改革部门集中安排的用于购置固定资产、战略性和应急性储备、土地和无形资产，以及构建基础设施、大型修缮和财政支持企业更新改造所发生的支出。</w:t>
      </w:r>
    </w:p>
    <w:p>
      <w:pPr>
        <w:keepNext w:val="0"/>
        <w:keepLines w:val="0"/>
        <w:pageBreakBefore w:val="0"/>
        <w:widowControl w:val="0"/>
        <w:tabs>
          <w:tab w:val="left" w:pos="3501"/>
        </w:tabs>
        <w:kinsoku/>
        <w:wordWrap/>
        <w:overflowPunct/>
        <w:topLinePunct w:val="0"/>
        <w:autoSpaceDE/>
        <w:autoSpaceDN/>
        <w:bidi w:val="0"/>
        <w:adjustRightInd/>
        <w:snapToGrid/>
        <w:spacing w:line="600" w:lineRule="exact"/>
        <w:ind w:left="0" w:firstLine="643" w:firstLineChars="200"/>
        <w:jc w:val="both"/>
        <w:textAlignment w:val="auto"/>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pPr>
      <w:r>
        <w:rPr>
          <w:rFonts w:hint="eastAsia" w:ascii="仿宋_GB2312" w:hAnsi="仿宋_GB2312" w:eastAsia="仿宋_GB2312" w:cs="仿宋_GB2312"/>
          <w:b/>
          <w:color w:val="auto"/>
          <w:sz w:val="32"/>
          <w:szCs w:val="32"/>
          <w:lang w:val="en-US" w:eastAsia="zh-CN"/>
        </w:rPr>
        <w:t>十七、用事业基金弥补收支差额：</w:t>
      </w:r>
      <w:r>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t>指事业单位在当年的“财政拨款收入”、“事业收入”、“经营收入”、“其他收入”等不足以安排当年支出的情况下，使用以前年度积累的事业基金（事业单位当年收支相抵后按国家规定提取、用于弥补以后年度收支差额的基金）弥补本年度收支缺口的资金。</w:t>
      </w:r>
    </w:p>
    <w:p>
      <w:pPr>
        <w:pageBreakBefore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t>（注：本部分至少应包含以上信息，不得删减。）</w:t>
      </w:r>
    </w:p>
    <w:sectPr>
      <w:footerReference r:id="rId3" w:type="default"/>
      <w:pgSz w:w="11906" w:h="16838"/>
      <w:pgMar w:top="2098" w:right="1474" w:bottom="1984" w:left="1587" w:header="720" w:footer="720" w:gutter="0"/>
      <w:lnNumType w:countBy="0" w:distance="36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p>
    <w:pPr>
      <w:pStyle w:val="9"/>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95B2A99"/>
    <w:multiLevelType w:val="singleLevel"/>
    <w:tmpl w:val="A95B2A99"/>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QyZTNiOTdiYTdmNWNjZGMxNzE3MWVjNTQ0YTU5NDIifQ=="/>
  </w:docVars>
  <w:rsids>
    <w:rsidRoot w:val="00000000"/>
    <w:rsid w:val="02AA4B1F"/>
    <w:rsid w:val="05AB5E10"/>
    <w:rsid w:val="0C7A2B24"/>
    <w:rsid w:val="0D386A9E"/>
    <w:rsid w:val="0F090255"/>
    <w:rsid w:val="11B25539"/>
    <w:rsid w:val="12A34BDD"/>
    <w:rsid w:val="1AD863F9"/>
    <w:rsid w:val="28644254"/>
    <w:rsid w:val="2E221411"/>
    <w:rsid w:val="302D2CFD"/>
    <w:rsid w:val="37965442"/>
    <w:rsid w:val="470E7B71"/>
    <w:rsid w:val="5A427D9F"/>
    <w:rsid w:val="5D387615"/>
    <w:rsid w:val="68D6204A"/>
    <w:rsid w:val="69AA14E4"/>
    <w:rsid w:val="6F9277B6"/>
    <w:rsid w:val="776C2BD5"/>
    <w:rsid w:val="77925050"/>
    <w:rsid w:val="7AF85536"/>
    <w:rsid w:val="7EC7051A"/>
  </w:rsids>
  <m:mathPr>
    <m:mathFont m:val="Cambria Math"/>
    <m:brkBin m:val="before"/>
    <m:brkBinSub m:val="--"/>
    <m:smallFrac m:val="0"/>
    <m:dispDef/>
    <m:lMargin m:val="0"/>
    <m:rMargin m:val="0"/>
    <m:defJc m:val="centerGroup"/>
    <m:preSp m:val="0"/>
    <m:postSp m:val="0"/>
    <m:interSp m:val="0"/>
    <m:intraSp m:val="0"/>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iPriority="99"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pPr>
    <w:rPr>
      <w:rFonts w:eastAsia="宋体" w:asciiTheme="minorHAnsi" w:hAnsiTheme="minorHAnsi" w:cstheme="minorBidi"/>
      <w:kern w:val="2"/>
      <w:sz w:val="21"/>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4">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5">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paragraph" w:styleId="6">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paragraph" w:styleId="7">
    <w:name w:val="heading 5"/>
    <w:basedOn w:val="1"/>
    <w:next w:val="1"/>
    <w:unhideWhenUsed/>
    <w:qFormat/>
    <w:uiPriority w:val="0"/>
    <w:pPr>
      <w:keepNext/>
      <w:keepLines/>
      <w:spacing w:before="280" w:beforeLines="0" w:beforeAutospacing="0" w:after="290" w:afterLines="0" w:afterAutospacing="0" w:line="372" w:lineRule="auto"/>
      <w:outlineLvl w:val="4"/>
    </w:pPr>
    <w:rPr>
      <w:b/>
      <w:sz w:val="28"/>
    </w:rPr>
  </w:style>
  <w:style w:type="paragraph" w:styleId="8">
    <w:name w:val="heading 6"/>
    <w:basedOn w:val="1"/>
    <w:next w:val="1"/>
    <w:unhideWhenUsed/>
    <w:qFormat/>
    <w:uiPriority w:val="0"/>
    <w:pPr>
      <w:keepNext/>
      <w:keepLines/>
      <w:spacing w:before="240" w:beforeLines="0" w:beforeAutospacing="0" w:after="64" w:afterLines="0" w:afterAutospacing="0" w:line="317" w:lineRule="auto"/>
      <w:outlineLvl w:val="5"/>
    </w:pPr>
    <w:rPr>
      <w:rFonts w:ascii="Arial" w:hAnsi="Arial" w:eastAsia="黑体"/>
      <w:b/>
      <w:sz w:val="24"/>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Indent 2"/>
    <w:basedOn w:val="1"/>
    <w:next w:val="1"/>
    <w:qFormat/>
    <w:uiPriority w:val="0"/>
    <w:pPr>
      <w:spacing w:after="120" w:afterLines="0" w:line="480" w:lineRule="auto"/>
      <w:ind w:left="420" w:leftChars="200"/>
    </w:pPr>
    <w:rPr>
      <w:rFonts w:ascii="Times New Roman" w:hAnsi="Times New Roman" w:eastAsia="宋体" w:cs="Times New Roman"/>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12">
    <w:name w:val="Table Grid"/>
    <w:basedOn w:val="11"/>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2023-07-20T03:33:00Z</dcterms:created>
  <dc:creator>O.L.Problem without you</dc:creator>
  <cp:lastModifiedBy>O.L.Problem without you</cp:lastModifiedBy>
  <dcterms:modified xsi:type="dcterms:W3CDTF">2023-08-02T07:30:07Z</dcterms:modified>
  <cp:revision>1</cp:revision>
</cp:coreProperties>
</file>

<file path=customXml/item2.xml><?xml version="1.0" encoding="utf-8"?>
<Properties xmlns="http://schemas.openxmlformats.org/officeDocument/2006/extended-properties" xmlns:vt="http://schemas.openxmlformats.org/officeDocument/2006/docPropsVTypes">
  <Template>Normal.dotm</Template>
  <Pages>12</Pages>
  <Words>6392</Words>
  <Characters>13548</Characters>
  <Lines>0</Lines>
  <Paragraphs>0</Paragraphs>
  <TotalTime>9</TotalTime>
  <ScaleCrop>false</ScaleCrop>
  <LinksUpToDate>false</LinksUpToDate>
  <CharactersWithSpaces>13626</CharactersWithSpaces>
  <Application>WPS Office_12.1.0.15120_F1E327BC-269C-435d-A152-05C5408002CA</Application>
  <DocSecurity>0</DocSecurity>
</Properties>
</file>

<file path=customXml/item3.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E06D266F13EA4024808CEEADBAD91186_11</vt:lpwstr>
  </property>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2023-07-20T03:33:00Z</dcterms:created>
  <dc:creator>O.L.Problem without you</dc:creator>
  <cp:lastModifiedBy>O.L.Problem without you</cp:lastModifiedBy>
  <dcterms:modified xsi:type="dcterms:W3CDTF">2023-08-02T07:30:07Z</dcterms:modified>
  <cp:revision>1</cp:revision>
</cp:coreProperties>
</file>

<file path=customXml/item5.xml><?xml version="1.0" encoding="utf-8"?>
<Properties xmlns="http://schemas.openxmlformats.org/officeDocument/2006/extended-properties" xmlns:vt="http://schemas.openxmlformats.org/officeDocument/2006/docPropsVTypes">
  <Template>Normal.dotm</Template>
  <Pages>12</Pages>
  <Words>6392</Words>
  <Characters>13548</Characters>
  <Lines>0</Lines>
  <Paragraphs>0</Paragraphs>
  <TotalTime>9</TotalTime>
  <ScaleCrop>false</ScaleCrop>
  <LinksUpToDate>false</LinksUpToDate>
  <CharactersWithSpaces>13626</CharactersWithSpaces>
  <Application>WPS Office_12.1.0.15120_F1E327BC-269C-435d-A152-05C5408002CA</Application>
  <DocSecurity>0</DocSecurity>
</Properties>
</file>

<file path=customXml/item6.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E06D266F13EA4024808CEEADBAD91186_11</vt:lpwstr>
  </property>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dc:creator>O.L.Problem without you</dc:creator>
  <cp:lastModifiedBy>O.L.Problem without you</cp:lastModifiedBy>
  <cp:revision>1</cp:revision>
  <dcterms:created xsi:type="dcterms:W3CDTF">2023-07-20T03:33:00Z</dcterms:created>
  <dcterms:modified xsi:type="dcterms:W3CDTF">2023-08-02T07:30:07Z</dcterms:modified>
</cp:coreProperties>
</file>

<file path=customXml/item8.xml><?xml version="1.0" encoding="utf-8"?>
<Properties xmlns:vt="http://schemas.openxmlformats.org/officeDocument/2006/docPropsVTypes" xmlns="http://schemas.openxmlformats.org/officeDocument/2006/extended-properties">
  <Template>Normal.dotm</Template>
  <TotalTime>9</TotalTime>
  <Pages>12</Pages>
  <Words>6392</Words>
  <Characters>13548</Characters>
  <Application>WPS Office_12.1.0.15120_F1E327BC-269C-435d-A152-05C5408002CA</Application>
  <DocSecurity>0</DocSecurity>
  <Lines>0</Lines>
  <Paragraphs>0</Paragraphs>
  <CharactersWithSpaces>13626</CharactersWithSpaces>
  <AppVersion>14.0000</AppVersion>
</Properties>
</file>

<file path=customXml/item9.xml><?xml version="1.0" encoding="utf-8"?>
<Properties xmlns:vt="http://schemas.openxmlformats.org/officeDocument/2006/docPropsVTypes" xmlns="http://schemas.openxmlformats.org/officeDocument/2006/custom-properties">
  <property fmtid="{D5CDD505-2E9C-101B-9397-08002B2CF9AE}" pid="2" name="KSOProductBuildVer">
    <vt:lpstr>2052-12.1.0.15120</vt:lpstr>
  </property>
  <property fmtid="{D5CDD505-2E9C-101B-9397-08002B2CF9AE}" pid="3" name="ICV">
    <vt:lpstr>E06D266F13EA4024808CEEADBAD91186_11</vt:lpstr>
  </property>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d38ddf7c-f42f-4139-a6d5-4c272742fb01}">
  <ds:schemaRefs/>
</ds:datastoreItem>
</file>

<file path=customXml/itemProps2.xml><?xml version="1.0" encoding="utf-8"?>
<ds:datastoreItem xmlns:ds="http://schemas.openxmlformats.org/officeDocument/2006/customXml" ds:itemID="{dd9736f0-b4da-40c5-bb91-cccf845c036b}">
  <ds:schemaRefs/>
</ds:datastoreItem>
</file>

<file path=customXml/itemProps3.xml><?xml version="1.0" encoding="utf-8"?>
<ds:datastoreItem xmlns:ds="http://schemas.openxmlformats.org/officeDocument/2006/customXml" ds:itemID="{d598932f-d44b-446f-8f36-105025c3f829}">
  <ds:schemaRefs/>
</ds:datastoreItem>
</file>

<file path=customXml/itemProps4.xml><?xml version="1.0" encoding="utf-8"?>
<ds:datastoreItem xmlns:ds="http://schemas.openxmlformats.org/officeDocument/2006/customXml" ds:itemID="{1942c3e6-50fa-42e3-afb2-c9ca37f9532b}">
  <ds:schemaRefs/>
</ds:datastoreItem>
</file>

<file path=customXml/itemProps5.xml><?xml version="1.0" encoding="utf-8"?>
<ds:datastoreItem xmlns:ds="http://schemas.openxmlformats.org/officeDocument/2006/customXml" ds:itemID="{9f816721-a34c-4b38-8df9-8940ce05977f}">
  <ds:schemaRefs/>
</ds:datastoreItem>
</file>

<file path=customXml/itemProps6.xml><?xml version="1.0" encoding="utf-8"?>
<ds:datastoreItem xmlns:ds="http://schemas.openxmlformats.org/officeDocument/2006/customXml" ds:itemID="{abd899ba-6e03-4791-9897-a1bbba214d3e}">
  <ds:schemaRefs/>
</ds:datastoreItem>
</file>

<file path=customXml/itemProps7.xml><?xml version="1.0" encoding="utf-8"?>
<ds:datastoreItem xmlns:ds="http://schemas.openxmlformats.org/officeDocument/2006/customXml" ds:itemID="{9ebdd679-4610-4a7d-99c1-8a4128f5cebc}">
  <ds:schemaRefs/>
</ds:datastoreItem>
</file>

<file path=customXml/itemProps8.xml><?xml version="1.0" encoding="utf-8"?>
<ds:datastoreItem xmlns:ds="http://schemas.openxmlformats.org/officeDocument/2006/customXml" ds:itemID="{65f361dc-07a0-4362-b527-b3db1c437bbe}">
  <ds:schemaRefs/>
</ds:datastoreItem>
</file>

<file path=customXml/itemProps9.xml><?xml version="1.0" encoding="utf-8"?>
<ds:datastoreItem xmlns:ds="http://schemas.openxmlformats.org/officeDocument/2006/customXml" ds:itemID="{5c862a0d-5a43-460c-b27d-6ae8edf896e5}">
  <ds:schemaRefs/>
</ds:datastoreItem>
</file>

<file path=docProps/app.xml><?xml version="1.0" encoding="utf-8"?>
<Properties xmlns="http://schemas.openxmlformats.org/officeDocument/2006/extended-properties" xmlns:vt="http://schemas.openxmlformats.org/officeDocument/2006/docPropsVTypes">
  <Template>Normal.dotm</Template>
  <Pages>18</Pages>
  <Words>6956</Words>
  <Characters>7663</Characters>
  <Lines>0</Lines>
  <Paragraphs>0</Paragraphs>
  <TotalTime>4</TotalTime>
  <ScaleCrop>false</ScaleCrop>
  <LinksUpToDate>false</LinksUpToDate>
  <CharactersWithSpaces>7663</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2023-07-20T03:33:00Z</dcterms:created>
  <dc:creator>O.L.Problem without you</dc:creator>
  <cp:lastModifiedBy>Administrator</cp:lastModifiedBy>
  <cp:lastPrinted>2023-08-18T07:47:00Z</cp:lastPrinted>
  <dcterms:modified xsi:type="dcterms:W3CDTF">2023-09-20T08:05:59Z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47C91FAC41BA436F943D176BCE9E35B6_13</vt:lpwstr>
  </property>
</Properties>
</file>