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1：</w:t>
      </w: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color w:val="auto"/>
          <w:kern w:val="0"/>
          <w:sz w:val="32"/>
          <w:szCs w:val="32"/>
          <w:lang w:val="en-US" w:eastAsia="zh-CN"/>
        </w:rPr>
        <w:t>东乡族自治县自然资源局</w:t>
      </w:r>
      <w:r>
        <w:rPr>
          <w:rFonts w:hint="eastAsia" w:ascii="仿宋_GB2312" w:hAnsi="仿宋_GB2312" w:eastAsia="仿宋_GB2312" w:cs="仿宋_GB2312"/>
          <w:sz w:val="32"/>
          <w:szCs w:val="32"/>
          <w:lang w:val="zh-CN"/>
        </w:rPr>
        <w:t>决算情况说明</w:t>
      </w: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lang w:val="en-US" w:eastAsia="zh-CN"/>
        </w:rPr>
        <w:t>(单位）</w:t>
      </w:r>
      <w:r>
        <w:rPr>
          <w:rFonts w:hint="eastAsia" w:ascii="仿宋_GB2312" w:hAnsi="仿宋_GB2312" w:eastAsia="仿宋_GB2312" w:cs="仿宋_GB2312"/>
          <w:b/>
          <w:sz w:val="32"/>
          <w:szCs w:val="32"/>
          <w:lang w:val="zh-CN"/>
        </w:rPr>
        <w:t>概况</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keepNext w:val="0"/>
        <w:keepLines w:val="0"/>
        <w:widowControl/>
        <w:suppressLineNumbers w:val="0"/>
        <w:ind w:firstLine="680" w:firstLineChars="200"/>
        <w:jc w:val="left"/>
      </w:pPr>
      <w:r>
        <w:rPr>
          <w:rFonts w:ascii="仿宋" w:hAnsi="仿宋" w:eastAsia="仿宋" w:cs="仿宋"/>
          <w:color w:val="000000"/>
          <w:kern w:val="0"/>
          <w:sz w:val="34"/>
          <w:szCs w:val="34"/>
          <w:lang w:val="en-US" w:eastAsia="zh-CN" w:bidi="ar"/>
        </w:rPr>
        <w:t>东乡族自治县自然资源局（简称县自然资源局）是东乡县政府工作部门。县不动产登记管</w:t>
      </w:r>
      <w:r>
        <w:rPr>
          <w:rFonts w:hint="eastAsia" w:ascii="仿宋" w:hAnsi="仿宋" w:eastAsia="仿宋" w:cs="仿宋"/>
          <w:color w:val="000000"/>
          <w:kern w:val="0"/>
          <w:sz w:val="34"/>
          <w:szCs w:val="34"/>
          <w:lang w:val="en-US" w:eastAsia="zh-CN" w:bidi="ar"/>
        </w:rPr>
        <w:t xml:space="preserve">理局。县自然资源局贯彻落实党中央和省、州及县委关于自然资源工作的方针政策和决策部署 ，在履行职责过程中坚持和加强党对自然资源工作的集中统一领导。履行全民所有土地、矿产 、湿地、水等自然资源资产所有者职责和所有国土空间用途管制职责；拟定自然资源和国土空 间规划及测绘等地方性文件办法和县政府规章草案并监督检查执行情况；负责全县自然资源调 查监测评价、统一确权登记、自然资源资产有偿使用、自然资源的合理开发利用、建立全县空 间规划体系并监督实施、统筹全县国土空间生态修复、组织全县实施最严格的耕地保护制度、 管理全县地质勘查行业和地质工作、落实综合防灾减灾规划相关要求、组织编制地质灾害防治 规划和防护标准并指导实施、矿产资源管理、测绘地理信息管理、推动全县自然资源领域科技 发展，根据授权，对乡镇政府落实自然资源和国土空间规划的重大方针政策、决策部署及法律法规执行情况进行监督检查； </w:t>
      </w:r>
      <w:r>
        <w:rPr>
          <w:rFonts w:ascii="仿宋" w:hAnsi="仿宋" w:eastAsia="仿宋" w:cs="仿宋"/>
          <w:color w:val="000000"/>
          <w:kern w:val="0"/>
          <w:sz w:val="34"/>
          <w:szCs w:val="34"/>
          <w:lang w:val="en-US" w:eastAsia="zh-CN" w:bidi="ar"/>
        </w:rPr>
        <w:t>贯彻落实党中央、省州及县委关于林业与草原工作的方针政策和决策部署；贯彻执行国家</w:t>
      </w:r>
      <w:r>
        <w:rPr>
          <w:rFonts w:hint="eastAsia" w:ascii="仿宋" w:hAnsi="仿宋" w:eastAsia="仿宋" w:cs="仿宋"/>
          <w:color w:val="000000"/>
          <w:kern w:val="0"/>
          <w:sz w:val="34"/>
          <w:szCs w:val="34"/>
          <w:lang w:val="en-US" w:eastAsia="zh-CN" w:bidi="ar"/>
        </w:rPr>
        <w:t>有关林业与草原的方针、政策和法律法规、承担林业与草原发展建设、保护提供技术支持和服务保障等事务性工作。</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二、机构设置</w:t>
      </w:r>
    </w:p>
    <w:p>
      <w:pPr>
        <w:keepNext w:val="0"/>
        <w:keepLines w:val="0"/>
        <w:widowControl/>
        <w:suppressLineNumbers w:val="0"/>
        <w:ind w:firstLine="680" w:firstLineChars="200"/>
        <w:jc w:val="left"/>
        <w:rPr>
          <w:rFonts w:ascii="仿宋" w:hAnsi="仿宋" w:eastAsia="仿宋" w:cs="仿宋"/>
          <w:color w:val="000000"/>
          <w:kern w:val="0"/>
          <w:sz w:val="34"/>
          <w:szCs w:val="34"/>
          <w:lang w:val="en-US" w:eastAsia="zh-CN" w:bidi="ar"/>
        </w:rPr>
      </w:pPr>
      <w:r>
        <w:rPr>
          <w:rFonts w:hint="eastAsia" w:ascii="仿宋" w:hAnsi="仿宋" w:eastAsia="仿宋" w:cs="仿宋"/>
          <w:color w:val="000000"/>
          <w:kern w:val="0"/>
          <w:sz w:val="34"/>
          <w:szCs w:val="34"/>
          <w:lang w:val="en-US" w:eastAsia="zh-CN" w:bidi="ar"/>
        </w:rPr>
        <w:t>东乡族自治县自然资源局共有编制97名，其中行政编制11名，年末实有人数101名；</w:t>
      </w:r>
      <w:r>
        <w:rPr>
          <w:rFonts w:ascii="仿宋" w:hAnsi="仿宋" w:eastAsia="仿宋" w:cs="仿宋"/>
          <w:color w:val="000000"/>
          <w:kern w:val="0"/>
          <w:sz w:val="34"/>
          <w:szCs w:val="34"/>
          <w:lang w:val="en-US" w:eastAsia="zh-CN" w:bidi="ar"/>
        </w:rPr>
        <w:t xml:space="preserve">下设综合办公室、空间规划股、用途管制股、生态修复股、自然资源测绘调查和确权股、 </w:t>
      </w:r>
      <w:r>
        <w:rPr>
          <w:rFonts w:hint="eastAsia" w:ascii="仿宋" w:hAnsi="仿宋" w:eastAsia="仿宋" w:cs="仿宋"/>
          <w:color w:val="000000"/>
          <w:kern w:val="0"/>
          <w:sz w:val="34"/>
          <w:szCs w:val="34"/>
          <w:lang w:val="en-US" w:eastAsia="zh-CN" w:bidi="ar"/>
        </w:rPr>
        <w:t>自然资源监督管护股。</w:t>
      </w:r>
      <w:r>
        <w:rPr>
          <w:rFonts w:ascii="仿宋" w:hAnsi="仿宋" w:eastAsia="仿宋" w:cs="仿宋"/>
          <w:color w:val="000000"/>
          <w:kern w:val="0"/>
          <w:sz w:val="34"/>
          <w:szCs w:val="34"/>
          <w:lang w:val="en-US" w:eastAsia="zh-CN" w:bidi="ar"/>
        </w:rPr>
        <w:t>林草系统有关事业单位共计14个，工作人员</w:t>
      </w:r>
      <w:r>
        <w:rPr>
          <w:rFonts w:hint="eastAsia" w:ascii="仿宋" w:hAnsi="仿宋" w:eastAsia="仿宋" w:cs="仿宋"/>
          <w:color w:val="000000"/>
          <w:kern w:val="0"/>
          <w:sz w:val="34"/>
          <w:szCs w:val="34"/>
          <w:lang w:val="en-US" w:eastAsia="zh-CN" w:bidi="ar"/>
        </w:rPr>
        <w:t>96</w:t>
      </w:r>
      <w:r>
        <w:rPr>
          <w:rFonts w:ascii="仿宋" w:hAnsi="仿宋" w:eastAsia="仿宋" w:cs="仿宋"/>
          <w:color w:val="000000"/>
          <w:kern w:val="0"/>
          <w:sz w:val="34"/>
          <w:szCs w:val="34"/>
          <w:lang w:val="en-US" w:eastAsia="zh-CN" w:bidi="ar"/>
        </w:rPr>
        <w:t>名，核定事业编制91名。其中正科级机构</w:t>
      </w:r>
      <w:r>
        <w:rPr>
          <w:rFonts w:hint="eastAsia" w:ascii="仿宋" w:hAnsi="仿宋" w:eastAsia="仿宋" w:cs="仿宋"/>
          <w:color w:val="000000"/>
          <w:kern w:val="0"/>
          <w:sz w:val="34"/>
          <w:szCs w:val="34"/>
          <w:lang w:val="en-US" w:eastAsia="zh-CN" w:bidi="ar"/>
        </w:rPr>
        <w:t>1个为东乡族自治县林草事业发展中心（核定编制8名）、副科级机构2个，分别为东乡族自治县生态绿化委员会办公室（核定编制9名）、东乡族自治县护林防火中心（核定编制11名）；股级机构11个，分别为东乡族自治县林草技术推广站（核定编制6名）、东乡族自治县春台林草管护站（核定编制4名）、东乡族自治县种苗站（核定编制2名）、东乡族自治县维新林场（核定编制7名）、东乡族自治县森林病虫害防治检疫站（核定编制3名）、东乡族自治县林草站（核定编制17名）、东乡族自治县河滩苗圃（核定编制4名）、东乡族自治县邢家梁林草管护站（核定编制4名）、东乡族自治县高山林场（核定编制8名）、东乡族自治县池滩苗圃（核定编制4名）、东乡族自治县拱北滩苗圃（核定编制4名）,项目人员3名，人才引进1名。</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FF0000"/>
          <w:sz w:val="32"/>
          <w:szCs w:val="32"/>
          <w:lang w:val="zh-CN"/>
        </w:rPr>
        <w:t>(请插入具体报表,若无法插入,请标明见附件)</w:t>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收入支出决算总表</w:t>
      </w:r>
    </w:p>
    <w:p>
      <w:pPr>
        <w:pageBreakBefore w:val="0"/>
        <w:numPr>
          <w:numId w:val="0"/>
        </w:numPr>
        <w:kinsoku/>
        <w:wordWrap/>
        <w:overflowPunct/>
        <w:topLinePunct w:val="0"/>
        <w:autoSpaceDE/>
        <w:autoSpaceDN/>
        <w:bidi w:val="0"/>
        <w:adjustRightInd/>
        <w:snapToGrid/>
        <w:spacing w:before="100" w:beforeLines="0" w:after="100" w:afterLines="0" w:line="240" w:lineRule="auto"/>
        <w:jc w:val="left"/>
        <w:textAlignment w:val="auto"/>
        <w:rPr>
          <w:rFonts w:hint="eastAsia" w:ascii="仿宋_GB2312" w:hAnsi="仿宋_GB2312" w:eastAsia="仿宋_GB2312" w:cs="仿宋_GB2312"/>
          <w:color w:val="auto"/>
          <w:sz w:val="32"/>
          <w:szCs w:val="32"/>
          <w:lang w:val="zh-CN"/>
        </w:rPr>
      </w:pPr>
      <w:r>
        <w:drawing>
          <wp:anchor distT="0" distB="0" distL="114300" distR="114300" simplePos="0" relativeHeight="251659264" behindDoc="0" locked="0" layoutInCell="1" allowOverlap="1">
            <wp:simplePos x="0" y="0"/>
            <wp:positionH relativeFrom="column">
              <wp:posOffset>673100</wp:posOffset>
            </wp:positionH>
            <wp:positionV relativeFrom="paragraph">
              <wp:posOffset>92075</wp:posOffset>
            </wp:positionV>
            <wp:extent cx="5270500" cy="4311650"/>
            <wp:effectExtent l="0" t="0" r="2540" b="1270"/>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270500" cy="4311650"/>
                    </a:xfrm>
                    <a:prstGeom prst="rect">
                      <a:avLst/>
                    </a:prstGeom>
                    <a:noFill/>
                    <a:ln>
                      <a:noFill/>
                    </a:ln>
                  </pic:spPr>
                </pic:pic>
              </a:graphicData>
            </a:graphic>
          </wp:anchor>
        </w:drawing>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收入决算表</w:t>
      </w:r>
    </w:p>
    <w:p>
      <w:pPr>
        <w:pageBreakBefore w:val="0"/>
        <w:numPr>
          <w:numId w:val="0"/>
        </w:numPr>
        <w:kinsoku/>
        <w:wordWrap/>
        <w:overflowPunct/>
        <w:topLinePunct w:val="0"/>
        <w:autoSpaceDE/>
        <w:autoSpaceDN/>
        <w:bidi w:val="0"/>
        <w:adjustRightInd/>
        <w:snapToGrid/>
        <w:spacing w:before="100" w:beforeLines="0" w:after="100" w:afterLines="0" w:line="240" w:lineRule="auto"/>
        <w:ind w:leftChars="200"/>
        <w:jc w:val="left"/>
        <w:textAlignment w:val="auto"/>
        <w:rPr>
          <w:rFonts w:hint="eastAsia" w:ascii="仿宋_GB2312" w:hAnsi="仿宋_GB2312" w:eastAsia="仿宋_GB2312" w:cs="仿宋_GB2312"/>
          <w:color w:val="auto"/>
          <w:sz w:val="32"/>
          <w:szCs w:val="32"/>
          <w:lang w:val="zh-CN"/>
        </w:rPr>
      </w:pPr>
      <w:r>
        <w:drawing>
          <wp:inline distT="0" distB="0" distL="114300" distR="114300">
            <wp:extent cx="5266690" cy="3648075"/>
            <wp:effectExtent l="0" t="0" r="6350" b="952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5266690" cy="3648075"/>
                    </a:xfrm>
                    <a:prstGeom prst="rect">
                      <a:avLst/>
                    </a:prstGeom>
                    <a:noFill/>
                    <a:ln>
                      <a:noFill/>
                    </a:ln>
                  </pic:spPr>
                </pic:pic>
              </a:graphicData>
            </a:graphic>
          </wp:inline>
        </w:drawing>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支出决算表</w:t>
      </w:r>
    </w:p>
    <w:p>
      <w:pPr>
        <w:pageBreakBefore w:val="0"/>
        <w:numPr>
          <w:numId w:val="0"/>
        </w:numPr>
        <w:kinsoku/>
        <w:wordWrap/>
        <w:overflowPunct/>
        <w:topLinePunct w:val="0"/>
        <w:autoSpaceDE/>
        <w:autoSpaceDN/>
        <w:bidi w:val="0"/>
        <w:adjustRightInd/>
        <w:snapToGrid/>
        <w:spacing w:before="100" w:beforeLines="0" w:after="100" w:afterLines="0" w:line="240" w:lineRule="auto"/>
        <w:ind w:leftChars="200"/>
        <w:jc w:val="left"/>
        <w:textAlignment w:val="auto"/>
        <w:rPr>
          <w:rFonts w:hint="eastAsia" w:ascii="仿宋_GB2312" w:hAnsi="仿宋_GB2312" w:eastAsia="仿宋_GB2312" w:cs="仿宋_GB2312"/>
          <w:color w:val="auto"/>
          <w:sz w:val="32"/>
          <w:szCs w:val="32"/>
          <w:lang w:val="zh-CN"/>
        </w:rPr>
      </w:pPr>
      <w:r>
        <w:drawing>
          <wp:anchor distT="0" distB="0" distL="114300" distR="114300" simplePos="0" relativeHeight="251660288" behindDoc="0" locked="0" layoutInCell="1" allowOverlap="1">
            <wp:simplePos x="0" y="0"/>
            <wp:positionH relativeFrom="column">
              <wp:posOffset>673100</wp:posOffset>
            </wp:positionH>
            <wp:positionV relativeFrom="paragraph">
              <wp:posOffset>635</wp:posOffset>
            </wp:positionV>
            <wp:extent cx="5269865" cy="4085590"/>
            <wp:effectExtent l="0" t="0" r="3175" b="13970"/>
            <wp:wrapTopAndBottom/>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a:stretch>
                      <a:fillRect/>
                    </a:stretch>
                  </pic:blipFill>
                  <pic:spPr>
                    <a:xfrm>
                      <a:off x="0" y="0"/>
                      <a:ext cx="5269865" cy="4085590"/>
                    </a:xfrm>
                    <a:prstGeom prst="rect">
                      <a:avLst/>
                    </a:prstGeom>
                    <a:noFill/>
                    <a:ln>
                      <a:noFill/>
                    </a:ln>
                  </pic:spPr>
                </pic:pic>
              </a:graphicData>
            </a:graphic>
          </wp:anchor>
        </w:drawing>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财政拨款收入支出决算总表</w:t>
      </w:r>
    </w:p>
    <w:p>
      <w:pPr>
        <w:pageBreakBefore w:val="0"/>
        <w:numPr>
          <w:numId w:val="0"/>
        </w:numPr>
        <w:kinsoku/>
        <w:wordWrap/>
        <w:overflowPunct/>
        <w:topLinePunct w:val="0"/>
        <w:autoSpaceDE/>
        <w:autoSpaceDN/>
        <w:bidi w:val="0"/>
        <w:adjustRightInd/>
        <w:snapToGrid/>
        <w:spacing w:before="100" w:beforeLines="0" w:after="100" w:afterLines="0" w:line="240" w:lineRule="auto"/>
        <w:ind w:leftChars="200"/>
        <w:jc w:val="left"/>
        <w:textAlignment w:val="auto"/>
        <w:rPr>
          <w:rFonts w:hint="eastAsia" w:ascii="仿宋_GB2312" w:hAnsi="仿宋_GB2312" w:eastAsia="仿宋_GB2312" w:cs="仿宋_GB2312"/>
          <w:color w:val="auto"/>
          <w:sz w:val="32"/>
          <w:szCs w:val="32"/>
          <w:lang w:val="zh-CN"/>
        </w:rPr>
      </w:pPr>
      <w:r>
        <w:drawing>
          <wp:inline distT="0" distB="0" distL="114300" distR="114300">
            <wp:extent cx="5273675" cy="3760470"/>
            <wp:effectExtent l="0" t="0" r="14605" b="381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8"/>
                    <a:stretch>
                      <a:fillRect/>
                    </a:stretch>
                  </pic:blipFill>
                  <pic:spPr>
                    <a:xfrm>
                      <a:off x="0" y="0"/>
                      <a:ext cx="5273675" cy="3760470"/>
                    </a:xfrm>
                    <a:prstGeom prst="rect">
                      <a:avLst/>
                    </a:prstGeom>
                    <a:noFill/>
                    <a:ln>
                      <a:noFill/>
                    </a:ln>
                  </pic:spPr>
                </pic:pic>
              </a:graphicData>
            </a:graphic>
          </wp:inline>
        </w:drawing>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一般公共预算财政拨款支出决算表</w:t>
      </w:r>
    </w:p>
    <w:p>
      <w:pPr>
        <w:pageBreakBefore w:val="0"/>
        <w:numPr>
          <w:numId w:val="0"/>
        </w:numPr>
        <w:kinsoku/>
        <w:wordWrap/>
        <w:overflowPunct/>
        <w:topLinePunct w:val="0"/>
        <w:autoSpaceDE/>
        <w:autoSpaceDN/>
        <w:bidi w:val="0"/>
        <w:adjustRightInd/>
        <w:snapToGrid/>
        <w:spacing w:before="100" w:beforeLines="0" w:after="100" w:afterLines="0" w:line="240" w:lineRule="auto"/>
        <w:ind w:leftChars="200"/>
        <w:jc w:val="left"/>
        <w:textAlignment w:val="auto"/>
        <w:rPr>
          <w:rFonts w:hint="eastAsia" w:ascii="仿宋_GB2312" w:hAnsi="仿宋_GB2312" w:eastAsia="仿宋_GB2312" w:cs="仿宋_GB2312"/>
          <w:color w:val="auto"/>
          <w:sz w:val="32"/>
          <w:szCs w:val="32"/>
          <w:lang w:val="zh-CN"/>
        </w:rPr>
      </w:pPr>
      <w:r>
        <w:drawing>
          <wp:inline distT="0" distB="0" distL="114300" distR="114300">
            <wp:extent cx="4983480" cy="4671060"/>
            <wp:effectExtent l="0" t="0" r="0" b="762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9"/>
                    <a:stretch>
                      <a:fillRect/>
                    </a:stretch>
                  </pic:blipFill>
                  <pic:spPr>
                    <a:xfrm>
                      <a:off x="0" y="0"/>
                      <a:ext cx="4983480" cy="4671060"/>
                    </a:xfrm>
                    <a:prstGeom prst="rect">
                      <a:avLst/>
                    </a:prstGeom>
                    <a:noFill/>
                    <a:ln>
                      <a:noFill/>
                    </a:ln>
                  </pic:spPr>
                </pic:pic>
              </a:graphicData>
            </a:graphic>
          </wp:inline>
        </w:drawing>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一般公共预算财政拨款基本支出决算明细表</w:t>
      </w:r>
    </w:p>
    <w:p>
      <w:pPr>
        <w:pageBreakBefore w:val="0"/>
        <w:numPr>
          <w:numId w:val="0"/>
        </w:numPr>
        <w:kinsoku/>
        <w:wordWrap/>
        <w:overflowPunct/>
        <w:topLinePunct w:val="0"/>
        <w:autoSpaceDE/>
        <w:autoSpaceDN/>
        <w:bidi w:val="0"/>
        <w:adjustRightInd/>
        <w:snapToGrid/>
        <w:spacing w:before="100" w:beforeLines="0" w:after="100" w:afterLines="0" w:line="240" w:lineRule="auto"/>
        <w:ind w:leftChars="200"/>
        <w:jc w:val="left"/>
        <w:textAlignment w:val="auto"/>
        <w:rPr>
          <w:rFonts w:hint="eastAsia" w:ascii="仿宋_GB2312" w:hAnsi="仿宋_GB2312" w:eastAsia="仿宋_GB2312" w:cs="仿宋_GB2312"/>
          <w:color w:val="auto"/>
          <w:sz w:val="32"/>
          <w:szCs w:val="32"/>
          <w:lang w:val="zh-CN"/>
        </w:rPr>
      </w:pPr>
      <w:r>
        <w:drawing>
          <wp:inline distT="0" distB="0" distL="114300" distR="114300">
            <wp:extent cx="5273675" cy="2992755"/>
            <wp:effectExtent l="0" t="0" r="14605" b="952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0"/>
                    <a:stretch>
                      <a:fillRect/>
                    </a:stretch>
                  </pic:blipFill>
                  <pic:spPr>
                    <a:xfrm>
                      <a:off x="0" y="0"/>
                      <a:ext cx="5273675" cy="2992755"/>
                    </a:xfrm>
                    <a:prstGeom prst="rect">
                      <a:avLst/>
                    </a:prstGeom>
                    <a:noFill/>
                    <a:ln>
                      <a:noFill/>
                    </a:ln>
                  </pic:spPr>
                </pic:pic>
              </a:graphicData>
            </a:graphic>
          </wp:inline>
        </w:drawing>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政府性基金预算财政拨款收入支出决算表</w:t>
      </w:r>
    </w:p>
    <w:p>
      <w:pPr>
        <w:pageBreakBefore w:val="0"/>
        <w:numPr>
          <w:numId w:val="0"/>
        </w:numPr>
        <w:kinsoku/>
        <w:wordWrap/>
        <w:overflowPunct/>
        <w:topLinePunct w:val="0"/>
        <w:autoSpaceDE/>
        <w:autoSpaceDN/>
        <w:bidi w:val="0"/>
        <w:adjustRightInd/>
        <w:snapToGrid/>
        <w:spacing w:before="100" w:beforeLines="0" w:after="100" w:afterLines="0" w:line="240" w:lineRule="auto"/>
        <w:ind w:leftChars="200"/>
        <w:jc w:val="left"/>
        <w:textAlignment w:val="auto"/>
        <w:rPr>
          <w:rFonts w:hint="eastAsia" w:ascii="仿宋_GB2312" w:hAnsi="仿宋_GB2312" w:eastAsia="仿宋_GB2312" w:cs="仿宋_GB2312"/>
          <w:color w:val="auto"/>
          <w:sz w:val="32"/>
          <w:szCs w:val="32"/>
          <w:lang w:val="zh-CN"/>
        </w:rPr>
      </w:pPr>
      <w:r>
        <w:drawing>
          <wp:inline distT="0" distB="0" distL="114300" distR="114300">
            <wp:extent cx="5266055" cy="1877060"/>
            <wp:effectExtent l="0" t="0" r="6985" b="1270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1"/>
                    <a:stretch>
                      <a:fillRect/>
                    </a:stretch>
                  </pic:blipFill>
                  <pic:spPr>
                    <a:xfrm>
                      <a:off x="0" y="0"/>
                      <a:ext cx="5266055" cy="1877060"/>
                    </a:xfrm>
                    <a:prstGeom prst="rect">
                      <a:avLst/>
                    </a:prstGeom>
                    <a:noFill/>
                    <a:ln>
                      <a:noFill/>
                    </a:ln>
                  </pic:spPr>
                </pic:pic>
              </a:graphicData>
            </a:graphic>
          </wp:inline>
        </w:drawing>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国有资本经营预算财政拨款支出决算表</w:t>
      </w:r>
    </w:p>
    <w:p>
      <w:pPr>
        <w:pageBreakBefore w:val="0"/>
        <w:numPr>
          <w:numId w:val="0"/>
        </w:numPr>
        <w:kinsoku/>
        <w:wordWrap/>
        <w:overflowPunct/>
        <w:topLinePunct w:val="0"/>
        <w:autoSpaceDE/>
        <w:autoSpaceDN/>
        <w:bidi w:val="0"/>
        <w:adjustRightInd/>
        <w:snapToGrid/>
        <w:spacing w:before="100" w:beforeLines="0" w:after="100" w:afterLines="0" w:line="240" w:lineRule="auto"/>
        <w:ind w:leftChars="200"/>
        <w:jc w:val="left"/>
        <w:textAlignment w:val="auto"/>
        <w:rPr>
          <w:rFonts w:hint="eastAsia" w:ascii="仿宋_GB2312" w:hAnsi="仿宋_GB2312" w:eastAsia="仿宋_GB2312" w:cs="仿宋_GB2312"/>
          <w:color w:val="auto"/>
          <w:sz w:val="32"/>
          <w:szCs w:val="32"/>
          <w:lang w:val="zh-CN"/>
        </w:rPr>
      </w:pPr>
      <w:r>
        <w:drawing>
          <wp:inline distT="0" distB="0" distL="114300" distR="114300">
            <wp:extent cx="5273040" cy="2517775"/>
            <wp:effectExtent l="0" t="0" r="0" b="12065"/>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2"/>
                    <a:stretch>
                      <a:fillRect/>
                    </a:stretch>
                  </pic:blipFill>
                  <pic:spPr>
                    <a:xfrm>
                      <a:off x="0" y="0"/>
                      <a:ext cx="5273040" cy="2517775"/>
                    </a:xfrm>
                    <a:prstGeom prst="rect">
                      <a:avLst/>
                    </a:prstGeom>
                    <a:noFill/>
                    <a:ln>
                      <a:noFill/>
                    </a:ln>
                  </pic:spPr>
                </pic:pic>
              </a:graphicData>
            </a:graphic>
          </wp:inline>
        </w:drawing>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财政拨款“三公”经费支出决算表</w:t>
      </w:r>
    </w:p>
    <w:p>
      <w:pPr>
        <w:pageBreakBefore w:val="0"/>
        <w:numPr>
          <w:numId w:val="0"/>
        </w:numPr>
        <w:kinsoku/>
        <w:wordWrap/>
        <w:overflowPunct/>
        <w:topLinePunct w:val="0"/>
        <w:autoSpaceDE/>
        <w:autoSpaceDN/>
        <w:bidi w:val="0"/>
        <w:adjustRightInd/>
        <w:snapToGrid/>
        <w:spacing w:before="100" w:beforeLines="0" w:after="100" w:afterLines="0" w:line="240" w:lineRule="auto"/>
        <w:ind w:leftChars="200"/>
        <w:jc w:val="left"/>
        <w:textAlignment w:val="auto"/>
        <w:rPr>
          <w:rFonts w:hint="eastAsia" w:ascii="仿宋_GB2312" w:hAnsi="仿宋_GB2312" w:eastAsia="仿宋_GB2312" w:cs="仿宋_GB2312"/>
          <w:color w:val="auto"/>
          <w:sz w:val="32"/>
          <w:szCs w:val="32"/>
          <w:lang w:val="zh-CN"/>
        </w:rPr>
      </w:pPr>
      <w:r>
        <w:drawing>
          <wp:inline distT="0" distB="0" distL="114300" distR="114300">
            <wp:extent cx="5274310" cy="1072515"/>
            <wp:effectExtent l="0" t="0" r="13970" b="9525"/>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3"/>
                    <a:stretch>
                      <a:fillRect/>
                    </a:stretch>
                  </pic:blipFill>
                  <pic:spPr>
                    <a:xfrm>
                      <a:off x="0" y="0"/>
                      <a:ext cx="5274310" cy="1072515"/>
                    </a:xfrm>
                    <a:prstGeom prst="rect">
                      <a:avLst/>
                    </a:prstGeom>
                    <a:noFill/>
                    <a:ln>
                      <a:noFill/>
                    </a:ln>
                  </pic:spPr>
                </pic:pic>
              </a:graphicData>
            </a:graphic>
          </wp:inline>
        </w:drawing>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bookmarkStart w:id="0" w:name="_GoBack"/>
      <w:r>
        <w:rPr>
          <w:rFonts w:hint="eastAsia" w:ascii="仿宋_GB2312" w:hAnsi="仿宋_GB2312" w:eastAsia="仿宋_GB2312" w:cs="仿宋_GB2312"/>
          <w:b/>
          <w:color w:val="auto"/>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w:t>
      </w:r>
      <w:r>
        <w:rPr>
          <w:rFonts w:hint="eastAsia" w:ascii="仿宋_GB2312" w:hAnsi="仿宋_GB2312" w:eastAsia="仿宋_GB2312" w:cs="仿宋_GB2312"/>
          <w:color w:val="auto"/>
          <w:spacing w:val="0"/>
          <w:w w:val="100"/>
          <w:position w:val="0"/>
          <w:sz w:val="32"/>
          <w:szCs w:val="32"/>
          <w:lang w:eastAsia="zh-CN"/>
        </w:rPr>
        <w:t>本部门（本单位）</w:t>
      </w:r>
      <w:r>
        <w:rPr>
          <w:rFonts w:hint="eastAsia" w:ascii="仿宋_GB2312" w:hAnsi="仿宋_GB2312" w:eastAsia="仿宋_GB2312" w:cs="仿宋_GB2312"/>
          <w:color w:val="auto"/>
          <w:spacing w:val="0"/>
          <w:w w:val="100"/>
          <w:position w:val="0"/>
          <w:sz w:val="32"/>
          <w:szCs w:val="32"/>
          <w:lang w:val="en-US" w:eastAsia="zh-CN"/>
        </w:rPr>
        <w:t>收入总计1026698364.65元，支出总计578256033.14元，与2021年决算数相比，收入增加725759310.7元，增长241.16%，支出增加289605233.5元，增长100.33%。主要原因是项目增加</w:t>
      </w:r>
      <w:r>
        <w:rPr>
          <w:rFonts w:hint="eastAsia" w:ascii="仿宋_GB2312" w:hAnsi="仿宋_GB2312" w:eastAsia="仿宋_GB2312" w:cs="仿宋_GB2312"/>
          <w:color w:val="auto"/>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2022年度收入合计</w:t>
      </w:r>
      <w:r>
        <w:rPr>
          <w:rFonts w:hint="eastAsia" w:ascii="仿宋_GB2312" w:hAnsi="仿宋_GB2312" w:eastAsia="仿宋_GB2312" w:cs="仿宋_GB2312"/>
          <w:color w:val="auto"/>
          <w:sz w:val="32"/>
          <w:szCs w:val="32"/>
          <w:lang w:val="en-US" w:eastAsia="zh-CN"/>
        </w:rPr>
        <w:t>102669.83</w:t>
      </w:r>
      <w:r>
        <w:rPr>
          <w:rFonts w:hint="eastAsia" w:ascii="仿宋_GB2312" w:hAnsi="仿宋_GB2312" w:eastAsia="仿宋_GB2312" w:cs="仿宋_GB2312"/>
          <w:color w:val="auto"/>
          <w:sz w:val="32"/>
          <w:szCs w:val="32"/>
          <w:lang w:val="zh-CN"/>
        </w:rPr>
        <w:t>万元,其中：财政拨款收入</w:t>
      </w:r>
      <w:r>
        <w:rPr>
          <w:rFonts w:hint="eastAsia" w:ascii="仿宋_GB2312" w:hAnsi="仿宋_GB2312" w:eastAsia="仿宋_GB2312" w:cs="仿宋_GB2312"/>
          <w:color w:val="auto"/>
          <w:sz w:val="32"/>
          <w:szCs w:val="32"/>
          <w:lang w:val="en-US" w:eastAsia="zh-CN"/>
        </w:rPr>
        <w:t>41577.27</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40.5</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其他</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61092.57</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59.5</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2022年度支出合计</w:t>
      </w:r>
      <w:r>
        <w:rPr>
          <w:rFonts w:hint="eastAsia" w:ascii="仿宋_GB2312" w:hAnsi="仿宋_GB2312" w:eastAsia="仿宋_GB2312" w:cs="仿宋_GB2312"/>
          <w:color w:val="auto"/>
          <w:sz w:val="32"/>
          <w:szCs w:val="32"/>
          <w:lang w:val="en-US" w:eastAsia="zh-CN"/>
        </w:rPr>
        <w:t>57825.6</w:t>
      </w:r>
      <w:r>
        <w:rPr>
          <w:rFonts w:hint="eastAsia" w:ascii="仿宋_GB2312" w:hAnsi="仿宋_GB2312" w:eastAsia="仿宋_GB2312" w:cs="仿宋_GB2312"/>
          <w:color w:val="auto"/>
          <w:sz w:val="32"/>
          <w:szCs w:val="32"/>
          <w:lang w:val="zh-CN"/>
        </w:rPr>
        <w:t>万元,其中：基本支出</w:t>
      </w:r>
      <w:r>
        <w:rPr>
          <w:rFonts w:hint="eastAsia" w:ascii="仿宋_GB2312" w:hAnsi="仿宋_GB2312" w:eastAsia="仿宋_GB2312" w:cs="仿宋_GB2312"/>
          <w:color w:val="auto"/>
          <w:sz w:val="32"/>
          <w:szCs w:val="32"/>
          <w:lang w:val="en-US" w:eastAsia="zh-CN"/>
        </w:rPr>
        <w:t>1448.02</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lang w:val="zh-CN"/>
        </w:rPr>
        <w:t>%；项目支出</w:t>
      </w:r>
      <w:r>
        <w:rPr>
          <w:rFonts w:hint="eastAsia" w:ascii="仿宋_GB2312" w:hAnsi="仿宋_GB2312" w:eastAsia="仿宋_GB2312" w:cs="仿宋_GB2312"/>
          <w:color w:val="auto"/>
          <w:sz w:val="32"/>
          <w:szCs w:val="32"/>
          <w:lang w:val="en-US" w:eastAsia="zh-CN"/>
        </w:rPr>
        <w:t>56377.58</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97.5</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pacing w:val="0"/>
          <w:w w:val="100"/>
          <w:position w:val="0"/>
          <w:sz w:val="32"/>
          <w:szCs w:val="32"/>
        </w:rPr>
        <w:t>本部门（本单位）</w:t>
      </w:r>
      <w:r>
        <w:rPr>
          <w:rFonts w:hint="eastAsia" w:ascii="仿宋_GB2312" w:hAnsi="仿宋_GB2312" w:eastAsia="仿宋_GB2312" w:cs="仿宋_GB2312"/>
          <w:color w:val="auto"/>
          <w:spacing w:val="0"/>
          <w:w w:val="100"/>
          <w:position w:val="0"/>
          <w:sz w:val="32"/>
          <w:szCs w:val="32"/>
          <w:lang w:eastAsia="zh-CN"/>
        </w:rPr>
        <w:t>202</w:t>
      </w:r>
      <w:r>
        <w:rPr>
          <w:rFonts w:hint="eastAsia" w:ascii="仿宋_GB2312" w:hAnsi="仿宋_GB2312" w:eastAsia="仿宋_GB2312" w:cs="仿宋_GB2312"/>
          <w:color w:val="auto"/>
          <w:spacing w:val="0"/>
          <w:w w:val="100"/>
          <w:position w:val="0"/>
          <w:sz w:val="32"/>
          <w:szCs w:val="32"/>
          <w:lang w:val="en-US" w:eastAsia="zh-CN"/>
        </w:rPr>
        <w:t>2</w:t>
      </w:r>
      <w:r>
        <w:rPr>
          <w:rFonts w:hint="eastAsia" w:ascii="仿宋_GB2312" w:hAnsi="仿宋_GB2312" w:eastAsia="仿宋_GB2312" w:cs="仿宋_GB2312"/>
          <w:color w:val="auto"/>
          <w:spacing w:val="0"/>
          <w:w w:val="100"/>
          <w:position w:val="0"/>
          <w:sz w:val="32"/>
          <w:szCs w:val="32"/>
        </w:rPr>
        <w:t>年度财政拨款收入</w:t>
      </w:r>
      <w:r>
        <w:rPr>
          <w:rFonts w:hint="eastAsia" w:ascii="仿宋_GB2312" w:hAnsi="仿宋_GB2312" w:eastAsia="仿宋_GB2312" w:cs="仿宋_GB2312"/>
          <w:color w:val="auto"/>
          <w:spacing w:val="0"/>
          <w:w w:val="100"/>
          <w:position w:val="0"/>
          <w:sz w:val="32"/>
          <w:szCs w:val="32"/>
          <w:lang w:val="en-US" w:eastAsia="en-US" w:bidi="en-US"/>
        </w:rPr>
        <w:t>415772695.27</w:t>
      </w:r>
      <w:r>
        <w:rPr>
          <w:rFonts w:hint="eastAsia" w:ascii="仿宋_GB2312" w:hAnsi="仿宋_GB2312" w:eastAsia="仿宋_GB2312" w:cs="仿宋_GB2312"/>
          <w:color w:val="auto"/>
          <w:spacing w:val="0"/>
          <w:w w:val="100"/>
          <w:position w:val="0"/>
          <w:sz w:val="32"/>
          <w:szCs w:val="32"/>
        </w:rPr>
        <w:t>元，较上年决算数增加207756017.1元，增长99</w:t>
      </w:r>
      <w:r>
        <w:rPr>
          <w:rFonts w:hint="eastAsia" w:ascii="仿宋_GB2312" w:hAnsi="仿宋_GB2312" w:eastAsia="仿宋_GB2312" w:cs="仿宋_GB2312"/>
          <w:color w:val="auto"/>
          <w:spacing w:val="0"/>
          <w:w w:val="100"/>
          <w:position w:val="0"/>
          <w:sz w:val="32"/>
          <w:szCs w:val="32"/>
          <w:lang w:val="en-US" w:eastAsia="zh-CN"/>
        </w:rPr>
        <w:t>.</w:t>
      </w:r>
      <w:r>
        <w:rPr>
          <w:rFonts w:hint="eastAsia" w:ascii="仿宋_GB2312" w:hAnsi="仿宋_GB2312" w:eastAsia="仿宋_GB2312" w:cs="仿宋_GB2312"/>
          <w:color w:val="auto"/>
          <w:spacing w:val="0"/>
          <w:w w:val="100"/>
          <w:position w:val="0"/>
          <w:sz w:val="32"/>
          <w:szCs w:val="32"/>
        </w:rPr>
        <w:t>87%。主要原因是</w:t>
      </w:r>
      <w:r>
        <w:rPr>
          <w:rFonts w:hint="eastAsia" w:ascii="仿宋_GB2312" w:hAnsi="仿宋_GB2312" w:eastAsia="仿宋_GB2312" w:cs="仿宋_GB2312"/>
          <w:color w:val="auto"/>
          <w:spacing w:val="0"/>
          <w:w w:val="100"/>
          <w:position w:val="0"/>
          <w:sz w:val="32"/>
          <w:szCs w:val="32"/>
          <w:lang w:val="en-US" w:eastAsia="zh-CN"/>
        </w:rPr>
        <w:t>项目增加</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lang w:val="zh-CN"/>
        </w:rPr>
        <w:t>(</w:t>
      </w:r>
      <w:r>
        <w:rPr>
          <w:rFonts w:hint="eastAsia" w:ascii="仿宋_GB2312" w:hAnsi="仿宋_GB2312" w:eastAsia="仿宋_GB2312" w:cs="仿宋_GB2312"/>
          <w:color w:val="auto"/>
          <w:spacing w:val="0"/>
          <w:w w:val="100"/>
          <w:position w:val="0"/>
          <w:sz w:val="32"/>
          <w:szCs w:val="32"/>
        </w:rPr>
        <w:t>根据实际情况补充原因</w:t>
      </w:r>
      <w:r>
        <w:rPr>
          <w:rFonts w:hint="eastAsia" w:ascii="仿宋_GB2312" w:hAnsi="仿宋_GB2312" w:eastAsia="仿宋_GB2312" w:cs="仿宋_GB2312"/>
          <w:color w:val="auto"/>
          <w:spacing w:val="0"/>
          <w:w w:val="100"/>
          <w:position w:val="0"/>
          <w:sz w:val="32"/>
          <w:szCs w:val="32"/>
          <w:lang w:val="zh-CN"/>
        </w:rPr>
        <w:t>)。</w:t>
      </w:r>
      <w:r>
        <w:rPr>
          <w:rFonts w:hint="eastAsia" w:ascii="仿宋_GB2312" w:hAnsi="仿宋_GB2312" w:eastAsia="仿宋_GB2312" w:cs="仿宋_GB2312"/>
          <w:color w:val="auto"/>
          <w:spacing w:val="0"/>
          <w:w w:val="100"/>
          <w:position w:val="0"/>
          <w:sz w:val="32"/>
          <w:szCs w:val="32"/>
        </w:rPr>
        <w:t>本部门（本单位）</w:t>
      </w:r>
      <w:r>
        <w:rPr>
          <w:rFonts w:hint="eastAsia" w:ascii="仿宋_GB2312" w:hAnsi="仿宋_GB2312" w:eastAsia="仿宋_GB2312" w:cs="仿宋_GB2312"/>
          <w:color w:val="auto"/>
          <w:spacing w:val="0"/>
          <w:w w:val="100"/>
          <w:position w:val="0"/>
          <w:sz w:val="32"/>
          <w:szCs w:val="32"/>
          <w:lang w:eastAsia="zh-CN"/>
        </w:rPr>
        <w:t>202</w:t>
      </w:r>
      <w:r>
        <w:rPr>
          <w:rFonts w:hint="eastAsia" w:ascii="仿宋_GB2312" w:hAnsi="仿宋_GB2312" w:eastAsia="仿宋_GB2312" w:cs="仿宋_GB2312"/>
          <w:color w:val="auto"/>
          <w:spacing w:val="0"/>
          <w:w w:val="100"/>
          <w:position w:val="0"/>
          <w:sz w:val="32"/>
          <w:szCs w:val="32"/>
          <w:lang w:val="en-US" w:eastAsia="zh-CN"/>
        </w:rPr>
        <w:t>2</w:t>
      </w:r>
      <w:r>
        <w:rPr>
          <w:rFonts w:hint="eastAsia" w:ascii="仿宋_GB2312" w:hAnsi="仿宋_GB2312" w:eastAsia="仿宋_GB2312" w:cs="仿宋_GB2312"/>
          <w:color w:val="auto"/>
          <w:spacing w:val="0"/>
          <w:w w:val="100"/>
          <w:position w:val="0"/>
          <w:sz w:val="32"/>
          <w:szCs w:val="32"/>
        </w:rPr>
        <w:t>年度财政拨款支出434580934.27元，较上年决算数增加245297392.5元，增长129</w:t>
      </w:r>
      <w:r>
        <w:rPr>
          <w:rFonts w:hint="eastAsia" w:ascii="仿宋_GB2312" w:hAnsi="仿宋_GB2312" w:eastAsia="仿宋_GB2312" w:cs="仿宋_GB2312"/>
          <w:color w:val="auto"/>
          <w:spacing w:val="0"/>
          <w:w w:val="100"/>
          <w:position w:val="0"/>
          <w:sz w:val="32"/>
          <w:szCs w:val="32"/>
          <w:lang w:val="en-US" w:eastAsia="zh-CN"/>
        </w:rPr>
        <w:t>.</w:t>
      </w:r>
      <w:r>
        <w:rPr>
          <w:rFonts w:hint="eastAsia" w:ascii="仿宋_GB2312" w:hAnsi="仿宋_GB2312" w:eastAsia="仿宋_GB2312" w:cs="仿宋_GB2312"/>
          <w:color w:val="auto"/>
          <w:spacing w:val="0"/>
          <w:w w:val="100"/>
          <w:position w:val="0"/>
          <w:sz w:val="32"/>
          <w:szCs w:val="32"/>
        </w:rPr>
        <w:t>59%。主要原因是</w:t>
      </w:r>
      <w:r>
        <w:rPr>
          <w:rFonts w:hint="eastAsia" w:ascii="仿宋_GB2312" w:hAnsi="仿宋_GB2312" w:eastAsia="仿宋_GB2312" w:cs="仿宋_GB2312"/>
          <w:color w:val="auto"/>
          <w:spacing w:val="0"/>
          <w:w w:val="100"/>
          <w:position w:val="0"/>
          <w:sz w:val="32"/>
          <w:szCs w:val="32"/>
          <w:lang w:val="en-US" w:eastAsia="zh-CN"/>
        </w:rPr>
        <w:t>项目增加</w:t>
      </w:r>
      <w:r>
        <w:rPr>
          <w:rFonts w:hint="eastAsia" w:ascii="仿宋_GB2312" w:hAnsi="仿宋_GB2312" w:eastAsia="仿宋_GB2312" w:cs="仿宋_GB2312"/>
          <w:color w:val="auto"/>
          <w:spacing w:val="0"/>
          <w:w w:val="100"/>
          <w:position w:val="0"/>
          <w:sz w:val="32"/>
          <w:szCs w:val="32"/>
        </w:rPr>
        <w:t>（根据实际情况补充原因）。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zh-CN"/>
        </w:rPr>
        <w:t>2022年度一般公共预算财政拨款支出</w:t>
      </w:r>
      <w:r>
        <w:rPr>
          <w:rFonts w:hint="eastAsia" w:ascii="仿宋_GB2312" w:hAnsi="仿宋_GB2312" w:eastAsia="仿宋_GB2312" w:cs="仿宋_GB2312"/>
          <w:color w:val="auto"/>
          <w:sz w:val="32"/>
          <w:szCs w:val="32"/>
          <w:lang w:val="en-US" w:eastAsia="zh-CN"/>
        </w:rPr>
        <w:t>41577.27</w:t>
      </w:r>
      <w:r>
        <w:rPr>
          <w:rFonts w:hint="eastAsia" w:ascii="仿宋_GB2312" w:hAnsi="仿宋_GB2312" w:eastAsia="仿宋_GB2312" w:cs="仿宋_GB2312"/>
          <w:color w:val="auto"/>
          <w:sz w:val="32"/>
          <w:szCs w:val="32"/>
          <w:lang w:val="zh-CN"/>
        </w:rPr>
        <w:t>万元,较上年决算数</w:t>
      </w:r>
      <w:r>
        <w:rPr>
          <w:rFonts w:hint="eastAsia" w:ascii="仿宋_GB2312" w:hAnsi="仿宋_GB2312" w:eastAsia="仿宋_GB2312" w:cs="仿宋_GB2312"/>
          <w:color w:val="auto"/>
          <w:sz w:val="32"/>
          <w:szCs w:val="32"/>
          <w:lang w:val="en-US" w:eastAsia="zh-CN"/>
        </w:rPr>
        <w:t>增加</w:t>
      </w:r>
      <w:r>
        <w:rPr>
          <w:rFonts w:hint="eastAsia" w:ascii="仿宋_GB2312" w:hAnsi="仿宋_GB2312" w:eastAsia="仿宋_GB2312" w:cs="仿宋_GB2312"/>
          <w:color w:val="auto"/>
          <w:sz w:val="32"/>
          <w:szCs w:val="32"/>
          <w:lang w:val="zh-CN"/>
        </w:rPr>
        <w:t>328338623.4万元,</w:t>
      </w:r>
      <w:r>
        <w:rPr>
          <w:rFonts w:hint="eastAsia" w:ascii="仿宋_GB2312" w:hAnsi="仿宋_GB2312" w:eastAsia="仿宋_GB2312" w:cs="仿宋_GB2312"/>
          <w:color w:val="auto"/>
          <w:sz w:val="32"/>
          <w:szCs w:val="32"/>
          <w:lang w:val="en-US" w:eastAsia="zh-CN"/>
        </w:rPr>
        <w:t>上升375.53</w:t>
      </w:r>
      <w:r>
        <w:rPr>
          <w:rFonts w:hint="eastAsia" w:ascii="仿宋_GB2312" w:hAnsi="仿宋_GB2312" w:eastAsia="仿宋_GB2312" w:cs="仿宋_GB2312"/>
          <w:color w:val="auto"/>
          <w:sz w:val="32"/>
          <w:szCs w:val="32"/>
          <w:lang w:val="zh-CN"/>
        </w:rPr>
        <w:t>%。主要原因是</w:t>
      </w:r>
      <w:r>
        <w:rPr>
          <w:rFonts w:hint="eastAsia" w:ascii="仿宋_GB2312" w:hAnsi="仿宋_GB2312" w:eastAsia="仿宋_GB2312" w:cs="仿宋_GB2312"/>
          <w:color w:val="auto"/>
          <w:sz w:val="32"/>
          <w:szCs w:val="32"/>
          <w:lang w:val="en-US" w:eastAsia="zh-CN"/>
        </w:rPr>
        <w:t>项目增加。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1.一般公共服务支出</w:t>
      </w:r>
      <w:r>
        <w:rPr>
          <w:rFonts w:hint="eastAsia" w:ascii="仿宋_GB2312" w:hAnsi="仿宋_GB2312" w:eastAsia="仿宋_GB2312" w:cs="仿宋_GB2312"/>
          <w:color w:val="auto"/>
          <w:sz w:val="32"/>
          <w:szCs w:val="32"/>
          <w:lang w:val="zh-CN"/>
        </w:rPr>
        <w:t>年初预算数为29</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5</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14.72</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49.75</w:t>
      </w:r>
      <w:r>
        <w:rPr>
          <w:rFonts w:hint="eastAsia" w:ascii="仿宋_GB2312" w:hAnsi="仿宋_GB2312" w:eastAsia="仿宋_GB2312" w:cs="仿宋_GB2312"/>
          <w:color w:val="auto"/>
          <w:sz w:val="32"/>
          <w:szCs w:val="32"/>
          <w:lang w:val="zh-CN"/>
        </w:rPr>
        <w:t>%,决算数</w:t>
      </w:r>
      <w:r>
        <w:rPr>
          <w:rFonts w:hint="eastAsia" w:ascii="仿宋_GB2312" w:hAnsi="仿宋_GB2312" w:eastAsia="仿宋_GB2312" w:cs="仿宋_GB2312"/>
          <w:color w:val="auto"/>
          <w:sz w:val="32"/>
          <w:szCs w:val="32"/>
          <w:lang w:val="en-US" w:eastAsia="zh-CN"/>
        </w:rPr>
        <w:t>小于</w:t>
      </w:r>
      <w:r>
        <w:rPr>
          <w:rFonts w:hint="eastAsia" w:ascii="仿宋_GB2312" w:hAnsi="仿宋_GB2312" w:eastAsia="仿宋_GB2312" w:cs="仿宋_GB2312"/>
          <w:color w:val="auto"/>
          <w:sz w:val="32"/>
          <w:szCs w:val="32"/>
          <w:lang w:val="zh-CN"/>
        </w:rPr>
        <w:t>预算数的主要原因是</w:t>
      </w:r>
      <w:r>
        <w:rPr>
          <w:rFonts w:hint="eastAsia" w:ascii="仿宋_GB2312" w:hAnsi="仿宋_GB2312" w:eastAsia="仿宋_GB2312" w:cs="仿宋_GB2312"/>
          <w:color w:val="auto"/>
          <w:sz w:val="32"/>
          <w:szCs w:val="32"/>
          <w:lang w:val="en-US" w:eastAsia="zh-CN"/>
        </w:rPr>
        <w:t>项目及人员减少</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en-US" w:eastAsia="zh-CN"/>
        </w:rPr>
        <w:t>2</w:t>
      </w:r>
      <w:r>
        <w:rPr>
          <w:rFonts w:hint="eastAsia" w:ascii="仿宋_GB2312" w:hAnsi="仿宋_GB2312" w:eastAsia="仿宋_GB2312" w:cs="仿宋_GB2312"/>
          <w:b/>
          <w:color w:val="auto"/>
          <w:sz w:val="32"/>
          <w:szCs w:val="32"/>
          <w:lang w:val="zh-CN"/>
        </w:rPr>
        <w:t>.社会保障和就业支出</w:t>
      </w:r>
      <w:r>
        <w:rPr>
          <w:rFonts w:hint="eastAsia" w:ascii="仿宋_GB2312" w:hAnsi="仿宋_GB2312" w:eastAsia="仿宋_GB2312" w:cs="仿宋_GB2312"/>
          <w:color w:val="auto"/>
          <w:sz w:val="32"/>
          <w:szCs w:val="32"/>
          <w:lang w:val="zh-CN"/>
        </w:rPr>
        <w:t>年初预算数为</w:t>
      </w:r>
      <w:r>
        <w:rPr>
          <w:rFonts w:hint="eastAsia" w:ascii="仿宋_GB2312" w:hAnsi="黑体" w:eastAsia="仿宋_GB2312"/>
          <w:color w:val="auto"/>
          <w:sz w:val="32"/>
          <w:szCs w:val="32"/>
          <w:highlight w:val="none"/>
        </w:rPr>
        <w:t>239</w:t>
      </w:r>
      <w:r>
        <w:rPr>
          <w:rFonts w:hint="eastAsia" w:ascii="仿宋_GB2312" w:hAnsi="黑体" w:eastAsia="仿宋_GB2312"/>
          <w:color w:val="auto"/>
          <w:sz w:val="32"/>
          <w:szCs w:val="32"/>
          <w:highlight w:val="none"/>
          <w:lang w:val="en-US" w:eastAsia="zh-CN"/>
        </w:rPr>
        <w:t>.</w:t>
      </w:r>
      <w:r>
        <w:rPr>
          <w:rFonts w:hint="eastAsia" w:ascii="仿宋_GB2312" w:hAnsi="黑体" w:eastAsia="仿宋_GB2312"/>
          <w:color w:val="auto"/>
          <w:sz w:val="32"/>
          <w:szCs w:val="32"/>
          <w:highlight w:val="none"/>
        </w:rPr>
        <w:t>6</w:t>
      </w:r>
      <w:r>
        <w:rPr>
          <w:rFonts w:hint="eastAsia" w:ascii="仿宋_GB2312" w:hAnsi="黑体" w:eastAsia="仿宋_GB2312"/>
          <w:color w:val="auto"/>
          <w:sz w:val="32"/>
          <w:szCs w:val="32"/>
          <w:highlight w:val="none"/>
          <w:lang w:val="en-US" w:eastAsia="zh-CN"/>
        </w:rPr>
        <w:t>8</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64.87</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27.07</w:t>
      </w:r>
      <w:r>
        <w:rPr>
          <w:rFonts w:hint="eastAsia" w:ascii="仿宋_GB2312" w:hAnsi="仿宋_GB2312" w:eastAsia="仿宋_GB2312" w:cs="仿宋_GB2312"/>
          <w:color w:val="auto"/>
          <w:sz w:val="32"/>
          <w:szCs w:val="32"/>
          <w:lang w:val="zh-CN"/>
        </w:rPr>
        <w:t>%,决算数</w:t>
      </w:r>
      <w:r>
        <w:rPr>
          <w:rFonts w:hint="eastAsia" w:ascii="仿宋_GB2312" w:hAnsi="仿宋_GB2312" w:eastAsia="仿宋_GB2312" w:cs="仿宋_GB2312"/>
          <w:color w:val="auto"/>
          <w:sz w:val="32"/>
          <w:szCs w:val="32"/>
          <w:lang w:val="en-US" w:eastAsia="zh-CN"/>
        </w:rPr>
        <w:t>小于</w:t>
      </w:r>
      <w:r>
        <w:rPr>
          <w:rFonts w:hint="eastAsia" w:ascii="仿宋_GB2312" w:hAnsi="仿宋_GB2312" w:eastAsia="仿宋_GB2312" w:cs="仿宋_GB2312"/>
          <w:color w:val="auto"/>
          <w:sz w:val="32"/>
          <w:szCs w:val="32"/>
          <w:lang w:val="zh-CN"/>
        </w:rPr>
        <w:t>预算数的主要原因是</w:t>
      </w:r>
      <w:r>
        <w:rPr>
          <w:rFonts w:hint="eastAsia" w:ascii="仿宋_GB2312" w:hAnsi="仿宋_GB2312" w:eastAsia="仿宋_GB2312" w:cs="仿宋_GB2312"/>
          <w:color w:val="auto"/>
          <w:sz w:val="32"/>
          <w:szCs w:val="32"/>
          <w:lang w:val="en-US" w:eastAsia="zh-CN"/>
        </w:rPr>
        <w:t>项目及人员减少</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en-US" w:eastAsia="zh-CN"/>
        </w:rPr>
        <w:t>3</w:t>
      </w:r>
      <w:r>
        <w:rPr>
          <w:rFonts w:hint="eastAsia" w:ascii="仿宋_GB2312" w:hAnsi="仿宋_GB2312" w:eastAsia="仿宋_GB2312" w:cs="仿宋_GB2312"/>
          <w:b/>
          <w:color w:val="auto"/>
          <w:sz w:val="32"/>
          <w:szCs w:val="32"/>
          <w:lang w:val="zh-CN"/>
        </w:rPr>
        <w:t>.卫生健康支出</w:t>
      </w:r>
      <w:r>
        <w:rPr>
          <w:rFonts w:hint="eastAsia" w:ascii="仿宋_GB2312" w:hAnsi="仿宋_GB2312" w:eastAsia="仿宋_GB2312" w:cs="仿宋_GB2312"/>
          <w:color w:val="auto"/>
          <w:sz w:val="32"/>
          <w:szCs w:val="32"/>
          <w:lang w:val="zh-CN"/>
        </w:rPr>
        <w:t>年初预算数为</w:t>
      </w:r>
      <w:r>
        <w:rPr>
          <w:rFonts w:hint="eastAsia" w:ascii="仿宋_GB2312" w:hAnsi="黑体" w:eastAsia="仿宋_GB2312"/>
          <w:color w:val="auto"/>
          <w:sz w:val="32"/>
          <w:szCs w:val="32"/>
          <w:highlight w:val="none"/>
          <w:lang w:val="en-US" w:eastAsia="zh-CN"/>
        </w:rPr>
        <w:t>98.78</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44.58</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45.13</w:t>
      </w:r>
      <w:r>
        <w:rPr>
          <w:rFonts w:hint="eastAsia" w:ascii="仿宋_GB2312" w:hAnsi="仿宋_GB2312" w:eastAsia="仿宋_GB2312" w:cs="仿宋_GB2312"/>
          <w:color w:val="auto"/>
          <w:sz w:val="32"/>
          <w:szCs w:val="32"/>
          <w:lang w:val="zh-CN"/>
        </w:rPr>
        <w:t>%,决算数</w:t>
      </w:r>
      <w:r>
        <w:rPr>
          <w:rFonts w:hint="eastAsia" w:ascii="仿宋_GB2312" w:hAnsi="仿宋_GB2312" w:eastAsia="仿宋_GB2312" w:cs="仿宋_GB2312"/>
          <w:color w:val="auto"/>
          <w:sz w:val="32"/>
          <w:szCs w:val="32"/>
          <w:lang w:val="en-US" w:eastAsia="zh-CN"/>
        </w:rPr>
        <w:t>小于</w:t>
      </w:r>
      <w:r>
        <w:rPr>
          <w:rFonts w:hint="eastAsia" w:ascii="仿宋_GB2312" w:hAnsi="仿宋_GB2312" w:eastAsia="仿宋_GB2312" w:cs="仿宋_GB2312"/>
          <w:color w:val="auto"/>
          <w:sz w:val="32"/>
          <w:szCs w:val="32"/>
          <w:lang w:val="zh-CN"/>
        </w:rPr>
        <w:t>预算数的主要原因是</w:t>
      </w:r>
      <w:r>
        <w:rPr>
          <w:rFonts w:hint="eastAsia" w:ascii="仿宋_GB2312" w:hAnsi="仿宋_GB2312" w:eastAsia="仿宋_GB2312" w:cs="仿宋_GB2312"/>
          <w:color w:val="auto"/>
          <w:sz w:val="32"/>
          <w:szCs w:val="32"/>
          <w:lang w:val="en-US" w:eastAsia="zh-CN"/>
        </w:rPr>
        <w:t>项目及人员减少</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en-US" w:eastAsia="zh-CN"/>
        </w:rPr>
        <w:t>4</w:t>
      </w:r>
      <w:r>
        <w:rPr>
          <w:rFonts w:hint="eastAsia" w:ascii="仿宋_GB2312" w:hAnsi="仿宋_GB2312" w:eastAsia="仿宋_GB2312" w:cs="仿宋_GB2312"/>
          <w:b/>
          <w:color w:val="auto"/>
          <w:sz w:val="32"/>
          <w:szCs w:val="32"/>
          <w:lang w:val="zh-CN"/>
        </w:rPr>
        <w:t>.农林水支出</w:t>
      </w:r>
      <w:r>
        <w:rPr>
          <w:rFonts w:hint="eastAsia" w:ascii="仿宋_GB2312" w:hAnsi="仿宋_GB2312" w:eastAsia="仿宋_GB2312" w:cs="仿宋_GB2312"/>
          <w:color w:val="auto"/>
          <w:sz w:val="32"/>
          <w:szCs w:val="32"/>
          <w:lang w:val="zh-CN"/>
        </w:rPr>
        <w:t>年初预算数为</w:t>
      </w:r>
      <w:r>
        <w:rPr>
          <w:rFonts w:hint="eastAsia" w:ascii="仿宋_GB2312" w:hAnsi="黑体" w:eastAsia="仿宋_GB2312"/>
          <w:color w:val="auto"/>
          <w:sz w:val="32"/>
          <w:szCs w:val="32"/>
          <w:highlight w:val="none"/>
          <w:lang w:val="en-US" w:eastAsia="zh-CN"/>
        </w:rPr>
        <w:t>1223.65</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8071.41</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659.61</w:t>
      </w:r>
      <w:r>
        <w:rPr>
          <w:rFonts w:hint="eastAsia" w:ascii="仿宋_GB2312" w:hAnsi="仿宋_GB2312" w:eastAsia="仿宋_GB2312" w:cs="仿宋_GB2312"/>
          <w:color w:val="auto"/>
          <w:sz w:val="32"/>
          <w:szCs w:val="32"/>
          <w:lang w:val="zh-CN"/>
        </w:rPr>
        <w:t>%,决算数大于预算数的主要原因是</w:t>
      </w:r>
      <w:r>
        <w:rPr>
          <w:rFonts w:hint="eastAsia" w:ascii="仿宋_GB2312" w:hAnsi="仿宋_GB2312" w:eastAsia="仿宋_GB2312" w:cs="仿宋_GB2312"/>
          <w:color w:val="auto"/>
          <w:sz w:val="32"/>
          <w:szCs w:val="32"/>
          <w:lang w:val="en-US" w:eastAsia="zh-CN"/>
        </w:rPr>
        <w:t>项目及人员增加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en-US" w:eastAsia="zh-CN"/>
        </w:rPr>
        <w:t>5</w:t>
      </w:r>
      <w:r>
        <w:rPr>
          <w:rFonts w:hint="eastAsia" w:ascii="仿宋_GB2312" w:hAnsi="仿宋_GB2312" w:eastAsia="仿宋_GB2312" w:cs="仿宋_GB2312"/>
          <w:b/>
          <w:color w:val="auto"/>
          <w:sz w:val="32"/>
          <w:szCs w:val="32"/>
          <w:lang w:val="zh-CN"/>
        </w:rPr>
        <w:t>.自然资源海洋气象等支出</w:t>
      </w:r>
      <w:r>
        <w:rPr>
          <w:rFonts w:hint="eastAsia" w:ascii="仿宋_GB2312" w:hAnsi="仿宋_GB2312" w:eastAsia="仿宋_GB2312" w:cs="仿宋_GB2312"/>
          <w:color w:val="auto"/>
          <w:sz w:val="32"/>
          <w:szCs w:val="32"/>
          <w:lang w:val="zh-CN"/>
        </w:rPr>
        <w:t>年初预算数为</w:t>
      </w:r>
      <w:r>
        <w:rPr>
          <w:rFonts w:hint="eastAsia" w:ascii="仿宋_GB2312" w:hAnsi="黑体" w:eastAsia="仿宋_GB2312"/>
          <w:color w:val="auto"/>
          <w:sz w:val="32"/>
          <w:szCs w:val="32"/>
          <w:highlight w:val="none"/>
          <w:lang w:val="en-US" w:eastAsia="zh-CN"/>
        </w:rPr>
        <w:t>1232.67</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6786.37</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550.54</w:t>
      </w:r>
      <w:r>
        <w:rPr>
          <w:rFonts w:hint="eastAsia" w:ascii="仿宋_GB2312" w:hAnsi="仿宋_GB2312" w:eastAsia="仿宋_GB2312" w:cs="仿宋_GB2312"/>
          <w:color w:val="auto"/>
          <w:sz w:val="32"/>
          <w:szCs w:val="32"/>
          <w:lang w:val="zh-CN"/>
        </w:rPr>
        <w:t>%,决算数大于预算数的</w:t>
      </w:r>
      <w:r>
        <w:rPr>
          <w:rFonts w:hint="eastAsia" w:ascii="仿宋_GB2312" w:hAnsi="仿宋_GB2312" w:eastAsia="仿宋_GB2312" w:cs="仿宋_GB2312"/>
          <w:color w:val="auto"/>
          <w:sz w:val="32"/>
          <w:szCs w:val="32"/>
          <w:highlight w:val="white"/>
          <w:lang w:val="zh-CN"/>
        </w:rPr>
        <w:t>主要原因是</w:t>
      </w:r>
      <w:r>
        <w:rPr>
          <w:rFonts w:hint="eastAsia" w:ascii="仿宋_GB2312" w:hAnsi="仿宋_GB2312" w:eastAsia="仿宋_GB2312" w:cs="仿宋_GB2312"/>
          <w:color w:val="auto"/>
          <w:sz w:val="32"/>
          <w:szCs w:val="32"/>
          <w:lang w:val="en-US" w:eastAsia="zh-CN"/>
        </w:rPr>
        <w:t>项目及人员增加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en-US" w:eastAsia="zh-CN"/>
        </w:rPr>
        <w:t>6</w:t>
      </w:r>
      <w:r>
        <w:rPr>
          <w:rFonts w:hint="eastAsia" w:ascii="仿宋_GB2312" w:hAnsi="仿宋_GB2312" w:eastAsia="仿宋_GB2312" w:cs="仿宋_GB2312"/>
          <w:b/>
          <w:color w:val="auto"/>
          <w:sz w:val="32"/>
          <w:szCs w:val="32"/>
          <w:lang w:val="zh-CN"/>
        </w:rPr>
        <w:t>.住房保障支出</w:t>
      </w:r>
      <w:r>
        <w:rPr>
          <w:rFonts w:hint="eastAsia" w:ascii="仿宋_GB2312" w:hAnsi="仿宋_GB2312" w:eastAsia="仿宋_GB2312" w:cs="仿宋_GB2312"/>
          <w:color w:val="auto"/>
          <w:sz w:val="32"/>
          <w:szCs w:val="32"/>
          <w:lang w:val="zh-CN"/>
        </w:rPr>
        <w:t>年初预算数为</w:t>
      </w:r>
      <w:r>
        <w:rPr>
          <w:rFonts w:hint="eastAsia" w:ascii="仿宋_GB2312" w:hAnsi="黑体" w:eastAsia="仿宋_GB2312"/>
          <w:color w:val="auto"/>
          <w:sz w:val="32"/>
          <w:szCs w:val="32"/>
          <w:highlight w:val="none"/>
          <w:lang w:val="en-US" w:eastAsia="zh-CN"/>
        </w:rPr>
        <w:t>177.54</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83.43</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46.00</w:t>
      </w:r>
      <w:r>
        <w:rPr>
          <w:rFonts w:hint="eastAsia" w:ascii="仿宋_GB2312" w:hAnsi="仿宋_GB2312" w:eastAsia="仿宋_GB2312" w:cs="仿宋_GB2312"/>
          <w:color w:val="auto"/>
          <w:sz w:val="32"/>
          <w:szCs w:val="32"/>
          <w:lang w:val="zh-CN"/>
        </w:rPr>
        <w:t>%,决算数小于预算数的主要原因是</w:t>
      </w:r>
      <w:r>
        <w:rPr>
          <w:rFonts w:hint="eastAsia" w:ascii="仿宋_GB2312" w:hAnsi="仿宋_GB2312" w:eastAsia="仿宋_GB2312" w:cs="仿宋_GB2312"/>
          <w:color w:val="auto"/>
          <w:sz w:val="32"/>
          <w:szCs w:val="32"/>
          <w:lang w:val="en-US" w:eastAsia="zh-CN"/>
        </w:rPr>
        <w:t>项目及人员减少</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en-US" w:eastAsia="zh-CN"/>
        </w:rPr>
        <w:t>7</w:t>
      </w:r>
      <w:r>
        <w:rPr>
          <w:rFonts w:hint="eastAsia" w:ascii="仿宋_GB2312" w:hAnsi="仿宋_GB2312" w:eastAsia="仿宋_GB2312" w:cs="仿宋_GB2312"/>
          <w:b/>
          <w:color w:val="auto"/>
          <w:sz w:val="32"/>
          <w:szCs w:val="32"/>
          <w:lang w:val="zh-CN"/>
        </w:rPr>
        <w:t>.灾害防治及应急管理支出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26511.9</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265.11</w:t>
      </w:r>
      <w:r>
        <w:rPr>
          <w:rFonts w:hint="eastAsia" w:ascii="仿宋_GB2312" w:hAnsi="仿宋_GB2312" w:eastAsia="仿宋_GB2312" w:cs="仿宋_GB2312"/>
          <w:color w:val="auto"/>
          <w:sz w:val="32"/>
          <w:szCs w:val="32"/>
          <w:lang w:val="zh-CN"/>
        </w:rPr>
        <w:t>%,决算数大于预算数的主要原因是</w:t>
      </w:r>
      <w:r>
        <w:rPr>
          <w:rFonts w:hint="eastAsia" w:ascii="仿宋_GB2312" w:hAnsi="仿宋_GB2312" w:eastAsia="仿宋_GB2312" w:cs="仿宋_GB2312"/>
          <w:color w:val="auto"/>
          <w:sz w:val="32"/>
          <w:szCs w:val="32"/>
          <w:lang w:val="en-US" w:eastAsia="zh-CN"/>
        </w:rPr>
        <w:t>项目增加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2022年度一般公共预算财政拨款基本支出1400</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90</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rPr>
        <w:t>万元。其中：</w:t>
      </w:r>
      <w:r>
        <w:rPr>
          <w:rFonts w:hint="eastAsia" w:ascii="仿宋_GB2312" w:hAnsi="仿宋_GB2312" w:eastAsia="仿宋_GB2312" w:cs="仿宋_GB2312"/>
          <w:b/>
          <w:color w:val="auto"/>
          <w:sz w:val="32"/>
          <w:szCs w:val="32"/>
          <w:lang w:val="zh-CN"/>
        </w:rPr>
        <w:t>人员经费</w:t>
      </w:r>
      <w:r>
        <w:rPr>
          <w:rFonts w:hint="eastAsia" w:ascii="仿宋_GB2312" w:hAnsi="仿宋_GB2312" w:eastAsia="仿宋_GB2312" w:cs="仿宋_GB2312"/>
          <w:color w:val="auto"/>
          <w:sz w:val="32"/>
          <w:szCs w:val="32"/>
          <w:lang w:val="en-US" w:eastAsia="zh-CN"/>
        </w:rPr>
        <w:t>11854274.23</w:t>
      </w:r>
      <w:r>
        <w:rPr>
          <w:rFonts w:hint="eastAsia" w:ascii="仿宋_GB2312" w:hAnsi="仿宋_GB2312" w:eastAsia="仿宋_GB2312" w:cs="仿宋_GB2312"/>
          <w:color w:val="auto"/>
          <w:sz w:val="32"/>
          <w:szCs w:val="32"/>
          <w:lang w:val="zh-CN"/>
        </w:rPr>
        <w:t>万元,较上年决算数增加165</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6</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rPr>
        <w:t>万元,增长</w:t>
      </w:r>
      <w:r>
        <w:rPr>
          <w:rFonts w:hint="eastAsia" w:ascii="仿宋_GB2312" w:hAnsi="仿宋_GB2312" w:eastAsia="仿宋_GB2312" w:cs="仿宋_GB2312"/>
          <w:color w:val="auto"/>
          <w:sz w:val="32"/>
          <w:szCs w:val="32"/>
          <w:lang w:val="en-US" w:eastAsia="zh-CN"/>
        </w:rPr>
        <w:t>16.24</w:t>
      </w:r>
      <w:r>
        <w:rPr>
          <w:rFonts w:hint="eastAsia" w:ascii="仿宋_GB2312" w:hAnsi="仿宋_GB2312" w:eastAsia="仿宋_GB2312" w:cs="仿宋_GB2312"/>
          <w:color w:val="auto"/>
          <w:sz w:val="32"/>
          <w:szCs w:val="32"/>
          <w:lang w:val="zh-CN"/>
        </w:rPr>
        <w:t>%,主要原因是</w:t>
      </w:r>
      <w:r>
        <w:rPr>
          <w:rFonts w:hint="eastAsia" w:ascii="仿宋_GB2312" w:hAnsi="仿宋_GB2312" w:eastAsia="仿宋_GB2312" w:cs="仿宋_GB2312"/>
          <w:color w:val="auto"/>
          <w:sz w:val="32"/>
          <w:szCs w:val="32"/>
          <w:lang w:val="en-US" w:eastAsia="zh-CN"/>
        </w:rPr>
        <w:t>人员增加</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zh-CN"/>
        </w:rPr>
        <w:t>人员经费用途主要包括基本工资、津贴补贴、奖金、社会保障缴费</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公用经费2,154,787.10</w:t>
      </w:r>
      <w:r>
        <w:rPr>
          <w:rFonts w:hint="eastAsia" w:ascii="仿宋_GB2312" w:hAnsi="仿宋_GB2312" w:eastAsia="仿宋_GB2312" w:cs="仿宋_GB2312"/>
          <w:color w:val="auto"/>
          <w:sz w:val="32"/>
          <w:szCs w:val="32"/>
          <w:lang w:val="zh-CN"/>
        </w:rPr>
        <w:t>万元,较上年决算数减少</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zh-CN"/>
        </w:rPr>
        <w:t>46</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5</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val="zh-CN"/>
        </w:rPr>
        <w:t>万元,下降61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6</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val="zh-CN"/>
        </w:rPr>
        <w:t>%,主要原因是</w:t>
      </w:r>
      <w:r>
        <w:rPr>
          <w:rFonts w:hint="eastAsia" w:ascii="仿宋_GB2312" w:hAnsi="仿宋_GB2312" w:eastAsia="仿宋_GB2312" w:cs="仿宋_GB2312"/>
          <w:color w:val="auto"/>
          <w:sz w:val="32"/>
          <w:szCs w:val="32"/>
          <w:lang w:val="en-US" w:eastAsia="zh-CN"/>
        </w:rPr>
        <w:t>项目减少</w:t>
      </w:r>
      <w:r>
        <w:rPr>
          <w:rFonts w:hint="eastAsia" w:ascii="仿宋_GB2312" w:hAnsi="仿宋_GB2312" w:eastAsia="仿宋_GB2312" w:cs="仿宋_GB2312"/>
          <w:color w:val="auto"/>
          <w:sz w:val="32"/>
          <w:szCs w:val="32"/>
          <w:lang w:val="zh-CN"/>
        </w:rPr>
        <w:t>。公用经费用途主要包括办公费、印刷费、咨询费、手续费</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en-US"/>
        </w:rPr>
        <w:t>七</w:t>
      </w:r>
      <w:r>
        <w:rPr>
          <w:rFonts w:hint="eastAsia" w:ascii="仿宋_GB2312" w:hAnsi="仿宋_GB2312" w:eastAsia="仿宋_GB2312" w:cs="仿宋_GB2312"/>
          <w:b/>
          <w:color w:val="auto"/>
          <w:sz w:val="32"/>
          <w:szCs w:val="32"/>
          <w:lang w:val="zh-CN"/>
        </w:rPr>
        <w:t>、机关运行经费支出情况说明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我单位2022年度无机关运行相关经费。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我单位2022年度无政府采购相关经费。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en-US"/>
        </w:rPr>
        <w:t>九</w:t>
      </w:r>
      <w:r>
        <w:rPr>
          <w:rFonts w:hint="eastAsia" w:ascii="仿宋_GB2312" w:hAnsi="仿宋_GB2312" w:eastAsia="仿宋_GB2312" w:cs="仿宋_GB2312"/>
          <w:b/>
          <w:color w:val="auto"/>
          <w:sz w:val="32"/>
          <w:szCs w:val="32"/>
          <w:lang w:val="zh-CN"/>
        </w:rPr>
        <w:t>、国有资产占用情况说明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截至2022年12月31日,本部门共有车辆</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kern w:val="2"/>
          <w:sz w:val="32"/>
          <w:szCs w:val="32"/>
          <w:lang w:val="zh-CN"/>
        </w:rPr>
      </w:pPr>
      <w:r>
        <w:rPr>
          <w:rFonts w:hint="eastAsia" w:ascii="仿宋_GB2312" w:hAnsi="仿宋_GB2312" w:eastAsia="仿宋_GB2312" w:cs="仿宋_GB2312"/>
          <w:color w:val="auto"/>
          <w:sz w:val="32"/>
          <w:szCs w:val="32"/>
          <w:lang w:val="en-US" w:eastAsia="zh-CN"/>
        </w:rPr>
        <w:t>2022年度政府性基金预算财政拨款年初结转结余1880.82万元，本年收入0万元，本年支出1880.82万元，年末结转和结余0</w:t>
      </w:r>
      <w:r>
        <w:rPr>
          <w:rFonts w:hint="eastAsia" w:ascii="仿宋_GB2312" w:hAnsi="仿宋_GB2312" w:eastAsia="仿宋_GB2312" w:cs="仿宋_GB2312"/>
          <w:color w:val="auto"/>
          <w:kern w:val="2"/>
          <w:sz w:val="32"/>
          <w:szCs w:val="32"/>
          <w:lang w:val="zh-CN"/>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宋体" w:asciiTheme="minorHAnsi" w:hAnsiTheme="minorHAnsi" w:cstheme="minorBidi"/>
          <w:color w:val="auto"/>
          <w:kern w:val="2"/>
          <w:sz w:val="21"/>
          <w:lang w:val="zh-CN"/>
        </w:rPr>
      </w:pPr>
      <w:r>
        <w:rPr>
          <w:rFonts w:hint="eastAsia" w:ascii="仿宋_GB2312" w:hAnsi="仿宋_GB2312" w:eastAsia="仿宋_GB2312" w:cs="仿宋_GB2312"/>
          <w:b/>
          <w:color w:val="auto"/>
          <w:sz w:val="32"/>
          <w:szCs w:val="32"/>
          <w:lang w:val="zh-CN"/>
        </w:rPr>
        <w:t>十</w:t>
      </w:r>
      <w:r>
        <w:rPr>
          <w:rFonts w:hint="eastAsia" w:ascii="仿宋_GB2312" w:hAnsi="仿宋_GB2312" w:eastAsia="仿宋_GB2312" w:cs="仿宋_GB2312"/>
          <w:b/>
          <w:color w:val="auto"/>
          <w:sz w:val="32"/>
          <w:szCs w:val="32"/>
          <w:lang w:val="en-US"/>
        </w:rPr>
        <w:t>一</w:t>
      </w:r>
      <w:r>
        <w:rPr>
          <w:rFonts w:hint="eastAsia" w:ascii="仿宋_GB2312" w:hAnsi="仿宋_GB2312" w:eastAsia="仿宋_GB2312" w:cs="仿宋_GB2312"/>
          <w:b/>
          <w:color w:val="auto"/>
          <w:sz w:val="32"/>
          <w:szCs w:val="32"/>
          <w:lang w:val="zh-CN"/>
        </w:rPr>
        <w:t>、国有资本经营预算财政拨款支出情况说明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本部门2022年度没有使用国有资本经营预算安排的支出。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en-US"/>
        </w:rPr>
        <w:t>十二</w:t>
      </w:r>
      <w:r>
        <w:rPr>
          <w:rFonts w:hint="eastAsia" w:ascii="仿宋_GB2312" w:hAnsi="仿宋_GB2312" w:eastAsia="仿宋_GB2312" w:cs="仿宋_GB2312"/>
          <w:b/>
          <w:color w:val="auto"/>
          <w:sz w:val="32"/>
          <w:szCs w:val="32"/>
          <w:lang w:val="zh-CN"/>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我单位属于</w:t>
      </w:r>
      <w:r>
        <w:rPr>
          <w:rFonts w:hint="eastAsia" w:ascii="仿宋_GB2312" w:hAnsi="仿宋_GB2312" w:eastAsia="仿宋_GB2312" w:cs="仿宋_GB2312"/>
          <w:color w:val="auto"/>
          <w:sz w:val="32"/>
          <w:szCs w:val="32"/>
          <w:lang w:val="en-US" w:eastAsia="zh-CN"/>
        </w:rPr>
        <w:t>行政单位</w:t>
      </w:r>
      <w:r>
        <w:rPr>
          <w:rFonts w:hint="eastAsia" w:ascii="仿宋_GB2312" w:hAnsi="仿宋_GB2312" w:eastAsia="仿宋_GB2312" w:cs="仿宋_GB2312"/>
          <w:color w:val="auto"/>
          <w:sz w:val="32"/>
          <w:szCs w:val="32"/>
          <w:lang w:val="zh-CN"/>
        </w:rPr>
        <w:t>,财政未保障我单位“三公”经费。”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本单位未开展预算绩效管理。</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以下为常见专业名词解释目录,仅供参考,部门应根据实际情况进行解释和增减。比如可将类级功能科目和经济科目细化解释到项级。若有删减注意调整段落序号。</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一、财政拨款收入</w:t>
      </w:r>
      <w:r>
        <w:rPr>
          <w:rFonts w:hint="eastAsia" w:ascii="仿宋_GB2312" w:hAnsi="仿宋_GB2312" w:eastAsia="仿宋_GB2312" w:cs="仿宋_GB2312"/>
          <w:color w:val="auto"/>
          <w:sz w:val="32"/>
          <w:szCs w:val="32"/>
          <w:lang w:val="zh-CN"/>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二、事业收入</w:t>
      </w:r>
      <w:r>
        <w:rPr>
          <w:rFonts w:hint="eastAsia" w:ascii="仿宋_GB2312" w:hAnsi="仿宋_GB2312" w:eastAsia="仿宋_GB2312" w:cs="仿宋_GB2312"/>
          <w:color w:val="auto"/>
          <w:sz w:val="32"/>
          <w:szCs w:val="32"/>
          <w:lang w:val="zh-CN"/>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三、经营收入</w:t>
      </w:r>
      <w:r>
        <w:rPr>
          <w:rFonts w:hint="eastAsia" w:ascii="仿宋_GB2312" w:hAnsi="仿宋_GB2312" w:eastAsia="仿宋_GB2312" w:cs="仿宋_GB2312"/>
          <w:color w:val="auto"/>
          <w:sz w:val="32"/>
          <w:szCs w:val="32"/>
          <w:lang w:val="zh-CN"/>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四、其他收入</w:t>
      </w:r>
      <w:r>
        <w:rPr>
          <w:rFonts w:hint="eastAsia" w:ascii="仿宋_GB2312" w:hAnsi="仿宋_GB2312" w:eastAsia="仿宋_GB2312" w:cs="仿宋_GB2312"/>
          <w:color w:val="auto"/>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五、年初结转和结余</w:t>
      </w:r>
      <w:r>
        <w:rPr>
          <w:rFonts w:hint="eastAsia" w:ascii="仿宋_GB2312" w:hAnsi="仿宋_GB2312" w:eastAsia="仿宋_GB2312" w:cs="仿宋_GB2312"/>
          <w:color w:val="auto"/>
          <w:sz w:val="32"/>
          <w:szCs w:val="32"/>
          <w:lang w:val="zh-CN"/>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六、结余分配</w:t>
      </w:r>
      <w:r>
        <w:rPr>
          <w:rFonts w:hint="eastAsia" w:ascii="仿宋_GB2312" w:hAnsi="仿宋_GB2312" w:eastAsia="仿宋_GB2312" w:cs="仿宋_GB2312"/>
          <w:color w:val="auto"/>
          <w:sz w:val="32"/>
          <w:szCs w:val="32"/>
          <w:lang w:val="zh-CN"/>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lang w:val="zh-CN"/>
        </w:rPr>
      </w:pPr>
      <w:r>
        <w:rPr>
          <w:rFonts w:hint="eastAsia" w:ascii="仿宋_GB2312" w:hAnsi="仿宋_GB2312" w:eastAsia="仿宋_GB2312" w:cs="仿宋_GB2312"/>
          <w:b/>
          <w:color w:val="auto"/>
          <w:sz w:val="32"/>
          <w:szCs w:val="32"/>
          <w:lang w:val="zh-CN"/>
        </w:rPr>
        <w:t>七、年末结转和结余</w:t>
      </w:r>
      <w:r>
        <w:rPr>
          <w:rFonts w:hint="eastAsia" w:ascii="仿宋_GB2312" w:hAnsi="仿宋_GB2312" w:eastAsia="仿宋_GB2312" w:cs="仿宋_GB2312"/>
          <w:color w:val="auto"/>
          <w:sz w:val="32"/>
          <w:szCs w:val="32"/>
          <w:lang w:val="zh-CN"/>
        </w:rPr>
        <w:t>：指单位结转下</w:t>
      </w:r>
      <w:bookmarkEnd w:id="0"/>
      <w:r>
        <w:rPr>
          <w:rFonts w:hint="eastAsia" w:ascii="仿宋_GB2312" w:hAnsi="仿宋_GB2312" w:eastAsia="仿宋_GB2312" w:cs="仿宋_GB2312"/>
          <w:color w:val="auto"/>
          <w:sz w:val="32"/>
          <w:szCs w:val="32"/>
          <w:lang w:val="zh-CN"/>
        </w:rPr>
        <w:t>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八、基本支出</w:t>
      </w:r>
      <w:r>
        <w:rPr>
          <w:rFonts w:hint="eastAsia" w:ascii="仿宋_GB2312" w:hAnsi="仿宋_GB2312" w:eastAsia="仿宋_GB2312" w:cs="仿宋_GB2312"/>
          <w:color w:val="auto"/>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九、项目支出</w:t>
      </w:r>
      <w:r>
        <w:rPr>
          <w:rFonts w:hint="eastAsia" w:ascii="仿宋_GB2312" w:hAnsi="仿宋_GB2312" w:eastAsia="仿宋_GB2312" w:cs="仿宋_GB2312"/>
          <w:color w:val="auto"/>
          <w:sz w:val="32"/>
          <w:szCs w:val="32"/>
          <w:lang w:val="zh-CN"/>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十、经营支出</w:t>
      </w:r>
      <w:r>
        <w:rPr>
          <w:rFonts w:hint="eastAsia" w:ascii="仿宋_GB2312" w:hAnsi="仿宋_GB2312" w:eastAsia="仿宋_GB2312" w:cs="仿宋_GB2312"/>
          <w:color w:val="auto"/>
          <w:sz w:val="32"/>
          <w:szCs w:val="32"/>
          <w:lang w:val="zh-CN"/>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十一、“三公”经费</w:t>
      </w:r>
      <w:r>
        <w:rPr>
          <w:rFonts w:hint="eastAsia" w:ascii="仿宋_GB2312" w:hAnsi="仿宋_GB2312" w:eastAsia="仿宋_GB2312" w:cs="仿宋_GB2312"/>
          <w:color w:val="auto"/>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十二、机关运行经费</w:t>
      </w:r>
      <w:r>
        <w:rPr>
          <w:rFonts w:hint="eastAsia" w:ascii="仿宋_GB2312" w:hAnsi="仿宋_GB2312" w:eastAsia="仿宋_GB2312" w:cs="仿宋_GB2312"/>
          <w:color w:val="auto"/>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十三、工资福利支出（支出经济分类科目类级）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十四、商品和服务支出（支出经济分类科目类级）：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十五、对个人和家庭的补助（支出经济分类科目类级）：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十六、其他资本性支出（支出经济分类科目类级）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十七、用事业基金弥补收支差额：</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（注：本部分至少应包含以上信息，不得删减。）</w:t>
      </w: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F91EDD"/>
    <w:multiLevelType w:val="singleLevel"/>
    <w:tmpl w:val="07F91ED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mYjFiYjZlMTllMTYyZTJjNzY4YmE5MTI3ODgyMzUifQ=="/>
  </w:docVars>
  <w:rsids>
    <w:rsidRoot w:val="00000000"/>
    <w:rsid w:val="02AA4B1F"/>
    <w:rsid w:val="0D386A9E"/>
    <w:rsid w:val="11B25539"/>
    <w:rsid w:val="12A34BDD"/>
    <w:rsid w:val="1AD863F9"/>
    <w:rsid w:val="1C004440"/>
    <w:rsid w:val="302D2CFD"/>
    <w:rsid w:val="470E7B71"/>
    <w:rsid w:val="5D387615"/>
    <w:rsid w:val="69AA14E4"/>
    <w:rsid w:val="6F9277B6"/>
    <w:rsid w:val="776C2BD5"/>
    <w:rsid w:val="77925050"/>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10.xml"/><Relationship Id="rId23" Type="http://schemas.openxmlformats.org/officeDocument/2006/relationships/customXml" Target="../customXml/item9.xml"/><Relationship Id="rId22" Type="http://schemas.openxmlformats.org/officeDocument/2006/relationships/customXml" Target="../customXml/item8.xml"/><Relationship Id="rId21" Type="http://schemas.openxmlformats.org/officeDocument/2006/relationships/customXml" Target="../customXml/item7.xml"/><Relationship Id="rId20" Type="http://schemas.openxmlformats.org/officeDocument/2006/relationships/customXml" Target="../customXml/item6.xml"/><Relationship Id="rId2" Type="http://schemas.openxmlformats.org/officeDocument/2006/relationships/settings" Target="settings.xml"/><Relationship Id="rId19" Type="http://schemas.openxmlformats.org/officeDocument/2006/relationships/customXml" Target="../customXml/item5.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4.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7.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9f816721-a34c-4b38-8df9-8940ce05977f}">
  <ds:schemaRefs/>
</ds:datastoreItem>
</file>

<file path=customXml/itemProps2.xml><?xml version="1.0" encoding="utf-8"?>
<ds:datastoreItem xmlns:ds="http://schemas.openxmlformats.org/officeDocument/2006/customXml" ds:itemID="{1942c3e6-50fa-42e3-afb2-c9ca37f9532b}">
  <ds:schemaRefs/>
</ds:datastoreItem>
</file>

<file path=customXml/itemProps3.xml><?xml version="1.0" encoding="utf-8"?>
<ds:datastoreItem xmlns:ds="http://schemas.openxmlformats.org/officeDocument/2006/customXml" ds:itemID="{d598932f-d44b-446f-8f36-105025c3f829}">
  <ds:schemaRefs/>
</ds:datastoreItem>
</file>

<file path=customXml/itemProps4.xml><?xml version="1.0" encoding="utf-8"?>
<ds:datastoreItem xmlns:ds="http://schemas.openxmlformats.org/officeDocument/2006/customXml" ds:itemID="{dd9736f0-b4da-40c5-bb91-cccf845c036b}">
  <ds:schemaRefs/>
</ds:datastoreItem>
</file>

<file path=customXml/itemProps5.xml><?xml version="1.0" encoding="utf-8"?>
<ds:datastoreItem xmlns:ds="http://schemas.openxmlformats.org/officeDocument/2006/customXml" ds:itemID="{d38ddf7c-f42f-4139-a6d5-4c272742fb01}">
  <ds:schemaRefs/>
</ds:datastoreItem>
</file>

<file path=customXml/itemProps6.xml><?xml version="1.0" encoding="utf-8"?>
<ds:datastoreItem xmlns:ds="http://schemas.openxmlformats.org/officeDocument/2006/customXml" ds:itemID="{5c862a0d-5a43-460c-b27d-6ae8edf896e5}">
  <ds:schemaRefs/>
</ds:datastoreItem>
</file>

<file path=customXml/itemProps7.xml><?xml version="1.0" encoding="utf-8"?>
<ds:datastoreItem xmlns:ds="http://schemas.openxmlformats.org/officeDocument/2006/customXml" ds:itemID="{65f361dc-07a0-4362-b527-b3db1c437bbe}">
  <ds:schemaRefs/>
</ds:datastoreItem>
</file>

<file path=customXml/itemProps8.xml><?xml version="1.0" encoding="utf-8"?>
<ds:datastoreItem xmlns:ds="http://schemas.openxmlformats.org/officeDocument/2006/customXml" ds:itemID="{9ebdd679-4610-4a7d-99c1-8a4128f5cebc}">
  <ds:schemaRefs/>
</ds:datastoreItem>
</file>

<file path=customXml/itemProps9.xml><?xml version="1.0" encoding="utf-8"?>
<ds:datastoreItem xmlns:ds="http://schemas.openxmlformats.org/officeDocument/2006/customXml" ds:itemID="{abd899ba-6e03-4791-9897-a1bbba214d3e}">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6956</Words>
  <Characters>7663</Characters>
  <Lines>0</Lines>
  <Paragraphs>0</Paragraphs>
  <TotalTime>12</TotalTime>
  <ScaleCrop>false</ScaleCrop>
  <LinksUpToDate>false</LinksUpToDate>
  <CharactersWithSpaces>7663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姓马的回回</cp:lastModifiedBy>
  <cp:lastPrinted>2023-08-18T07:47:00Z</cp:lastPrinted>
  <dcterms:modified xsi:type="dcterms:W3CDTF">2023-09-14T12:45:21Z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E155EAE4B7DD45CD8ECB07E0159948F1_13</vt:lpwstr>
  </property>
</Properties>
</file>