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bidi w:val="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附件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p>
    <w:p>
      <w:pPr>
        <w:spacing w:before="100" w:beforeLines="0" w:after="100" w:afterLines="0"/>
        <w:jc w:val="center"/>
        <w:rPr>
          <w:rFonts w:hint="eastAsia" w:ascii="宋体" w:hAnsi="宋体"/>
          <w:color w:val="000000" w:themeColor="text1"/>
          <w:sz w:val="24"/>
          <w:szCs w:val="24"/>
          <w:lang w:val="zh-CN"/>
          <w14:textFill>
            <w14:solidFill>
              <w14:schemeClr w14:val="tx1"/>
            </w14:solidFill>
          </w14:textFill>
        </w:rPr>
      </w:pPr>
    </w:p>
    <w:p>
      <w:pPr>
        <w:spacing w:before="100" w:beforeLines="0" w:after="100" w:afterLines="0"/>
        <w:jc w:val="center"/>
        <w:rPr>
          <w:rFonts w:hint="eastAsia" w:ascii="宋体" w:hAnsi="宋体"/>
          <w:color w:val="000000" w:themeColor="text1"/>
          <w:sz w:val="24"/>
          <w:szCs w:val="24"/>
          <w:lang w:val="zh-CN"/>
          <w14:textFill>
            <w14:solidFill>
              <w14:schemeClr w14:val="tx1"/>
            </w14:solidFill>
          </w14:textFill>
        </w:rPr>
      </w:pPr>
    </w:p>
    <w:p>
      <w:pPr>
        <w:spacing w:before="100" w:beforeLines="0" w:after="100" w:afterLines="0"/>
        <w:jc w:val="center"/>
        <w:rPr>
          <w:rFonts w:hint="eastAsia" w:ascii="宋体" w:hAnsi="宋体"/>
          <w:color w:val="000000" w:themeColor="text1"/>
          <w:sz w:val="24"/>
          <w:szCs w:val="24"/>
          <w:lang w:val="zh-CN"/>
          <w14:textFill>
            <w14:solidFill>
              <w14:schemeClr w14:val="tx1"/>
            </w14:solidFill>
          </w14:textFill>
        </w:rPr>
      </w:pPr>
    </w:p>
    <w:p>
      <w:pPr>
        <w:spacing w:before="100" w:beforeLines="0" w:after="100" w:afterLines="0"/>
        <w:jc w:val="center"/>
        <w:rPr>
          <w:rFonts w:hint="eastAsia" w:ascii="宋体" w:hAnsi="宋体"/>
          <w:color w:val="000000" w:themeColor="text1"/>
          <w:sz w:val="24"/>
          <w:szCs w:val="24"/>
          <w:lang w:val="zh-CN"/>
          <w14:textFill>
            <w14:solidFill>
              <w14:schemeClr w14:val="tx1"/>
            </w14:solidFill>
          </w14:textFill>
        </w:rPr>
      </w:pPr>
    </w:p>
    <w:p>
      <w:pPr>
        <w:spacing w:before="100" w:beforeLines="0" w:after="100" w:afterLines="0"/>
        <w:jc w:val="center"/>
        <w:rPr>
          <w:rFonts w:hint="eastAsia" w:ascii="宋体" w:hAnsi="宋体"/>
          <w:color w:val="000000" w:themeColor="text1"/>
          <w:sz w:val="24"/>
          <w:szCs w:val="24"/>
          <w:lang w:val="zh-CN"/>
          <w14:textFill>
            <w14:solidFill>
              <w14:schemeClr w14:val="tx1"/>
            </w14:solidFill>
          </w14:textFill>
        </w:rPr>
      </w:pPr>
    </w:p>
    <w:p>
      <w:pPr>
        <w:spacing w:before="100" w:beforeLines="0" w:after="100" w:afterLines="0"/>
        <w:jc w:val="center"/>
        <w:rPr>
          <w:rFonts w:hint="eastAsia" w:ascii="宋体" w:hAnsi="宋体"/>
          <w:color w:val="000000" w:themeColor="text1"/>
          <w:sz w:val="24"/>
          <w:szCs w:val="24"/>
          <w:lang w:val="zh-CN"/>
          <w14:textFill>
            <w14:solidFill>
              <w14:schemeClr w14:val="tx1"/>
            </w14:solidFill>
          </w14:textFill>
        </w:rPr>
      </w:pPr>
    </w:p>
    <w:p>
      <w:pPr>
        <w:spacing w:before="100" w:beforeLines="0" w:after="100" w:afterLines="0"/>
        <w:jc w:val="center"/>
        <w:rPr>
          <w:rFonts w:hint="eastAsia" w:ascii="宋体" w:hAnsi="宋体"/>
          <w:color w:val="000000" w:themeColor="text1"/>
          <w:sz w:val="24"/>
          <w:szCs w:val="24"/>
          <w:lang w:val="zh-CN"/>
          <w14:textFill>
            <w14:solidFill>
              <w14:schemeClr w14:val="tx1"/>
            </w14:solidFill>
          </w14:textFill>
        </w:rPr>
      </w:pPr>
    </w:p>
    <w:p>
      <w:pPr>
        <w:spacing w:before="100" w:beforeLines="0" w:after="100" w:afterLines="0"/>
        <w:jc w:val="center"/>
        <w:rPr>
          <w:rFonts w:hint="eastAsia" w:ascii="宋体" w:hAnsi="宋体"/>
          <w:color w:val="000000" w:themeColor="text1"/>
          <w:sz w:val="24"/>
          <w:szCs w:val="24"/>
          <w:lang w:val="zh-CN"/>
          <w14:textFill>
            <w14:solidFill>
              <w14:schemeClr w14:val="tx1"/>
            </w14:solidFill>
          </w14:textFill>
        </w:rPr>
      </w:pPr>
    </w:p>
    <w:p>
      <w:pPr>
        <w:spacing w:before="100" w:beforeLines="0" w:after="100" w:afterLines="0"/>
        <w:jc w:val="center"/>
        <w:rPr>
          <w:rFonts w:hint="eastAsia" w:ascii="宋体" w:hAnsi="宋体"/>
          <w:color w:val="000000" w:themeColor="text1"/>
          <w:sz w:val="24"/>
          <w:szCs w:val="24"/>
          <w:lang w:val="zh-CN"/>
          <w14:textFill>
            <w14:solidFill>
              <w14:schemeClr w14:val="tx1"/>
            </w14:solidFill>
          </w14:textFill>
        </w:rPr>
      </w:pPr>
    </w:p>
    <w:p>
      <w:pPr>
        <w:spacing w:before="100" w:beforeLines="0" w:after="100" w:afterLines="0"/>
        <w:jc w:val="center"/>
        <w:rPr>
          <w:rFonts w:hint="eastAsia" w:ascii="仿宋_GB2312" w:hAnsi="仿宋_GB2312" w:eastAsia="仿宋_GB2312" w:cs="仿宋_GB2312"/>
          <w:color w:val="000000" w:themeColor="text1"/>
          <w:sz w:val="32"/>
          <w:szCs w:val="32"/>
          <w:lang w:val="zh-CN"/>
          <w14:textFill>
            <w14:solidFill>
              <w14:schemeClr w14:val="tx1"/>
            </w14:solidFill>
          </w14:textFill>
        </w:rPr>
      </w:pPr>
    </w:p>
    <w:p>
      <w:pPr>
        <w:spacing w:before="100" w:beforeLines="0" w:after="100" w:afterLines="0"/>
        <w:jc w:val="center"/>
        <w:rPr>
          <w:rFonts w:hint="eastAsia" w:ascii="仿宋_GB2312" w:hAnsi="仿宋_GB2312" w:eastAsia="仿宋_GB2312" w:cs="仿宋_GB2312"/>
          <w:color w:val="000000" w:themeColor="text1"/>
          <w:sz w:val="32"/>
          <w:szCs w:val="32"/>
          <w:lang w:val="zh-CN"/>
          <w14:textFill>
            <w14:solidFill>
              <w14:schemeClr w14:val="tx1"/>
            </w14:solidFill>
          </w14:textFill>
        </w:rPr>
      </w:pPr>
    </w:p>
    <w:p>
      <w:pPr>
        <w:spacing w:before="100" w:beforeLines="0" w:after="100" w:afterLines="0"/>
        <w:jc w:val="center"/>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2022年度</w:t>
      </w:r>
    </w:p>
    <w:p>
      <w:pPr>
        <w:spacing w:before="100" w:beforeLines="0" w:after="100" w:afterLines="0"/>
        <w:jc w:val="center"/>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东乡族自治县劳务工作办公室</w:t>
      </w:r>
      <w:r>
        <w:rPr>
          <w:rFonts w:hint="eastAsia" w:ascii="仿宋_GB2312" w:hAnsi="仿宋_GB2312" w:eastAsia="仿宋_GB2312" w:cs="仿宋_GB2312"/>
          <w:color w:val="000000" w:themeColor="text1"/>
          <w:sz w:val="32"/>
          <w:szCs w:val="32"/>
          <w:lang w:val="zh-CN"/>
          <w14:textFill>
            <w14:solidFill>
              <w14:schemeClr w14:val="tx1"/>
            </w14:solidFill>
          </w14:textFill>
        </w:rPr>
        <w:t>部门决算情况说明</w:t>
      </w:r>
    </w:p>
    <w:p>
      <w:pPr>
        <w:spacing w:before="100" w:beforeLines="0" w:after="100" w:afterLines="0"/>
        <w:jc w:val="center"/>
        <w:rPr>
          <w:rFonts w:hint="eastAsia" w:ascii="仿宋_GB2312" w:hAnsi="仿宋_GB2312" w:eastAsia="仿宋_GB2312" w:cs="仿宋_GB2312"/>
          <w:color w:val="000000" w:themeColor="text1"/>
          <w:sz w:val="32"/>
          <w:szCs w:val="32"/>
          <w:lang w:val="zh-CN"/>
          <w14:textFill>
            <w14:solidFill>
              <w14:schemeClr w14:val="tx1"/>
            </w14:solidFill>
          </w14:textFill>
        </w:rPr>
      </w:pPr>
    </w:p>
    <w:p>
      <w:pPr>
        <w:spacing w:before="100" w:beforeLines="0" w:after="100" w:afterLines="0"/>
        <w:jc w:val="center"/>
        <w:rPr>
          <w:rFonts w:hint="eastAsia" w:ascii="仿宋_GB2312" w:hAnsi="仿宋_GB2312" w:eastAsia="仿宋_GB2312" w:cs="仿宋_GB2312"/>
          <w:color w:val="000000" w:themeColor="text1"/>
          <w:sz w:val="32"/>
          <w:szCs w:val="32"/>
          <w:lang w:val="zh-CN"/>
          <w14:textFill>
            <w14:solidFill>
              <w14:schemeClr w14:val="tx1"/>
            </w14:solidFill>
          </w14:textFill>
        </w:rPr>
      </w:pPr>
    </w:p>
    <w:p>
      <w:pPr>
        <w:spacing w:before="100" w:beforeLines="0" w:after="100" w:afterLines="0"/>
        <w:jc w:val="center"/>
        <w:rPr>
          <w:rFonts w:hint="eastAsia" w:ascii="仿宋_GB2312" w:hAnsi="仿宋_GB2312" w:eastAsia="仿宋_GB2312" w:cs="仿宋_GB2312"/>
          <w:color w:val="000000" w:themeColor="text1"/>
          <w:sz w:val="32"/>
          <w:szCs w:val="32"/>
          <w:lang w:val="zh-CN"/>
          <w14:textFill>
            <w14:solidFill>
              <w14:schemeClr w14:val="tx1"/>
            </w14:solidFill>
          </w14:textFill>
        </w:rPr>
      </w:pPr>
    </w:p>
    <w:p>
      <w:pPr>
        <w:spacing w:before="100" w:beforeLines="0" w:after="100" w:afterLines="0"/>
        <w:jc w:val="center"/>
        <w:rPr>
          <w:rFonts w:hint="eastAsia" w:ascii="仿宋_GB2312" w:hAnsi="仿宋_GB2312" w:eastAsia="仿宋_GB2312" w:cs="仿宋_GB2312"/>
          <w:color w:val="000000" w:themeColor="text1"/>
          <w:sz w:val="32"/>
          <w:szCs w:val="32"/>
          <w:lang w:val="zh-CN"/>
          <w14:textFill>
            <w14:solidFill>
              <w14:schemeClr w14:val="tx1"/>
            </w14:solidFill>
          </w14:textFill>
        </w:rPr>
      </w:pPr>
    </w:p>
    <w:p>
      <w:pPr>
        <w:spacing w:before="100" w:beforeLines="0" w:after="100" w:afterLines="0"/>
        <w:jc w:val="center"/>
        <w:rPr>
          <w:rFonts w:hint="eastAsia" w:ascii="仿宋_GB2312" w:hAnsi="仿宋_GB2312" w:eastAsia="仿宋_GB2312" w:cs="仿宋_GB2312"/>
          <w:color w:val="000000" w:themeColor="text1"/>
          <w:sz w:val="32"/>
          <w:szCs w:val="32"/>
          <w:lang w:val="zh-CN"/>
          <w14:textFill>
            <w14:solidFill>
              <w14:schemeClr w14:val="tx1"/>
            </w14:solidFill>
          </w14:textFill>
        </w:rPr>
      </w:pPr>
    </w:p>
    <w:p>
      <w:pPr>
        <w:spacing w:before="100" w:beforeLines="0" w:after="100" w:afterLines="0"/>
        <w:jc w:val="center"/>
        <w:rPr>
          <w:rFonts w:hint="eastAsia" w:ascii="仿宋_GB2312" w:hAnsi="仿宋_GB2312" w:eastAsia="仿宋_GB2312" w:cs="仿宋_GB2312"/>
          <w:color w:val="000000" w:themeColor="text1"/>
          <w:sz w:val="32"/>
          <w:szCs w:val="32"/>
          <w:lang w:val="zh-CN"/>
          <w14:textFill>
            <w14:solidFill>
              <w14:schemeClr w14:val="tx1"/>
            </w14:solidFill>
          </w14:textFill>
        </w:rPr>
      </w:pPr>
    </w:p>
    <w:p>
      <w:pPr>
        <w:spacing w:before="100" w:beforeLines="0" w:after="100" w:afterLines="0"/>
        <w:jc w:val="both"/>
        <w:rPr>
          <w:rFonts w:hint="eastAsia" w:ascii="仿宋_GB2312" w:hAnsi="仿宋_GB2312" w:eastAsia="仿宋_GB2312" w:cs="仿宋_GB2312"/>
          <w:color w:val="000000" w:themeColor="text1"/>
          <w:sz w:val="32"/>
          <w:szCs w:val="32"/>
          <w:lang w:val="zh-CN"/>
          <w14:textFill>
            <w14:solidFill>
              <w14:schemeClr w14:val="tx1"/>
            </w14:solidFill>
          </w14:textFill>
        </w:rPr>
      </w:pPr>
    </w:p>
    <w:p>
      <w:pPr>
        <w:spacing w:before="100" w:beforeLines="0" w:after="100" w:afterLines="0"/>
        <w:jc w:val="both"/>
        <w:rPr>
          <w:rFonts w:hint="eastAsia" w:ascii="仿宋_GB2312" w:hAnsi="仿宋_GB2312" w:eastAsia="仿宋_GB2312" w:cs="仿宋_GB2312"/>
          <w:color w:val="000000" w:themeColor="text1"/>
          <w:sz w:val="32"/>
          <w:szCs w:val="32"/>
          <w:lang w:val="zh-CN"/>
          <w14:textFill>
            <w14:solidFill>
              <w14:schemeClr w14:val="tx1"/>
            </w14:solidFill>
          </w14:textFill>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目录</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第一部分部门（单位）概况</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一、部门（单位）职责</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二、机构设置</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第二部分2022年度部门决算表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一、收入支出决算总表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二、收入决算表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三、支出决算表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四、财政拨款收入支出决算总表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五、一般公共预算财政拨款支出决算表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九、财政拨款“三公”经费支出决算表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第三部分2022年度部门决算情况说明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一、收入支出决算总体情况说明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二、收入决算情况说明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三、支出决算情况说明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七、机关运行经费支出情况说明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八、政府采购支出情况说明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九、国有资产占用情况说明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十一、国有资本经营预算财政拨款支出情况说明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十二、财政拨款“三公”经费支出决算情况说明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第四部分预算绩效情况说明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第五部分名词解释</w:t>
      </w: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第一部分部门</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(单位）</w:t>
      </w:r>
      <w:r>
        <w:rPr>
          <w:rFonts w:hint="eastAsia" w:ascii="仿宋_GB2312" w:hAnsi="仿宋_GB2312" w:eastAsia="仿宋_GB2312" w:cs="仿宋_GB2312"/>
          <w:b/>
          <w:color w:val="000000" w:themeColor="text1"/>
          <w:sz w:val="32"/>
          <w:szCs w:val="32"/>
          <w:lang w:val="zh-CN"/>
          <w14:textFill>
            <w14:solidFill>
              <w14:schemeClr w14:val="tx1"/>
            </w14:solidFill>
          </w14:textFill>
        </w:rPr>
        <w:t>概况</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一、部门（单位））职责</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eastAsia="zh-CN"/>
          <w14:textFill>
            <w14:solidFill>
              <w14:schemeClr w14:val="tx1"/>
            </w14:solidFill>
          </w14:textFill>
        </w:rPr>
      </w:pPr>
      <w:r>
        <w:rPr>
          <w:rFonts w:hint="eastAsia" w:ascii="仿宋_GB2312" w:hAnsi="仿宋_GB2312" w:eastAsia="仿宋_GB2312" w:cs="仿宋_GB2312"/>
          <w:color w:val="000000" w:themeColor="text1"/>
          <w:sz w:val="32"/>
          <w:szCs w:val="32"/>
          <w:lang w:val="zh-CN" w:eastAsia="zh-CN"/>
          <w14:textFill>
            <w14:solidFill>
              <w14:schemeClr w14:val="tx1"/>
            </w14:solidFill>
          </w14:textFill>
        </w:rPr>
        <w:t>1、负责全县劳务工作的组织实施；负责县内劳动力资源的普查、登记、建档，掌握全县劳务力资源变化情况，做好劳务输出的跟踪服务和管理工作；负责各驻外办事处的指导与管理工作；负责全县务工证的发放管理工作；负责外来劳动力的组织管理。</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eastAsia="zh-CN"/>
          <w14:textFill>
            <w14:solidFill>
              <w14:schemeClr w14:val="tx1"/>
            </w14:solidFill>
          </w14:textFill>
        </w:rPr>
      </w:pPr>
      <w:r>
        <w:rPr>
          <w:rFonts w:hint="eastAsia" w:ascii="仿宋_GB2312" w:hAnsi="仿宋_GB2312" w:eastAsia="仿宋_GB2312" w:cs="仿宋_GB2312"/>
          <w:color w:val="000000" w:themeColor="text1"/>
          <w:sz w:val="32"/>
          <w:szCs w:val="32"/>
          <w:lang w:val="zh-CN" w:eastAsia="zh-CN"/>
          <w14:textFill>
            <w14:solidFill>
              <w14:schemeClr w14:val="tx1"/>
            </w14:solidFill>
          </w14:textFill>
        </w:rPr>
        <w:t>2、负责全县劳务培训工作，组织开展城乡劳动力、乡镇企业职工、下岗职工、城镇失业人员和返乡农民工职业技能培训、实用性技术培训、素质培训和创业就业培训。</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eastAsia="zh-CN"/>
          <w14:textFill>
            <w14:solidFill>
              <w14:schemeClr w14:val="tx1"/>
            </w14:solidFill>
          </w14:textFill>
        </w:rPr>
      </w:pPr>
      <w:r>
        <w:rPr>
          <w:rFonts w:hint="eastAsia" w:ascii="仿宋_GB2312" w:hAnsi="仿宋_GB2312" w:eastAsia="仿宋_GB2312" w:cs="仿宋_GB2312"/>
          <w:color w:val="000000" w:themeColor="text1"/>
          <w:sz w:val="32"/>
          <w:szCs w:val="32"/>
          <w:lang w:val="zh-CN" w:eastAsia="zh-CN"/>
          <w14:textFill>
            <w14:solidFill>
              <w14:schemeClr w14:val="tx1"/>
            </w14:solidFill>
          </w14:textFill>
        </w:rPr>
        <w:t>3、根据城乡劳动力和企业供求信息，开展职业指导、职业介绍和劳务输转。</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eastAsia="zh-CN"/>
          <w14:textFill>
            <w14:solidFill>
              <w14:schemeClr w14:val="tx1"/>
            </w14:solidFill>
          </w14:textFill>
        </w:rPr>
      </w:pPr>
      <w:r>
        <w:rPr>
          <w:rFonts w:hint="eastAsia" w:ascii="仿宋_GB2312" w:hAnsi="仿宋_GB2312" w:eastAsia="仿宋_GB2312" w:cs="仿宋_GB2312"/>
          <w:color w:val="000000" w:themeColor="text1"/>
          <w:sz w:val="32"/>
          <w:szCs w:val="32"/>
          <w:lang w:val="zh-CN" w:eastAsia="zh-CN"/>
          <w14:textFill>
            <w14:solidFill>
              <w14:schemeClr w14:val="tx1"/>
            </w14:solidFill>
          </w14:textFill>
        </w:rPr>
        <w:t>4、开展劳务派遣工作。</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二、机构设置</w:t>
      </w:r>
    </w:p>
    <w:p>
      <w:pPr>
        <w:keepLines w:val="0"/>
        <w:widowControl/>
        <w:snapToGrid/>
        <w:spacing w:before="0" w:beforeAutospacing="0" w:after="0" w:afterAutospacing="0" w:line="600" w:lineRule="exact"/>
        <w:ind w:firstLine="640" w:firstLineChars="200"/>
        <w:jc w:val="left"/>
        <w:textAlignment w:val="baseline"/>
        <w:rPr>
          <w:rFonts w:hint="eastAsia" w:ascii="宋体" w:hAnsi="宋体" w:cs="宋体"/>
          <w:b w:val="0"/>
          <w:i w:val="0"/>
          <w:caps w:val="0"/>
          <w:color w:val="000000" w:themeColor="text1"/>
          <w:spacing w:val="0"/>
          <w:w w:val="100"/>
          <w:kern w:val="0"/>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zh-CN" w:eastAsia="zh-CN"/>
          <w14:textFill>
            <w14:solidFill>
              <w14:schemeClr w14:val="tx1"/>
            </w14:solidFill>
          </w14:textFill>
        </w:rPr>
        <w:t>劳务办下设秘书股、培训股、宣传股、输转股、统计股、后勤股；单位共有在职人员</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40</w:t>
      </w:r>
      <w:r>
        <w:rPr>
          <w:rFonts w:hint="eastAsia" w:ascii="仿宋_GB2312" w:hAnsi="仿宋_GB2312" w:eastAsia="仿宋_GB2312" w:cs="仿宋_GB2312"/>
          <w:color w:val="000000" w:themeColor="text1"/>
          <w:sz w:val="32"/>
          <w:szCs w:val="32"/>
          <w:lang w:val="zh-CN" w:eastAsia="zh-CN"/>
          <w14:textFill>
            <w14:solidFill>
              <w14:schemeClr w14:val="tx1"/>
            </w14:solidFill>
          </w14:textFill>
        </w:rPr>
        <w:t>人，其中主任1名，副主任</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lang w:val="zh-CN" w:eastAsia="zh-CN"/>
          <w14:textFill>
            <w14:solidFill>
              <w14:schemeClr w14:val="tx1"/>
            </w14:solidFill>
          </w14:textFill>
        </w:rPr>
        <w:t>名，副主任科员1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7名</w:t>
      </w:r>
      <w:r>
        <w:rPr>
          <w:rFonts w:hint="eastAsia" w:ascii="仿宋_GB2312" w:hAnsi="仿宋_GB2312" w:eastAsia="仿宋_GB2312" w:cs="仿宋_GB2312"/>
          <w:color w:val="000000" w:themeColor="text1"/>
          <w:sz w:val="32"/>
          <w:szCs w:val="32"/>
          <w:lang w:val="zh-CN" w:eastAsia="zh-CN"/>
          <w14:textFill>
            <w14:solidFill>
              <w14:schemeClr w14:val="tx1"/>
            </w14:solidFill>
          </w14:textFill>
        </w:rPr>
        <w:t>一般干部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w:t>
      </w:r>
      <w:r>
        <w:rPr>
          <w:rFonts w:hint="eastAsia" w:ascii="仿宋_GB2312" w:hAnsi="仿宋_GB2312" w:eastAsia="仿宋_GB2312" w:cs="仿宋_GB2312"/>
          <w:color w:val="000000" w:themeColor="text1"/>
          <w:sz w:val="32"/>
          <w:szCs w:val="32"/>
          <w:lang w:val="zh-CN" w:eastAsia="zh-CN"/>
          <w14:textFill>
            <w14:solidFill>
              <w14:schemeClr w14:val="tx1"/>
            </w14:solidFill>
          </w14:textFill>
        </w:rPr>
        <w:t>名。单位执行行政单位会计制度。</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第二部分2022年度部门决算表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(见附件)</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一、收入支出决算总表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二、收入决算表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三、支出决算表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四、财政拨款收入支出决算总表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五、一般公共预算财政拨款支出决算表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九、财政拨款“三公”经费支出决算表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(若上述某个表为空表,请在表中备注：本部门没有相关数据,故本表无数据。)</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第三部分2022年度部门决算情况说明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一、收入支出决算总体情况说明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2022年度</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本部门（本单位）</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收入总计14676537.93元，支出总计14676537.93元，与2021年决算数相比，收入增加5521474.91元，增长60.31%，支出增加5521474.91元，增长60.31%。主要原因是支出补助项目增加，2022年公积金独立核算，工资晋升，养老医疗，住房公积金增加等</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二、收入决算情况说明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2022年度收入合计</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1467.653793</w:t>
      </w:r>
      <w:r>
        <w:rPr>
          <w:rFonts w:hint="eastAsia" w:ascii="仿宋_GB2312" w:hAnsi="仿宋_GB2312" w:eastAsia="仿宋_GB2312" w:cs="仿宋_GB2312"/>
          <w:color w:val="000000" w:themeColor="text1"/>
          <w:sz w:val="32"/>
          <w:szCs w:val="32"/>
          <w:lang w:val="zh-CN"/>
          <w14:textFill>
            <w14:solidFill>
              <w14:schemeClr w14:val="tx1"/>
            </w14:solidFill>
          </w14:textFill>
        </w:rPr>
        <w:t>万元,其中：财政拨款收入</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1467.653793</w:t>
      </w:r>
      <w:r>
        <w:rPr>
          <w:rFonts w:hint="eastAsia" w:ascii="仿宋_GB2312" w:hAnsi="仿宋_GB2312" w:eastAsia="仿宋_GB2312" w:cs="仿宋_GB2312"/>
          <w:color w:val="000000" w:themeColor="text1"/>
          <w:sz w:val="32"/>
          <w:szCs w:val="32"/>
          <w:lang w:val="zh-CN"/>
          <w14:textFill>
            <w14:solidFill>
              <w14:schemeClr w14:val="tx1"/>
            </w14:solidFill>
          </w14:textFill>
        </w:rPr>
        <w:t>万元,占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32"/>
          <w:lang w:val="zh-CN"/>
          <w14:textFill>
            <w14:solidFill>
              <w14:schemeClr w14:val="tx1"/>
            </w14:solidFill>
          </w14:textFill>
        </w:rPr>
        <w:t>%；</w:t>
      </w:r>
      <w:r>
        <w:rPr>
          <w:rFonts w:hint="eastAsia" w:ascii="仿宋_GB2312" w:hAnsi="仿宋_GB2312" w:eastAsia="仿宋_GB2312" w:cs="仿宋_GB2312"/>
          <w:color w:val="000000" w:themeColor="text1"/>
          <w:sz w:val="32"/>
          <w:szCs w:val="32"/>
          <w:lang w:val="en-US"/>
          <w14:textFill>
            <w14:solidFill>
              <w14:schemeClr w14:val="tx1"/>
            </w14:solidFill>
          </w14:textFill>
        </w:rPr>
        <w:t>上级补助</w:t>
      </w:r>
      <w:r>
        <w:rPr>
          <w:rFonts w:hint="eastAsia" w:ascii="仿宋_GB2312" w:hAnsi="仿宋_GB2312" w:eastAsia="仿宋_GB2312" w:cs="仿宋_GB2312"/>
          <w:color w:val="000000" w:themeColor="text1"/>
          <w:sz w:val="32"/>
          <w:szCs w:val="32"/>
          <w:lang w:val="zh-CN"/>
          <w14:textFill>
            <w14:solidFill>
              <w14:schemeClr w14:val="tx1"/>
            </w14:solidFill>
          </w14:textFill>
        </w:rPr>
        <w:t>收入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w:t>
      </w:r>
      <w:r>
        <w:rPr>
          <w:rFonts w:hint="eastAsia" w:ascii="仿宋_GB2312" w:hAnsi="仿宋_GB2312" w:eastAsia="仿宋_GB2312" w:cs="仿宋_GB2312"/>
          <w:color w:val="000000" w:themeColor="text1"/>
          <w:sz w:val="32"/>
          <w:szCs w:val="32"/>
          <w:lang w:val="en-US"/>
          <w14:textFill>
            <w14:solidFill>
              <w14:schemeClr w14:val="tx1"/>
            </w14:solidFill>
          </w14:textFill>
        </w:rPr>
        <w:t>事业</w:t>
      </w:r>
      <w:r>
        <w:rPr>
          <w:rFonts w:hint="eastAsia" w:ascii="仿宋_GB2312" w:hAnsi="仿宋_GB2312" w:eastAsia="仿宋_GB2312" w:cs="仿宋_GB2312"/>
          <w:color w:val="000000" w:themeColor="text1"/>
          <w:sz w:val="32"/>
          <w:szCs w:val="32"/>
          <w:lang w:val="zh-CN"/>
          <w14:textFill>
            <w14:solidFill>
              <w14:schemeClr w14:val="tx1"/>
            </w14:solidFill>
          </w14:textFill>
        </w:rPr>
        <w:t>收入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w:t>
      </w:r>
      <w:r>
        <w:rPr>
          <w:rFonts w:hint="eastAsia" w:ascii="仿宋_GB2312" w:hAnsi="仿宋_GB2312" w:eastAsia="仿宋_GB2312" w:cs="仿宋_GB2312"/>
          <w:color w:val="000000" w:themeColor="text1"/>
          <w:sz w:val="32"/>
          <w:szCs w:val="32"/>
          <w:lang w:val="en-US"/>
          <w14:textFill>
            <w14:solidFill>
              <w14:schemeClr w14:val="tx1"/>
            </w14:solidFill>
          </w14:textFill>
        </w:rPr>
        <w:t>经营</w:t>
      </w:r>
      <w:r>
        <w:rPr>
          <w:rFonts w:hint="eastAsia" w:ascii="仿宋_GB2312" w:hAnsi="仿宋_GB2312" w:eastAsia="仿宋_GB2312" w:cs="仿宋_GB2312"/>
          <w:color w:val="000000" w:themeColor="text1"/>
          <w:sz w:val="32"/>
          <w:szCs w:val="32"/>
          <w:lang w:val="zh-CN"/>
          <w14:textFill>
            <w14:solidFill>
              <w14:schemeClr w14:val="tx1"/>
            </w14:solidFill>
          </w14:textFill>
        </w:rPr>
        <w:t>收入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w:t>
      </w:r>
      <w:r>
        <w:rPr>
          <w:rFonts w:hint="eastAsia" w:ascii="仿宋_GB2312" w:hAnsi="仿宋_GB2312" w:eastAsia="仿宋_GB2312" w:cs="仿宋_GB2312"/>
          <w:color w:val="000000" w:themeColor="text1"/>
          <w:sz w:val="32"/>
          <w:szCs w:val="32"/>
          <w:lang w:val="en-US"/>
          <w14:textFill>
            <w14:solidFill>
              <w14:schemeClr w14:val="tx1"/>
            </w14:solidFill>
          </w14:textFill>
        </w:rPr>
        <w:t>附属单位上缴</w:t>
      </w:r>
      <w:r>
        <w:rPr>
          <w:rFonts w:hint="eastAsia" w:ascii="仿宋_GB2312" w:hAnsi="仿宋_GB2312" w:eastAsia="仿宋_GB2312" w:cs="仿宋_GB2312"/>
          <w:color w:val="000000" w:themeColor="text1"/>
          <w:sz w:val="32"/>
          <w:szCs w:val="32"/>
          <w:lang w:val="zh-CN"/>
          <w14:textFill>
            <w14:solidFill>
              <w14:schemeClr w14:val="tx1"/>
            </w14:solidFill>
          </w14:textFill>
        </w:rPr>
        <w:t>收入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w:t>
      </w:r>
      <w:r>
        <w:rPr>
          <w:rFonts w:hint="eastAsia" w:ascii="仿宋_GB2312" w:hAnsi="仿宋_GB2312" w:eastAsia="仿宋_GB2312" w:cs="仿宋_GB2312"/>
          <w:color w:val="000000" w:themeColor="text1"/>
          <w:sz w:val="32"/>
          <w:szCs w:val="32"/>
          <w:lang w:val="en-US"/>
          <w14:textFill>
            <w14:solidFill>
              <w14:schemeClr w14:val="tx1"/>
            </w14:solidFill>
          </w14:textFill>
        </w:rPr>
        <w:t>其他</w:t>
      </w:r>
      <w:r>
        <w:rPr>
          <w:rFonts w:hint="eastAsia" w:ascii="仿宋_GB2312" w:hAnsi="仿宋_GB2312" w:eastAsia="仿宋_GB2312" w:cs="仿宋_GB2312"/>
          <w:color w:val="000000" w:themeColor="text1"/>
          <w:sz w:val="32"/>
          <w:szCs w:val="32"/>
          <w:lang w:val="zh-CN"/>
          <w14:textFill>
            <w14:solidFill>
              <w14:schemeClr w14:val="tx1"/>
            </w14:solidFill>
          </w14:textFill>
        </w:rPr>
        <w:t>收入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三、支出决算情况说明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2022年度支出合计</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1467.653793</w:t>
      </w:r>
      <w:r>
        <w:rPr>
          <w:rFonts w:hint="eastAsia" w:ascii="仿宋_GB2312" w:hAnsi="仿宋_GB2312" w:eastAsia="仿宋_GB2312" w:cs="仿宋_GB2312"/>
          <w:color w:val="000000" w:themeColor="text1"/>
          <w:sz w:val="32"/>
          <w:szCs w:val="32"/>
          <w:lang w:val="zh-CN"/>
          <w14:textFill>
            <w14:solidFill>
              <w14:schemeClr w14:val="tx1"/>
            </w14:solidFill>
          </w14:textFill>
        </w:rPr>
        <w:t>万元,其中：基本支出</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1467.653793</w:t>
      </w:r>
      <w:r>
        <w:rPr>
          <w:rFonts w:hint="eastAsia" w:ascii="仿宋_GB2312" w:hAnsi="仿宋_GB2312" w:eastAsia="仿宋_GB2312" w:cs="仿宋_GB2312"/>
          <w:color w:val="000000" w:themeColor="text1"/>
          <w:sz w:val="32"/>
          <w:szCs w:val="32"/>
          <w:lang w:val="zh-CN"/>
          <w14:textFill>
            <w14:solidFill>
              <w14:schemeClr w14:val="tx1"/>
            </w14:solidFill>
          </w14:textFill>
        </w:rPr>
        <w:t>万元,占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32"/>
          <w:lang w:val="zh-CN"/>
          <w14:textFill>
            <w14:solidFill>
              <w14:schemeClr w14:val="tx1"/>
            </w14:solidFill>
          </w14:textFill>
        </w:rPr>
        <w:t>%；项目支出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%；上缴上级支出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%；经营支出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%；对附属单位补助支出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本部门（本单位）</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202</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年度财政拨款收入</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14676537.93</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元，较上年决算数</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增加5521474.91元，增长60.31%。主要原因是支出补助项目增加，2022年公积金独立核算，工资晋升，养老医疗，住房公积金增加等</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2022年度一般公共预算财政拨款支出</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1467.653793</w:t>
      </w:r>
      <w:r>
        <w:rPr>
          <w:rFonts w:hint="eastAsia" w:ascii="仿宋_GB2312" w:hAnsi="仿宋_GB2312" w:eastAsia="仿宋_GB2312" w:cs="仿宋_GB2312"/>
          <w:color w:val="000000" w:themeColor="text1"/>
          <w:sz w:val="32"/>
          <w:szCs w:val="32"/>
          <w:lang w:val="zh-CN"/>
          <w14:textFill>
            <w14:solidFill>
              <w14:schemeClr w14:val="tx1"/>
            </w14:solidFill>
          </w14:textFill>
        </w:rPr>
        <w:t>万元,较上年决算数</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增加552.147491元，增长60.31%，主要原因是支出补助项目增加</w:t>
      </w:r>
      <w:r>
        <w:rPr>
          <w:rFonts w:hint="eastAsia" w:ascii="仿宋_GB2312" w:hAnsi="仿宋_GB2312" w:eastAsia="仿宋_GB2312" w:cs="仿宋_GB2312"/>
          <w:color w:val="000000" w:themeColor="text1"/>
          <w:sz w:val="32"/>
          <w:szCs w:val="32"/>
          <w:lang w:val="zh-CN"/>
          <w14:textFill>
            <w14:solidFill>
              <w14:schemeClr w14:val="tx1"/>
            </w14:solidFill>
          </w14:textFill>
        </w:rPr>
        <w:t>。主要用于以下几个方面：</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1.一般公共服务支出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437.6139</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475.921777</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108.75</w:t>
      </w:r>
      <w:r>
        <w:rPr>
          <w:rFonts w:hint="eastAsia" w:ascii="仿宋_GB2312" w:hAnsi="仿宋_GB2312" w:eastAsia="仿宋_GB2312" w:cs="仿宋_GB2312"/>
          <w:color w:val="000000" w:themeColor="text1"/>
          <w:sz w:val="32"/>
          <w:szCs w:val="32"/>
          <w:lang w:val="zh-CN"/>
          <w14:textFill>
            <w14:solidFill>
              <w14:schemeClr w14:val="tx1"/>
            </w14:solidFill>
          </w14:textFill>
        </w:rPr>
        <w:t>%,决算数大于预算数的主要原因是项目补助增加。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2.外交支出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万元,完成年初预算的%,决算数小于预算数的主要原因是.....。</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3.国防支出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万元,完成年初预算的%,决算数小于预算数的主要原因是.....。</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4.公共安全支出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%,决算数大于预算数的主要原因是.....。</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5.教育支出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%,决算数大于预算数的主要原因是.....。</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6.科学技术支出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%,决算数大于预算数的主要原因是.....。</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7.文化旅游体育与传媒支出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%,决算数大于预算数的主要原因是....。</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8.社会保障和就业支出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48.035074</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50.244184</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104.6</w:t>
      </w:r>
      <w:r>
        <w:rPr>
          <w:rFonts w:hint="eastAsia" w:ascii="仿宋_GB2312" w:hAnsi="仿宋_GB2312" w:eastAsia="仿宋_GB2312" w:cs="仿宋_GB2312"/>
          <w:color w:val="000000" w:themeColor="text1"/>
          <w:sz w:val="32"/>
          <w:szCs w:val="32"/>
          <w:lang w:val="zh-CN"/>
          <w14:textFill>
            <w14:solidFill>
              <w14:schemeClr w14:val="tx1"/>
            </w14:solidFill>
          </w14:textFill>
        </w:rPr>
        <w:t>%,决算数大于预算数的主要原因是人员变动及工资增加。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9.卫生健康支出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19.726932</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19.726932</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32"/>
          <w:lang w:val="zh-CN"/>
          <w14:textFill>
            <w14:solidFill>
              <w14:schemeClr w14:val="tx1"/>
            </w14:solidFill>
          </w14:textFill>
        </w:rPr>
        <w:t>%,决算数大于预算数的主要原因是人员变动及工资增加。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10.节能环保支出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%,决算数大于预算数的主要原因是.....。</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11.城乡社区支出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%,决算数小于预算数的主要原因是.....。</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12.农林水支出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884.98</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32"/>
          <w:lang w:val="zh-CN"/>
          <w14:textFill>
            <w14:solidFill>
              <w14:schemeClr w14:val="tx1"/>
            </w14:solidFill>
          </w14:textFill>
        </w:rPr>
        <w:t>%,决算数大于预算数的主要原因是年初未列入预算年中增加补助项目。</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13.交通运输支出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%,决算数大于预算数的主要原因是.....。</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14.资源勘探工业信息等支出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%,决算数大于预算数的主要原因是.....。</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15.商业服务业等支出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%,决算数小于预算数的主要原因是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16.金融支出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%,决算数大于预算数的主要原因是.....。</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17.援助其他地区支出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万元,完成年初预算的%,决算数小于预算数的主要原因是.....。</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highlight w:val="red"/>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18.自然资源海洋气象等支出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%,决算数大于预算数的</w:t>
      </w:r>
      <w:r>
        <w:rPr>
          <w:rFonts w:hint="eastAsia" w:ascii="仿宋_GB2312" w:hAnsi="仿宋_GB2312" w:eastAsia="仿宋_GB2312" w:cs="仿宋_GB2312"/>
          <w:color w:val="000000" w:themeColor="text1"/>
          <w:sz w:val="32"/>
          <w:szCs w:val="32"/>
          <w:highlight w:val="white"/>
          <w:lang w:val="zh-CN"/>
          <w14:textFill>
            <w14:solidFill>
              <w14:schemeClr w14:val="tx1"/>
            </w14:solidFill>
          </w14:textFill>
        </w:rPr>
        <w:t>主要原因是.....。</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19.住房保障支出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35.581536</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36.7809</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103.37</w:t>
      </w:r>
      <w:r>
        <w:rPr>
          <w:rFonts w:hint="eastAsia" w:ascii="仿宋_GB2312" w:hAnsi="仿宋_GB2312" w:eastAsia="仿宋_GB2312" w:cs="仿宋_GB2312"/>
          <w:color w:val="000000" w:themeColor="text1"/>
          <w:sz w:val="32"/>
          <w:szCs w:val="32"/>
          <w:lang w:val="zh-CN"/>
          <w14:textFill>
            <w14:solidFill>
              <w14:schemeClr w14:val="tx1"/>
            </w14:solidFill>
          </w14:textFill>
        </w:rPr>
        <w:t>%,决算数大于预算数的主要原因是人员变动及工资增加。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20.粮油物资储备支出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%,决算数小于预算数的主要原因是.....。</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21.国有资本经营预算支出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万元,完成年初预算的%,决算数小于预算数的主要原因是.....。</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22.灾害防治及应急管理支出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%,决算数大于预算数的主要原因是.....。</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23.其他支出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%,决算数小于预算数的主要原因是.....。</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24.债务还本支出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万元,完成年初预算的%,决算数小于预算数的主要原因是.....。</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25.债务付息支出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万元,完成年初预算的%,决算数小于预算数的主要原因是.....。</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26.抗疫特别国债安排的支出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万元,完成年初预算的%,决算数小于预算数的主要原因是.....。</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2022年度一般公共预算财政拨款基本支出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1467.653793</w:t>
      </w:r>
      <w:r>
        <w:rPr>
          <w:rFonts w:hint="eastAsia" w:ascii="仿宋_GB2312" w:hAnsi="仿宋_GB2312" w:eastAsia="仿宋_GB2312" w:cs="仿宋_GB2312"/>
          <w:color w:val="000000" w:themeColor="text1"/>
          <w:sz w:val="32"/>
          <w:szCs w:val="32"/>
          <w:lang w:val="zh-CN"/>
          <w14:textFill>
            <w14:solidFill>
              <w14:schemeClr w14:val="tx1"/>
            </w14:solidFill>
          </w14:textFill>
        </w:rPr>
        <w:t>万元。其中：</w:t>
      </w:r>
      <w:r>
        <w:rPr>
          <w:rFonts w:hint="eastAsia" w:ascii="仿宋_GB2312" w:hAnsi="仿宋_GB2312" w:eastAsia="仿宋_GB2312" w:cs="仿宋_GB2312"/>
          <w:b/>
          <w:color w:val="000000" w:themeColor="text1"/>
          <w:sz w:val="32"/>
          <w:szCs w:val="32"/>
          <w:lang w:val="zh-CN"/>
          <w14:textFill>
            <w14:solidFill>
              <w14:schemeClr w14:val="tx1"/>
            </w14:solidFill>
          </w14:textFill>
        </w:rPr>
        <w:t>人员经费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1312.983216</w:t>
      </w:r>
      <w:r>
        <w:rPr>
          <w:rFonts w:hint="eastAsia" w:ascii="仿宋_GB2312" w:hAnsi="仿宋_GB2312" w:eastAsia="仿宋_GB2312" w:cs="仿宋_GB2312"/>
          <w:color w:val="000000" w:themeColor="text1"/>
          <w:sz w:val="32"/>
          <w:szCs w:val="32"/>
          <w:lang w:val="zh-CN"/>
          <w14:textFill>
            <w14:solidFill>
              <w14:schemeClr w14:val="tx1"/>
            </w14:solidFill>
          </w14:textFill>
        </w:rPr>
        <w:t>万元,较上年决算数增加4570301.2元,增长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53.39</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%,主要原因是人员变动工资增加。人员经费用途主要包括基本工资、津贴补贴、奖金、社会保障缴费。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公用经费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37.370577</w:t>
      </w:r>
      <w:r>
        <w:rPr>
          <w:rFonts w:hint="eastAsia" w:ascii="仿宋_GB2312" w:hAnsi="仿宋_GB2312" w:eastAsia="仿宋_GB2312" w:cs="仿宋_GB2312"/>
          <w:color w:val="000000" w:themeColor="text1"/>
          <w:sz w:val="32"/>
          <w:szCs w:val="32"/>
          <w:lang w:val="zh-CN"/>
          <w14:textFill>
            <w14:solidFill>
              <w14:schemeClr w14:val="tx1"/>
            </w14:solidFill>
          </w14:textFill>
        </w:rPr>
        <w:t>万元,较上年决算数减少22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182629万元,下降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37.25</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%,主要原因是开支缩减及经费结转下年。公用经费用途主要包括办公费、印刷费、咨询费、手续费。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en-US"/>
          <w14:textFill>
            <w14:solidFill>
              <w14:schemeClr w14:val="tx1"/>
            </w14:solidFill>
          </w14:textFill>
        </w:rPr>
        <w:t>七</w:t>
      </w:r>
      <w:r>
        <w:rPr>
          <w:rFonts w:hint="eastAsia" w:ascii="仿宋_GB2312" w:hAnsi="仿宋_GB2312" w:eastAsia="仿宋_GB2312" w:cs="仿宋_GB2312"/>
          <w:b/>
          <w:color w:val="000000" w:themeColor="text1"/>
          <w:sz w:val="32"/>
          <w:szCs w:val="32"/>
          <w:lang w:val="zh-CN"/>
          <w14:textFill>
            <w14:solidFill>
              <w14:schemeClr w14:val="tx1"/>
            </w14:solidFill>
          </w14:textFill>
        </w:rPr>
        <w:t>、机关运行经费支出情况说明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2022年度本部门机关运行经费支出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37.370577</w:t>
      </w:r>
      <w:r>
        <w:rPr>
          <w:rFonts w:hint="eastAsia" w:ascii="仿宋_GB2312" w:hAnsi="仿宋_GB2312" w:eastAsia="仿宋_GB2312" w:cs="仿宋_GB2312"/>
          <w:color w:val="000000" w:themeColor="text1"/>
          <w:sz w:val="32"/>
          <w:szCs w:val="32"/>
          <w:lang w:val="zh-CN"/>
          <w14:textFill>
            <w14:solidFill>
              <w14:schemeClr w14:val="tx1"/>
            </w14:solidFill>
          </w14:textFill>
        </w:rPr>
        <w:t>万元,机关运行经费主要用于开支.办公费、印刷费、咨询费、手续费。机关运行经费较上年决算数减少22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182629万元,下降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37.25</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%,主要原因是开支缩减及经费结转下年。</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八、政府采购支出情况说明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2022年度本部门政府采购支出合计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万元,其中：政府采购货物支出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万元、政府采购工程支出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万元、政府采购服务支出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万元。授予中小企业合同金额</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万元,占政府采购支出总额的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%,其中：授予小微企业合同金额</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万元,占政府采购支出总额的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en-US"/>
          <w14:textFill>
            <w14:solidFill>
              <w14:schemeClr w14:val="tx1"/>
            </w14:solidFill>
          </w14:textFill>
        </w:rPr>
        <w:t>九</w:t>
      </w:r>
      <w:r>
        <w:rPr>
          <w:rFonts w:hint="eastAsia" w:ascii="仿宋_GB2312" w:hAnsi="仿宋_GB2312" w:eastAsia="仿宋_GB2312" w:cs="仿宋_GB2312"/>
          <w:b/>
          <w:color w:val="000000" w:themeColor="text1"/>
          <w:sz w:val="32"/>
          <w:szCs w:val="32"/>
          <w:lang w:val="zh-CN"/>
          <w14:textFill>
            <w14:solidFill>
              <w14:schemeClr w14:val="tx1"/>
            </w14:solidFill>
          </w14:textFill>
        </w:rPr>
        <w:t>、国有资产占用情况说明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截至2022年12月31日,本部门共有车辆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辆,其中,副部(省)级及以上领导用车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辆、主要领导干部用车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辆、机要通信用车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辆、应急保障用车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辆、执法执勤用车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辆,特种专业技术用车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辆,离退休干部用车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辆,其他用车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辆,其他用车主要是用于……(由部门根据实际情况补充原因)。单价100万元(含)以上设备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台(套)。</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kern w:val="2"/>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2022年度政府性基金预算财政拨款年初结转结余0万元，本年收入0万元，本年支出0万元，年末结转和结余0</w:t>
      </w:r>
      <w:r>
        <w:rPr>
          <w:rFonts w:hint="eastAsia" w:ascii="仿宋_GB2312" w:hAnsi="仿宋_GB2312" w:eastAsia="仿宋_GB2312" w:cs="仿宋_GB2312"/>
          <w:color w:val="000000" w:themeColor="text1"/>
          <w:kern w:val="2"/>
          <w:sz w:val="32"/>
          <w:szCs w:val="32"/>
          <w:lang w:val="zh-CN"/>
          <w14:textFill>
            <w14:solidFill>
              <w14:schemeClr w14:val="tx1"/>
            </w14:solidFill>
          </w14:textFill>
        </w:rPr>
        <w:t>万元。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eastAsia="宋体" w:asciiTheme="minorHAnsi" w:hAnsiTheme="minorHAnsi" w:cstheme="minorBidi"/>
          <w:color w:val="000000" w:themeColor="text1"/>
          <w:kern w:val="2"/>
          <w:sz w:val="21"/>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十</w:t>
      </w:r>
      <w:r>
        <w:rPr>
          <w:rFonts w:hint="eastAsia" w:ascii="仿宋_GB2312" w:hAnsi="仿宋_GB2312" w:eastAsia="仿宋_GB2312" w:cs="仿宋_GB2312"/>
          <w:b/>
          <w:color w:val="000000" w:themeColor="text1"/>
          <w:sz w:val="32"/>
          <w:szCs w:val="32"/>
          <w:lang w:val="en-US"/>
          <w14:textFill>
            <w14:solidFill>
              <w14:schemeClr w14:val="tx1"/>
            </w14:solidFill>
          </w14:textFill>
        </w:rPr>
        <w:t>一</w:t>
      </w:r>
      <w:r>
        <w:rPr>
          <w:rFonts w:hint="eastAsia" w:ascii="仿宋_GB2312" w:hAnsi="仿宋_GB2312" w:eastAsia="仿宋_GB2312" w:cs="仿宋_GB2312"/>
          <w:b/>
          <w:color w:val="000000" w:themeColor="text1"/>
          <w:sz w:val="32"/>
          <w:szCs w:val="32"/>
          <w:lang w:val="zh-CN"/>
          <w14:textFill>
            <w14:solidFill>
              <w14:schemeClr w14:val="tx1"/>
            </w14:solidFill>
          </w14:textFill>
        </w:rPr>
        <w:t>、国有资本经营预算财政拨款支出情况说明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2022年度国有资本经营预算财政拨款本年支出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万元,主要用于……(由部门根据实际情况补充)。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en-US"/>
          <w14:textFill>
            <w14:solidFill>
              <w14:schemeClr w14:val="tx1"/>
            </w14:solidFill>
          </w14:textFill>
        </w:rPr>
        <w:t>十二</w:t>
      </w:r>
      <w:r>
        <w:rPr>
          <w:rFonts w:hint="eastAsia" w:ascii="仿宋_GB2312" w:hAnsi="仿宋_GB2312" w:eastAsia="仿宋_GB2312" w:cs="仿宋_GB2312"/>
          <w:b/>
          <w:color w:val="000000" w:themeColor="text1"/>
          <w:sz w:val="32"/>
          <w:szCs w:val="32"/>
          <w:lang w:val="zh-CN"/>
          <w14:textFill>
            <w14:solidFill>
              <w14:schemeClr w14:val="tx1"/>
            </w14:solidFill>
          </w14:textFill>
        </w:rPr>
        <w:t>、财政拨款“三公”经费支出决算情况说明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(一)“三公”经费财政拨款支出总体情况说明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(二)“三公”经费财政拨款支出决算具体情况说明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1.因公出国(境)费用</w:t>
      </w:r>
      <w:r>
        <w:rPr>
          <w:rFonts w:hint="eastAsia" w:ascii="仿宋_GB2312" w:hAnsi="仿宋_GB2312" w:eastAsia="仿宋_GB2312" w:cs="仿宋_GB2312"/>
          <w:color w:val="000000" w:themeColor="text1"/>
          <w:sz w:val="32"/>
          <w:szCs w:val="32"/>
          <w:lang w:val="en-US"/>
          <w14:textFill>
            <w14:solidFill>
              <w14:schemeClr w14:val="tx1"/>
            </w14:solidFill>
          </w14:textFill>
        </w:rPr>
        <w:t>全年</w:t>
      </w:r>
      <w:r>
        <w:rPr>
          <w:rFonts w:hint="eastAsia" w:ascii="仿宋_GB2312" w:hAnsi="仿宋_GB2312" w:eastAsia="仿宋_GB2312" w:cs="仿宋_GB2312"/>
          <w:color w:val="000000" w:themeColor="text1"/>
          <w:sz w:val="32"/>
          <w:szCs w:val="32"/>
          <w:lang w:val="zh-CN"/>
          <w14:textFill>
            <w14:solidFill>
              <w14:schemeClr w14:val="tx1"/>
            </w14:solidFill>
          </w14:textFill>
        </w:rPr>
        <w:t>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万元,决算数小于预算数的主要原因是.....(由部门根据实际情况补充),</w:t>
      </w:r>
      <w:r>
        <w:rPr>
          <w:rFonts w:hint="eastAsia" w:ascii="仿宋_GB2312" w:hAnsi="仿宋_GB2312" w:eastAsia="仿宋_GB2312" w:cs="仿宋_GB2312"/>
          <w:color w:val="000000" w:themeColor="text1"/>
          <w:sz w:val="32"/>
          <w:szCs w:val="32"/>
          <w:lang w:val="en-US"/>
          <w14:textFill>
            <w14:solidFill>
              <w14:schemeClr w14:val="tx1"/>
            </w14:solidFill>
          </w14:textFill>
        </w:rPr>
        <w:t>较上年决算数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减少0</w:t>
      </w:r>
      <w:r>
        <w:rPr>
          <w:rFonts w:hint="eastAsia" w:ascii="仿宋_GB2312" w:hAnsi="仿宋_GB2312" w:eastAsia="仿宋_GB2312" w:cs="仿宋_GB2312"/>
          <w:color w:val="000000" w:themeColor="text1"/>
          <w:sz w:val="32"/>
          <w:szCs w:val="32"/>
          <w:lang w:val="zh-CN"/>
          <w14:textFill>
            <w14:solidFill>
              <w14:schemeClr w14:val="tx1"/>
            </w14:solidFill>
          </w14:textFill>
        </w:rPr>
        <w:t>万元</w:t>
      </w:r>
      <w:r>
        <w:rPr>
          <w:rFonts w:hint="eastAsia" w:ascii="仿宋_GB2312" w:hAnsi="仿宋_GB2312" w:eastAsia="仿宋_GB2312" w:cs="仿宋_GB2312"/>
          <w:color w:val="000000" w:themeColor="text1"/>
          <w:sz w:val="32"/>
          <w:szCs w:val="32"/>
          <w:lang w:val="en-US"/>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下降</w:t>
      </w:r>
      <w:r>
        <w:rPr>
          <w:rFonts w:hint="eastAsia" w:ascii="仿宋_GB2312" w:hAnsi="仿宋_GB2312" w:eastAsia="仿宋_GB2312" w:cs="仿宋_GB2312"/>
          <w:color w:val="000000" w:themeColor="text1"/>
          <w:sz w:val="32"/>
          <w:szCs w:val="32"/>
          <w:lang w:val="zh-CN"/>
          <w14:textFill>
            <w14:solidFill>
              <w14:schemeClr w14:val="tx1"/>
            </w14:solidFill>
          </w14:textFill>
        </w:rPr>
        <w:t>%</w:t>
      </w:r>
      <w:r>
        <w:rPr>
          <w:rFonts w:hint="eastAsia" w:ascii="仿宋_GB2312" w:hAnsi="仿宋_GB2312" w:eastAsia="仿宋_GB2312" w:cs="仿宋_GB2312"/>
          <w:color w:val="000000" w:themeColor="text1"/>
          <w:sz w:val="32"/>
          <w:szCs w:val="32"/>
          <w:lang w:val="en-US"/>
          <w14:textFill>
            <w14:solidFill>
              <w14:schemeClr w14:val="tx1"/>
            </w14:solidFill>
          </w14:textFill>
        </w:rPr>
        <w:t>,主要原因是......</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2.公务用车购置及运行维护费</w:t>
      </w:r>
      <w:r>
        <w:rPr>
          <w:rFonts w:hint="eastAsia" w:ascii="仿宋_GB2312" w:hAnsi="仿宋_GB2312" w:eastAsia="仿宋_GB2312" w:cs="仿宋_GB2312"/>
          <w:color w:val="000000" w:themeColor="text1"/>
          <w:sz w:val="32"/>
          <w:szCs w:val="32"/>
          <w:lang w:val="en-US"/>
          <w14:textFill>
            <w14:solidFill>
              <w14:schemeClr w14:val="tx1"/>
            </w14:solidFill>
          </w14:textFill>
        </w:rPr>
        <w:t>全年</w:t>
      </w:r>
      <w:r>
        <w:rPr>
          <w:rFonts w:hint="eastAsia" w:ascii="仿宋_GB2312" w:hAnsi="仿宋_GB2312" w:eastAsia="仿宋_GB2312" w:cs="仿宋_GB2312"/>
          <w:color w:val="000000" w:themeColor="text1"/>
          <w:sz w:val="32"/>
          <w:szCs w:val="32"/>
          <w:lang w:val="zh-CN"/>
          <w14:textFill>
            <w14:solidFill>
              <w14:schemeClr w14:val="tx1"/>
            </w14:solidFill>
          </w14:textFill>
        </w:rPr>
        <w:t>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万元,决算数小于预算数的主要原因是.....(由部门根据实际情况补充),</w:t>
      </w:r>
      <w:r>
        <w:rPr>
          <w:rFonts w:hint="eastAsia" w:ascii="仿宋_GB2312" w:hAnsi="仿宋_GB2312" w:eastAsia="仿宋_GB2312" w:cs="仿宋_GB2312"/>
          <w:color w:val="000000" w:themeColor="text1"/>
          <w:sz w:val="32"/>
          <w:szCs w:val="32"/>
          <w:lang w:val="en-US"/>
          <w14:textFill>
            <w14:solidFill>
              <w14:schemeClr w14:val="tx1"/>
            </w14:solidFill>
          </w14:textFill>
        </w:rPr>
        <w:t>较上年决算数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增加0</w:t>
      </w:r>
      <w:r>
        <w:rPr>
          <w:rFonts w:hint="eastAsia" w:ascii="仿宋_GB2312" w:hAnsi="仿宋_GB2312" w:eastAsia="仿宋_GB2312" w:cs="仿宋_GB2312"/>
          <w:color w:val="000000" w:themeColor="text1"/>
          <w:sz w:val="32"/>
          <w:szCs w:val="32"/>
          <w:lang w:val="zh-CN"/>
          <w14:textFill>
            <w14:solidFill>
              <w14:schemeClr w14:val="tx1"/>
            </w14:solidFill>
          </w14:textFill>
        </w:rPr>
        <w:t>万元</w:t>
      </w:r>
      <w:r>
        <w:rPr>
          <w:rFonts w:hint="eastAsia" w:ascii="仿宋_GB2312" w:hAnsi="仿宋_GB2312" w:eastAsia="仿宋_GB2312" w:cs="仿宋_GB2312"/>
          <w:color w:val="000000" w:themeColor="text1"/>
          <w:sz w:val="32"/>
          <w:szCs w:val="32"/>
          <w:lang w:val="en-US"/>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增长0</w:t>
      </w:r>
      <w:r>
        <w:rPr>
          <w:rFonts w:hint="eastAsia" w:ascii="仿宋_GB2312" w:hAnsi="仿宋_GB2312" w:eastAsia="仿宋_GB2312" w:cs="仿宋_GB2312"/>
          <w:color w:val="000000" w:themeColor="text1"/>
          <w:sz w:val="32"/>
          <w:szCs w:val="32"/>
          <w:lang w:val="zh-CN"/>
          <w14:textFill>
            <w14:solidFill>
              <w14:schemeClr w14:val="tx1"/>
            </w14:solidFill>
          </w14:textFill>
        </w:rPr>
        <w:t>%</w:t>
      </w:r>
      <w:r>
        <w:rPr>
          <w:rFonts w:hint="eastAsia" w:ascii="仿宋_GB2312" w:hAnsi="仿宋_GB2312" w:eastAsia="仿宋_GB2312" w:cs="仿宋_GB2312"/>
          <w:color w:val="000000" w:themeColor="text1"/>
          <w:sz w:val="32"/>
          <w:szCs w:val="32"/>
          <w:lang w:val="en-US"/>
          <w14:textFill>
            <w14:solidFill>
              <w14:schemeClr w14:val="tx1"/>
            </w14:solidFill>
          </w14:textFill>
        </w:rPr>
        <w:t>,主要原因是.....</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其中：公务用车购置费</w:t>
      </w:r>
      <w:r>
        <w:rPr>
          <w:rFonts w:hint="eastAsia" w:ascii="仿宋_GB2312" w:hAnsi="仿宋_GB2312" w:eastAsia="仿宋_GB2312" w:cs="仿宋_GB2312"/>
          <w:color w:val="000000" w:themeColor="text1"/>
          <w:sz w:val="32"/>
          <w:szCs w:val="32"/>
          <w:lang w:val="en-US"/>
          <w14:textFill>
            <w14:solidFill>
              <w14:schemeClr w14:val="tx1"/>
            </w14:solidFill>
          </w14:textFill>
        </w:rPr>
        <w:t>全年</w:t>
      </w:r>
      <w:r>
        <w:rPr>
          <w:rFonts w:hint="eastAsia" w:ascii="仿宋_GB2312" w:hAnsi="仿宋_GB2312" w:eastAsia="仿宋_GB2312" w:cs="仿宋_GB2312"/>
          <w:color w:val="000000" w:themeColor="text1"/>
          <w:sz w:val="32"/>
          <w:szCs w:val="32"/>
          <w:lang w:val="zh-CN"/>
          <w14:textFill>
            <w14:solidFill>
              <w14:schemeClr w14:val="tx1"/>
            </w14:solidFill>
          </w14:textFill>
        </w:rPr>
        <w:t>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万元,决算数小于预算数的主要原因是.....,</w:t>
      </w:r>
      <w:r>
        <w:rPr>
          <w:rFonts w:hint="eastAsia" w:ascii="仿宋_GB2312" w:hAnsi="仿宋_GB2312" w:eastAsia="仿宋_GB2312" w:cs="仿宋_GB2312"/>
          <w:color w:val="000000" w:themeColor="text1"/>
          <w:sz w:val="32"/>
          <w:szCs w:val="32"/>
          <w:lang w:val="en-US"/>
          <w14:textFill>
            <w14:solidFill>
              <w14:schemeClr w14:val="tx1"/>
            </w14:solidFill>
          </w14:textFill>
        </w:rPr>
        <w:t>较上年决算数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增加0</w:t>
      </w:r>
      <w:r>
        <w:rPr>
          <w:rFonts w:hint="eastAsia" w:ascii="仿宋_GB2312" w:hAnsi="仿宋_GB2312" w:eastAsia="仿宋_GB2312" w:cs="仿宋_GB2312"/>
          <w:color w:val="000000" w:themeColor="text1"/>
          <w:sz w:val="32"/>
          <w:szCs w:val="32"/>
          <w:lang w:val="zh-CN"/>
          <w14:textFill>
            <w14:solidFill>
              <w14:schemeClr w14:val="tx1"/>
            </w14:solidFill>
          </w14:textFill>
        </w:rPr>
        <w:t>万元</w:t>
      </w:r>
      <w:r>
        <w:rPr>
          <w:rFonts w:hint="eastAsia" w:ascii="仿宋_GB2312" w:hAnsi="仿宋_GB2312" w:eastAsia="仿宋_GB2312" w:cs="仿宋_GB2312"/>
          <w:color w:val="000000" w:themeColor="text1"/>
          <w:sz w:val="32"/>
          <w:szCs w:val="32"/>
          <w:lang w:val="en-US"/>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增长0</w:t>
      </w:r>
      <w:r>
        <w:rPr>
          <w:rFonts w:hint="eastAsia" w:ascii="仿宋_GB2312" w:hAnsi="仿宋_GB2312" w:eastAsia="仿宋_GB2312" w:cs="仿宋_GB2312"/>
          <w:color w:val="000000" w:themeColor="text1"/>
          <w:sz w:val="32"/>
          <w:szCs w:val="32"/>
          <w:lang w:val="zh-CN"/>
          <w14:textFill>
            <w14:solidFill>
              <w14:schemeClr w14:val="tx1"/>
            </w14:solidFill>
          </w14:textFill>
        </w:rPr>
        <w:t>%</w:t>
      </w:r>
      <w:r>
        <w:rPr>
          <w:rFonts w:hint="eastAsia" w:ascii="仿宋_GB2312" w:hAnsi="仿宋_GB2312" w:eastAsia="仿宋_GB2312" w:cs="仿宋_GB2312"/>
          <w:color w:val="000000" w:themeColor="text1"/>
          <w:sz w:val="32"/>
          <w:szCs w:val="32"/>
          <w:lang w:val="en-US"/>
          <w14:textFill>
            <w14:solidFill>
              <w14:schemeClr w14:val="tx1"/>
            </w14:solidFill>
          </w14:textFill>
        </w:rPr>
        <w:t>,主要原因是......</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3.公务接待费</w:t>
      </w:r>
      <w:r>
        <w:rPr>
          <w:rFonts w:hint="eastAsia" w:ascii="仿宋_GB2312" w:hAnsi="仿宋_GB2312" w:eastAsia="仿宋_GB2312" w:cs="仿宋_GB2312"/>
          <w:color w:val="000000" w:themeColor="text1"/>
          <w:sz w:val="32"/>
          <w:szCs w:val="32"/>
          <w:lang w:val="en-US"/>
          <w14:textFill>
            <w14:solidFill>
              <w14:schemeClr w14:val="tx1"/>
            </w14:solidFill>
          </w14:textFill>
        </w:rPr>
        <w:t>全</w:t>
      </w:r>
      <w:r>
        <w:rPr>
          <w:rFonts w:hint="eastAsia" w:ascii="仿宋_GB2312" w:hAnsi="仿宋_GB2312" w:eastAsia="仿宋_GB2312" w:cs="仿宋_GB2312"/>
          <w:color w:val="000000" w:themeColor="text1"/>
          <w:sz w:val="32"/>
          <w:szCs w:val="32"/>
          <w:lang w:val="zh-CN"/>
          <w14:textFill>
            <w14:solidFill>
              <w14:schemeClr w14:val="tx1"/>
            </w14:solidFill>
          </w14:textFill>
        </w:rPr>
        <w:t>年预算数为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万元,决算数小于预算数的主要原因是.....,</w:t>
      </w:r>
      <w:r>
        <w:rPr>
          <w:rFonts w:hint="eastAsia" w:ascii="仿宋_GB2312" w:hAnsi="仿宋_GB2312" w:eastAsia="仿宋_GB2312" w:cs="仿宋_GB2312"/>
          <w:color w:val="000000" w:themeColor="text1"/>
          <w:sz w:val="32"/>
          <w:szCs w:val="32"/>
          <w:lang w:val="en-US"/>
          <w14:textFill>
            <w14:solidFill>
              <w14:schemeClr w14:val="tx1"/>
            </w14:solidFill>
          </w14:textFill>
        </w:rPr>
        <w:t>较上年决算数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减少0</w:t>
      </w:r>
      <w:r>
        <w:rPr>
          <w:rFonts w:hint="eastAsia" w:ascii="仿宋_GB2312" w:hAnsi="仿宋_GB2312" w:eastAsia="仿宋_GB2312" w:cs="仿宋_GB2312"/>
          <w:color w:val="000000" w:themeColor="text1"/>
          <w:sz w:val="32"/>
          <w:szCs w:val="32"/>
          <w:lang w:val="zh-CN"/>
          <w14:textFill>
            <w14:solidFill>
              <w14:schemeClr w14:val="tx1"/>
            </w14:solidFill>
          </w14:textFill>
        </w:rPr>
        <w:t>万元</w:t>
      </w:r>
      <w:r>
        <w:rPr>
          <w:rFonts w:hint="eastAsia" w:ascii="仿宋_GB2312" w:hAnsi="仿宋_GB2312" w:eastAsia="仿宋_GB2312" w:cs="仿宋_GB2312"/>
          <w:color w:val="000000" w:themeColor="text1"/>
          <w:sz w:val="32"/>
          <w:szCs w:val="32"/>
          <w:lang w:val="en-US"/>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下降0</w:t>
      </w:r>
      <w:r>
        <w:rPr>
          <w:rFonts w:hint="eastAsia" w:ascii="仿宋_GB2312" w:hAnsi="仿宋_GB2312" w:eastAsia="仿宋_GB2312" w:cs="仿宋_GB2312"/>
          <w:color w:val="000000" w:themeColor="text1"/>
          <w:sz w:val="32"/>
          <w:szCs w:val="32"/>
          <w:lang w:val="zh-CN"/>
          <w14:textFill>
            <w14:solidFill>
              <w14:schemeClr w14:val="tx1"/>
            </w14:solidFill>
          </w14:textFill>
        </w:rPr>
        <w:t>%</w:t>
      </w:r>
      <w:r>
        <w:rPr>
          <w:rFonts w:hint="eastAsia" w:ascii="仿宋_GB2312" w:hAnsi="仿宋_GB2312" w:eastAsia="仿宋_GB2312" w:cs="仿宋_GB2312"/>
          <w:color w:val="000000" w:themeColor="text1"/>
          <w:sz w:val="32"/>
          <w:szCs w:val="32"/>
          <w:lang w:val="en-US"/>
          <w14:textFill>
            <w14:solidFill>
              <w14:schemeClr w14:val="tx1"/>
            </w14:solidFill>
          </w14:textFill>
        </w:rPr>
        <w:t>,主要原因是.....</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(三)“三公”经费财政拨款支出决算实物量情况</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2022年度本部门</w:t>
      </w:r>
      <w:r>
        <w:rPr>
          <w:rFonts w:hint="eastAsia" w:ascii="仿宋_GB2312" w:hAnsi="仿宋_GB2312" w:eastAsia="仿宋_GB2312" w:cs="仿宋_GB2312"/>
          <w:b/>
          <w:color w:val="000000" w:themeColor="text1"/>
          <w:sz w:val="32"/>
          <w:szCs w:val="32"/>
          <w:lang w:val="zh-CN"/>
          <w14:textFill>
            <w14:solidFill>
              <w14:schemeClr w14:val="tx1"/>
            </w14:solidFill>
          </w14:textFill>
        </w:rPr>
        <w:t>因公出国(境)</w:t>
      </w:r>
      <w:r>
        <w:rPr>
          <w:rFonts w:hint="eastAsia" w:ascii="仿宋_GB2312" w:hAnsi="仿宋_GB2312" w:eastAsia="仿宋_GB2312" w:cs="仿宋_GB2312"/>
          <w:color w:val="000000" w:themeColor="text1"/>
          <w:sz w:val="32"/>
          <w:szCs w:val="32"/>
          <w:lang w:val="zh-CN"/>
          <w14:textFill>
            <w14:solidFill>
              <w14:schemeClr w14:val="tx1"/>
            </w14:solidFill>
          </w14:textFill>
        </w:rPr>
        <w:t>共计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个团组,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人；</w:t>
      </w:r>
      <w:r>
        <w:rPr>
          <w:rFonts w:hint="eastAsia" w:ascii="仿宋_GB2312" w:hAnsi="仿宋_GB2312" w:eastAsia="仿宋_GB2312" w:cs="仿宋_GB2312"/>
          <w:b/>
          <w:color w:val="000000" w:themeColor="text1"/>
          <w:sz w:val="32"/>
          <w:szCs w:val="32"/>
          <w:lang w:val="zh-CN"/>
          <w14:textFill>
            <w14:solidFill>
              <w14:schemeClr w14:val="tx1"/>
            </w14:solidFill>
          </w14:textFill>
        </w:rPr>
        <w:t>公务用车购置</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辆,</w:t>
      </w:r>
      <w:r>
        <w:rPr>
          <w:rFonts w:hint="eastAsia" w:ascii="仿宋_GB2312" w:hAnsi="仿宋_GB2312" w:eastAsia="仿宋_GB2312" w:cs="仿宋_GB2312"/>
          <w:b/>
          <w:color w:val="000000" w:themeColor="text1"/>
          <w:sz w:val="32"/>
          <w:szCs w:val="32"/>
          <w:lang w:val="zh-CN"/>
          <w14:textFill>
            <w14:solidFill>
              <w14:schemeClr w14:val="tx1"/>
            </w14:solidFill>
          </w14:textFill>
        </w:rPr>
        <w:t>公务用车保有量</w:t>
      </w:r>
      <w:r>
        <w:rPr>
          <w:rFonts w:hint="eastAsia" w:ascii="仿宋_GB2312" w:hAnsi="仿宋_GB2312" w:eastAsia="仿宋_GB2312" w:cs="仿宋_GB2312"/>
          <w:color w:val="000000" w:themeColor="text1"/>
          <w:sz w:val="32"/>
          <w:szCs w:val="32"/>
          <w:lang w:val="zh-CN"/>
          <w14:textFill>
            <w14:solidFill>
              <w14:schemeClr w14:val="tx1"/>
            </w14:solidFill>
          </w14:textFill>
        </w:rPr>
        <w:t>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辆；</w:t>
      </w:r>
      <w:r>
        <w:rPr>
          <w:rFonts w:hint="eastAsia" w:ascii="仿宋_GB2312" w:hAnsi="仿宋_GB2312" w:eastAsia="仿宋_GB2312" w:cs="仿宋_GB2312"/>
          <w:b/>
          <w:color w:val="000000" w:themeColor="text1"/>
          <w:sz w:val="32"/>
          <w:szCs w:val="32"/>
          <w:lang w:val="zh-CN"/>
          <w14:textFill>
            <w14:solidFill>
              <w14:schemeClr w14:val="tx1"/>
            </w14:solidFill>
          </w14:textFill>
        </w:rPr>
        <w:t>国内公务接待</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批次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人,其中：</w:t>
      </w:r>
      <w:r>
        <w:rPr>
          <w:rFonts w:hint="eastAsia" w:ascii="仿宋_GB2312" w:hAnsi="仿宋_GB2312" w:eastAsia="仿宋_GB2312" w:cs="仿宋_GB2312"/>
          <w:b/>
          <w:color w:val="000000" w:themeColor="text1"/>
          <w:sz w:val="32"/>
          <w:szCs w:val="32"/>
          <w:lang w:val="zh-CN"/>
          <w14:textFill>
            <w14:solidFill>
              <w14:schemeClr w14:val="tx1"/>
            </w14:solidFill>
          </w14:textFill>
        </w:rPr>
        <w:t>外事接待</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批次,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人；</w:t>
      </w:r>
      <w:r>
        <w:rPr>
          <w:rFonts w:hint="eastAsia" w:ascii="仿宋_GB2312" w:hAnsi="仿宋_GB2312" w:eastAsia="仿宋_GB2312" w:cs="仿宋_GB2312"/>
          <w:b/>
          <w:color w:val="000000" w:themeColor="text1"/>
          <w:sz w:val="32"/>
          <w:szCs w:val="32"/>
          <w:lang w:val="zh-CN"/>
          <w14:textFill>
            <w14:solidFill>
              <w14:schemeClr w14:val="tx1"/>
            </w14:solidFill>
          </w14:textFill>
        </w:rPr>
        <w:t>国(境)外公务接待</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批次,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第四部分预算绩效情况说明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(一)预算绩效管理工作开展情况</w:t>
      </w:r>
    </w:p>
    <w:p>
      <w:pPr>
        <w:keepNext/>
        <w:keepLines/>
        <w:pageBreakBefore w:val="0"/>
        <w:suppressLineNumbers/>
        <w:kinsoku/>
        <w:wordWrap/>
        <w:overflowPunct/>
        <w:topLinePunct w:val="0"/>
        <w:autoSpaceDE/>
        <w:autoSpaceDN/>
        <w:bidi w:val="0"/>
        <w:adjustRightInd/>
        <w:snapToGrid/>
        <w:spacing w:beforeLines="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14:textFill>
            <w14:solidFill>
              <w14:schemeClr w14:val="tx1"/>
            </w14:solidFill>
          </w14:textFill>
        </w:rPr>
        <w:t>根据预算绩效管理要求,本部门对2022年度一般公共预算项目支出全面开展绩效自评,其中,一级项目</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个,二级项目</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个,共涉及资金</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万元,占一般公共预算项目支出总额的</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%。对2022年度</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等</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个政府性基金预算项目开展绩效自评,共涉及资金</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万元,占政府性基金预算项目支出总额的</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%。组织对2022年度</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等</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个国有资本经营预算项目开展绩效自评,共涉及资金</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万元,占国有资本经营预算项目支出总额的</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%。组织对“</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”等</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个项目开展了部门评价,涉及一般公共预算支出</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万元,政府性基金预算支出</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万元,国有资本经营预算支出</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万元。从评价情况来看,……</w:t>
      </w:r>
      <w:bookmarkStart w:id="0" w:name="_GoBack"/>
      <w:bookmarkEnd w:id="0"/>
      <w:r>
        <w:rPr>
          <w:rFonts w:hint="eastAsia" w:ascii="仿宋_GB2312" w:hAnsi="仿宋_GB2312" w:eastAsia="仿宋_GB2312" w:cs="仿宋_GB2312"/>
          <w:color w:val="000000" w:themeColor="text1"/>
          <w:kern w:val="0"/>
          <w:sz w:val="32"/>
          <w:szCs w:val="32"/>
          <w:lang w:val="en-US"/>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(二)绩效自评结果</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1.绩效目标自评表(分项目进行综述)</w:t>
      </w:r>
    </w:p>
    <w:p>
      <w:pPr>
        <w:tabs>
          <w:tab w:val="left" w:pos="1327"/>
        </w:tabs>
        <w:bidi w:val="0"/>
        <w:jc w:val="left"/>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14:textFill>
            <w14:solidFill>
              <w14:schemeClr w14:val="tx1"/>
            </w14:solidFill>
          </w14:textFill>
        </w:rPr>
        <w:t>我部门在2022年度部门决算中反映</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等</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个项目绩效自评结果。</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项目绩效自评情况：根据年初设定的绩效目标,项目绩效自评得分为</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分。项目全年预算数为</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万元,执行数为</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万元,完成预算的</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%。项目绩效目标完成情况：一是……；二是……。发现的主要问题及原因：一是……；二是……。下一步改进措施：一是……；二是……。</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32"/>
          <w:szCs w:val="32"/>
          <w:lang w:val="en-US"/>
          <w14:textFill>
            <w14:solidFill>
              <w14:schemeClr w14:val="tx1"/>
            </w14:solidFill>
          </w14:textFill>
        </w:rPr>
        <w:t>项目绩效自评情况：……。</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(三)部门绩效评价结果</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主管部门需随决算公开部门评价(含委托第三方对部门政策或项目开展重点绩效评价的)报告或案例,可以附件形式附后。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第五部分名词解释</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以下为常见专业名词解释目录,仅供参考,部门应根据实际情况进行解释和增减。比如可将类级功能科目和经济科目细化解释到项级。若有删减注意调整段落序号。</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一、财政拨款收入</w:t>
      </w:r>
      <w:r>
        <w:rPr>
          <w:rFonts w:hint="eastAsia" w:ascii="仿宋_GB2312" w:hAnsi="仿宋_GB2312" w:eastAsia="仿宋_GB2312" w:cs="仿宋_GB2312"/>
          <w:color w:val="000000" w:themeColor="text1"/>
          <w:sz w:val="32"/>
          <w:szCs w:val="32"/>
          <w:lang w:val="zh-CN"/>
          <w14:textFill>
            <w14:solidFill>
              <w14:schemeClr w14:val="tx1"/>
            </w14:solidFill>
          </w14:textFill>
        </w:rPr>
        <w:t>：指本年度从本级财政部门取得的财政拨款,包括一般公共预算财政拨款和政府性基金预算财政拨款。</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二、事业收入</w:t>
      </w:r>
      <w:r>
        <w:rPr>
          <w:rFonts w:hint="eastAsia" w:ascii="仿宋_GB2312" w:hAnsi="仿宋_GB2312" w:eastAsia="仿宋_GB2312" w:cs="仿宋_GB2312"/>
          <w:color w:val="000000" w:themeColor="text1"/>
          <w:sz w:val="32"/>
          <w:szCs w:val="32"/>
          <w:lang w:val="zh-CN"/>
          <w14:textFill>
            <w14:solidFill>
              <w14:schemeClr w14:val="tx1"/>
            </w14:solidFill>
          </w14:textFill>
        </w:rPr>
        <w:t>：指事业单位开展专业业务活动及其辅助活动取得的现金流入；事业单位收到的财政专户实际核拨的教育收费等资金在此反映。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三、经营收入</w:t>
      </w:r>
      <w:r>
        <w:rPr>
          <w:rFonts w:hint="eastAsia" w:ascii="仿宋_GB2312" w:hAnsi="仿宋_GB2312" w:eastAsia="仿宋_GB2312" w:cs="仿宋_GB2312"/>
          <w:color w:val="000000" w:themeColor="text1"/>
          <w:sz w:val="32"/>
          <w:szCs w:val="32"/>
          <w:lang w:val="zh-CN"/>
          <w14:textFill>
            <w14:solidFill>
              <w14:schemeClr w14:val="tx1"/>
            </w14:solidFill>
          </w14:textFill>
        </w:rPr>
        <w:t>：指事业单位在专业业务活动及其辅助活动之外开展非独立核算经营活动取得的现金流入。</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四、其他收入</w:t>
      </w:r>
      <w:r>
        <w:rPr>
          <w:rFonts w:hint="eastAsia" w:ascii="仿宋_GB2312" w:hAnsi="仿宋_GB2312" w:eastAsia="仿宋_GB2312" w:cs="仿宋_GB2312"/>
          <w:color w:val="000000" w:themeColor="text1"/>
          <w:sz w:val="32"/>
          <w:szCs w:val="32"/>
          <w:lang w:val="zh-CN"/>
          <w14:textFill>
            <w14:solidFill>
              <w14:schemeClr w14:val="tx1"/>
            </w14:solidFill>
          </w14:textFill>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五、年初结转和结余</w:t>
      </w:r>
      <w:r>
        <w:rPr>
          <w:rFonts w:hint="eastAsia" w:ascii="仿宋_GB2312" w:hAnsi="仿宋_GB2312" w:eastAsia="仿宋_GB2312" w:cs="仿宋_GB2312"/>
          <w:color w:val="000000" w:themeColor="text1"/>
          <w:sz w:val="32"/>
          <w:szCs w:val="32"/>
          <w:lang w:val="zh-CN"/>
          <w14:textFill>
            <w14:solidFill>
              <w14:schemeClr w14:val="tx1"/>
            </w14:solidFill>
          </w14:textFill>
        </w:rPr>
        <w:t>：指单位上年结转本年使用的基本支出结转、项目支出结转和结余、经营结余。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六、结余分配</w:t>
      </w:r>
      <w:r>
        <w:rPr>
          <w:rFonts w:hint="eastAsia" w:ascii="仿宋_GB2312" w:hAnsi="仿宋_GB2312" w:eastAsia="仿宋_GB2312" w:cs="仿宋_GB2312"/>
          <w:color w:val="000000" w:themeColor="text1"/>
          <w:sz w:val="32"/>
          <w:szCs w:val="32"/>
          <w:lang w:val="zh-CN"/>
          <w14:textFill>
            <w14:solidFill>
              <w14:schemeClr w14:val="tx1"/>
            </w14:solidFill>
          </w14:textFill>
        </w:rPr>
        <w:t>：指单位按照国家有关规定,缴纳所得税、提取专用基金、转入事业基金等当年结余的分配情况。</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color w:val="000000" w:themeColor="text1"/>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七、年末结转和结余</w:t>
      </w:r>
      <w:r>
        <w:rPr>
          <w:rFonts w:hint="eastAsia" w:ascii="仿宋_GB2312" w:hAnsi="仿宋_GB2312" w:eastAsia="仿宋_GB2312" w:cs="仿宋_GB2312"/>
          <w:color w:val="000000" w:themeColor="text1"/>
          <w:sz w:val="32"/>
          <w:szCs w:val="32"/>
          <w:lang w:val="zh-CN"/>
          <w14:textFill>
            <w14:solidFill>
              <w14:schemeClr w14:val="tx1"/>
            </w14:solidFill>
          </w14:textFill>
        </w:rPr>
        <w:t>：指单位结转下年的基本支出结转、项目支出结转和结余、经营结余。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八、基本支出</w:t>
      </w:r>
      <w:r>
        <w:rPr>
          <w:rFonts w:hint="eastAsia" w:ascii="仿宋_GB2312" w:hAnsi="仿宋_GB2312" w:eastAsia="仿宋_GB2312" w:cs="仿宋_GB2312"/>
          <w:color w:val="000000" w:themeColor="text1"/>
          <w:sz w:val="32"/>
          <w:szCs w:val="32"/>
          <w:lang w:val="zh-CN"/>
          <w14:textFill>
            <w14:solidFill>
              <w14:schemeClr w14:val="tx1"/>
            </w14:solidFill>
          </w14:textFill>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九、项目支出</w:t>
      </w:r>
      <w:r>
        <w:rPr>
          <w:rFonts w:hint="eastAsia" w:ascii="仿宋_GB2312" w:hAnsi="仿宋_GB2312" w:eastAsia="仿宋_GB2312" w:cs="仿宋_GB2312"/>
          <w:color w:val="000000" w:themeColor="text1"/>
          <w:sz w:val="32"/>
          <w:szCs w:val="32"/>
          <w:lang w:val="zh-CN"/>
          <w14:textFill>
            <w14:solidFill>
              <w14:schemeClr w14:val="tx1"/>
            </w14:solidFill>
          </w14:textFill>
        </w:rPr>
        <w:t>：指在基本支出之外为完成特定行政任务和事业发展目标所发生的支出。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十、经营支出</w:t>
      </w:r>
      <w:r>
        <w:rPr>
          <w:rFonts w:hint="eastAsia" w:ascii="仿宋_GB2312" w:hAnsi="仿宋_GB2312" w:eastAsia="仿宋_GB2312" w:cs="仿宋_GB2312"/>
          <w:color w:val="000000" w:themeColor="text1"/>
          <w:sz w:val="32"/>
          <w:szCs w:val="32"/>
          <w:lang w:val="zh-CN"/>
          <w14:textFill>
            <w14:solidFill>
              <w14:schemeClr w14:val="tx1"/>
            </w14:solidFill>
          </w14:textFill>
        </w:rPr>
        <w:t>：指事业单位在专业业务活动及其辅助活动之外开展非独立核算经营活动发生的支出。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十一、“三公”经费</w:t>
      </w:r>
      <w:r>
        <w:rPr>
          <w:rFonts w:hint="eastAsia" w:ascii="仿宋_GB2312" w:hAnsi="仿宋_GB2312" w:eastAsia="仿宋_GB2312" w:cs="仿宋_GB2312"/>
          <w:color w:val="000000" w:themeColor="text1"/>
          <w:sz w:val="32"/>
          <w:szCs w:val="32"/>
          <w:lang w:val="zh-CN"/>
          <w14:textFill>
            <w14:solidFill>
              <w14:schemeClr w14:val="tx1"/>
            </w14:solidFill>
          </w14:textFill>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十二、机关运行经费</w:t>
      </w:r>
      <w:r>
        <w:rPr>
          <w:rFonts w:hint="eastAsia" w:ascii="仿宋_GB2312" w:hAnsi="仿宋_GB2312" w:eastAsia="仿宋_GB2312" w:cs="仿宋_GB2312"/>
          <w:color w:val="000000" w:themeColor="text1"/>
          <w:sz w:val="32"/>
          <w:szCs w:val="32"/>
          <w:lang w:val="zh-CN"/>
          <w14:textFill>
            <w14:solidFill>
              <w14:schemeClr w14:val="tx1"/>
            </w14:solidFill>
          </w14:textFill>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000000" w:themeColor="text1"/>
          <w:spacing w:val="0"/>
          <w:w w:val="100"/>
          <w:position w:val="0"/>
          <w:sz w:val="32"/>
          <w:szCs w:val="32"/>
          <w:u w:val="none"/>
          <w:shd w:val="clear" w:color="auto" w:fill="auto"/>
          <w:lang w:val="en-US" w:eastAsia="zh-CN" w:bidi="zh-TW"/>
          <w14:textFill>
            <w14:solidFill>
              <w14:schemeClr w14:val="tx1"/>
            </w14:solidFill>
          </w14:textFill>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十三、工资福利支出（支出经济分类科目类级）</w:t>
      </w:r>
      <w:r>
        <w:rPr>
          <w:rFonts w:hint="eastAsia" w:ascii="仿宋_GB2312" w:hAnsi="仿宋_GB2312" w:eastAsia="仿宋_GB2312" w:cs="仿宋_GB2312"/>
          <w:color w:val="000000" w:themeColor="text1"/>
          <w:spacing w:val="0"/>
          <w:w w:val="100"/>
          <w:position w:val="0"/>
          <w:sz w:val="32"/>
          <w:szCs w:val="32"/>
          <w:u w:val="none"/>
          <w:shd w:val="clear" w:color="auto" w:fill="auto"/>
          <w:lang w:val="en-US" w:eastAsia="zh-CN" w:bidi="zh-TW"/>
          <w14:textFill>
            <w14:solidFill>
              <w14:schemeClr w14:val="tx1"/>
            </w14:solidFill>
          </w14:textFill>
        </w:rPr>
        <w:t>：反映单位开支的在职职工和编制外长期聘用人员的各类劳动报酬，以及为上述人员缴纳的各项社会保险费等。</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000000" w:themeColor="text1"/>
          <w:spacing w:val="0"/>
          <w:w w:val="100"/>
          <w:position w:val="0"/>
          <w:sz w:val="32"/>
          <w:szCs w:val="32"/>
          <w:u w:val="none"/>
          <w:shd w:val="clear" w:color="auto" w:fill="auto"/>
          <w:lang w:val="en-US" w:eastAsia="zh-CN" w:bidi="zh-TW"/>
          <w14:textFill>
            <w14:solidFill>
              <w14:schemeClr w14:val="tx1"/>
            </w14:solidFill>
          </w14:textFill>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十四、商品和服务支出（支出经济分类科目类级）：</w:t>
      </w:r>
      <w:r>
        <w:rPr>
          <w:rFonts w:hint="eastAsia" w:ascii="仿宋_GB2312" w:hAnsi="仿宋_GB2312" w:eastAsia="仿宋_GB2312" w:cs="仿宋_GB2312"/>
          <w:color w:val="000000" w:themeColor="text1"/>
          <w:spacing w:val="0"/>
          <w:w w:val="100"/>
          <w:position w:val="0"/>
          <w:sz w:val="32"/>
          <w:szCs w:val="32"/>
          <w:u w:val="none"/>
          <w:shd w:val="clear" w:color="auto" w:fill="auto"/>
          <w:lang w:val="en-US" w:eastAsia="zh-CN" w:bidi="zh-TW"/>
          <w14:textFill>
            <w14:solidFill>
              <w14:schemeClr w14:val="tx1"/>
            </w14:solidFill>
          </w14:textFill>
        </w:rPr>
        <w:t>反映单位购买商品和服务的支出（不包括用于购置固定资产的支出、战略性和应急储备支出）。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000000" w:themeColor="text1"/>
          <w:spacing w:val="0"/>
          <w:w w:val="100"/>
          <w:position w:val="0"/>
          <w:sz w:val="32"/>
          <w:szCs w:val="32"/>
          <w:u w:val="none"/>
          <w:shd w:val="clear" w:color="auto" w:fill="auto"/>
          <w:lang w:val="en-US" w:eastAsia="zh-CN" w:bidi="zh-TW"/>
          <w14:textFill>
            <w14:solidFill>
              <w14:schemeClr w14:val="tx1"/>
            </w14:solidFill>
          </w14:textFill>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十五、对个人和家庭的补助（支出经济分类科目类级）：</w:t>
      </w:r>
      <w:r>
        <w:rPr>
          <w:rFonts w:hint="eastAsia" w:ascii="仿宋_GB2312" w:hAnsi="仿宋_GB2312" w:eastAsia="仿宋_GB2312" w:cs="仿宋_GB2312"/>
          <w:color w:val="000000" w:themeColor="text1"/>
          <w:spacing w:val="0"/>
          <w:w w:val="100"/>
          <w:position w:val="0"/>
          <w:sz w:val="32"/>
          <w:szCs w:val="32"/>
          <w:u w:val="none"/>
          <w:shd w:val="clear" w:color="auto" w:fill="auto"/>
          <w:lang w:val="en-US" w:eastAsia="zh-CN" w:bidi="zh-TW"/>
          <w14:textFill>
            <w14:solidFill>
              <w14:schemeClr w14:val="tx1"/>
            </w14:solidFill>
          </w14:textFill>
        </w:rPr>
        <w:t>反映用于对个人和家庭的补助支出。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000000" w:themeColor="text1"/>
          <w:spacing w:val="0"/>
          <w:w w:val="100"/>
          <w:position w:val="0"/>
          <w:sz w:val="32"/>
          <w:szCs w:val="32"/>
          <w:u w:val="none"/>
          <w:shd w:val="clear" w:color="auto" w:fill="auto"/>
          <w:lang w:val="en-US" w:eastAsia="zh-CN" w:bidi="zh-TW"/>
          <w14:textFill>
            <w14:solidFill>
              <w14:schemeClr w14:val="tx1"/>
            </w14:solidFill>
          </w14:textFill>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十六、其他资本性支出（支出经济分类科目类级）</w:t>
      </w:r>
      <w:r>
        <w:rPr>
          <w:rFonts w:hint="eastAsia" w:ascii="仿宋_GB2312" w:hAnsi="仿宋_GB2312" w:eastAsia="仿宋_GB2312" w:cs="仿宋_GB2312"/>
          <w:color w:val="000000" w:themeColor="text1"/>
          <w:spacing w:val="0"/>
          <w:w w:val="100"/>
          <w:position w:val="0"/>
          <w:sz w:val="32"/>
          <w:szCs w:val="32"/>
          <w:u w:val="none"/>
          <w:shd w:val="clear" w:color="auto" w:fill="auto"/>
          <w:lang w:val="en-US" w:eastAsia="zh-CN" w:bidi="zh-TW"/>
          <w14:textFill>
            <w14:solidFill>
              <w14:schemeClr w14:val="tx1"/>
            </w14:solidFill>
          </w14:textFill>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000000" w:themeColor="text1"/>
          <w:spacing w:val="0"/>
          <w:w w:val="100"/>
          <w:position w:val="0"/>
          <w:sz w:val="32"/>
          <w:szCs w:val="32"/>
          <w:u w:val="none"/>
          <w:shd w:val="clear" w:color="auto" w:fill="auto"/>
          <w:lang w:val="en-US" w:eastAsia="zh-CN" w:bidi="zh-TW"/>
          <w14:textFill>
            <w14:solidFill>
              <w14:schemeClr w14:val="tx1"/>
            </w14:solidFill>
          </w14:textFill>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十七、用事业基金弥补收支差额：</w:t>
      </w:r>
      <w:r>
        <w:rPr>
          <w:rFonts w:hint="eastAsia" w:ascii="仿宋_GB2312" w:hAnsi="仿宋_GB2312" w:eastAsia="仿宋_GB2312" w:cs="仿宋_GB2312"/>
          <w:color w:val="000000" w:themeColor="text1"/>
          <w:spacing w:val="0"/>
          <w:w w:val="100"/>
          <w:position w:val="0"/>
          <w:sz w:val="32"/>
          <w:szCs w:val="32"/>
          <w:u w:val="none"/>
          <w:shd w:val="clear" w:color="auto" w:fill="auto"/>
          <w:lang w:val="en-US" w:eastAsia="zh-CN" w:bidi="zh-TW"/>
          <w14:textFill>
            <w14:solidFill>
              <w14:schemeClr w14:val="tx1"/>
            </w14:solidFill>
          </w14:textFill>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pacing w:val="0"/>
          <w:w w:val="100"/>
          <w:position w:val="0"/>
          <w:sz w:val="32"/>
          <w:szCs w:val="32"/>
          <w:u w:val="none"/>
          <w:shd w:val="clear" w:color="auto" w:fill="auto"/>
          <w:lang w:val="en-US" w:eastAsia="zh-CN" w:bidi="zh-TW"/>
          <w14:textFill>
            <w14:solidFill>
              <w14:schemeClr w14:val="tx1"/>
            </w14:solidFill>
          </w14:textFill>
        </w:rPr>
        <w:t>（注：本部分至少应包含以上信息，不得删减。）</w:t>
      </w:r>
    </w:p>
    <w:sectPr>
      <w:footerReference r:id="rId3" w:type="default"/>
      <w:pgSz w:w="11906" w:h="16838"/>
      <w:pgMar w:top="1440" w:right="1800" w:bottom="1440" w:left="1800" w:header="720" w:footer="720" w:gutter="0"/>
      <w:lnNumType w:countBy="0" w:distance="36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zYzRmZGQ3ZTNkN2MwODJjYTcxNjU1ZjljOGE2OWYifQ=="/>
  </w:docVars>
  <w:rsids>
    <w:rsidRoot w:val="00000000"/>
    <w:rsid w:val="02AA4B1F"/>
    <w:rsid w:val="0D386A9E"/>
    <w:rsid w:val="11B25539"/>
    <w:rsid w:val="12A34BDD"/>
    <w:rsid w:val="1AD863F9"/>
    <w:rsid w:val="302D2CFD"/>
    <w:rsid w:val="435A38D2"/>
    <w:rsid w:val="470E7B71"/>
    <w:rsid w:val="5D387615"/>
    <w:rsid w:val="69AA14E4"/>
    <w:rsid w:val="6F9277B6"/>
    <w:rsid w:val="718E5249"/>
    <w:rsid w:val="776C2BD5"/>
    <w:rsid w:val="77925050"/>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7">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0.xml"/><Relationship Id="rId13" Type="http://schemas.openxmlformats.org/officeDocument/2006/relationships/customXml" Target="../customXml/item9.xml"/><Relationship Id="rId12" Type="http://schemas.openxmlformats.org/officeDocument/2006/relationships/customXml" Target="../customXml/item8.xml"/><Relationship Id="rId11" Type="http://schemas.openxmlformats.org/officeDocument/2006/relationships/customXml" Target="../customXml/item7.xml"/><Relationship Id="rId10" Type="http://schemas.openxmlformats.org/officeDocument/2006/relationships/customXml" Target="../customXml/item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10.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3.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4.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6.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7.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9.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5c862a0d-5a43-460c-b27d-6ae8edf896e5}">
  <ds:schemaRefs/>
</ds:datastoreItem>
</file>

<file path=customXml/itemProps2.xml><?xml version="1.0" encoding="utf-8"?>
<ds:datastoreItem xmlns:ds="http://schemas.openxmlformats.org/officeDocument/2006/customXml" ds:itemID="{d38ddf7c-f42f-4139-a6d5-4c272742fb01}">
  <ds:schemaRefs/>
</ds:datastoreItem>
</file>

<file path=customXml/itemProps3.xml><?xml version="1.0" encoding="utf-8"?>
<ds:datastoreItem xmlns:ds="http://schemas.openxmlformats.org/officeDocument/2006/customXml" ds:itemID="{dd9736f0-b4da-40c5-bb91-cccf845c036b}">
  <ds:schemaRefs/>
</ds:datastoreItem>
</file>

<file path=customXml/itemProps4.xml><?xml version="1.0" encoding="utf-8"?>
<ds:datastoreItem xmlns:ds="http://schemas.openxmlformats.org/officeDocument/2006/customXml" ds:itemID="{d598932f-d44b-446f-8f36-105025c3f829}">
  <ds:schemaRefs/>
</ds:datastoreItem>
</file>

<file path=customXml/itemProps5.xml><?xml version="1.0" encoding="utf-8"?>
<ds:datastoreItem xmlns:ds="http://schemas.openxmlformats.org/officeDocument/2006/customXml" ds:itemID="{1942c3e6-50fa-42e3-afb2-c9ca37f9532b}">
  <ds:schemaRefs/>
</ds:datastoreItem>
</file>

<file path=customXml/itemProps6.xml><?xml version="1.0" encoding="utf-8"?>
<ds:datastoreItem xmlns:ds="http://schemas.openxmlformats.org/officeDocument/2006/customXml" ds:itemID="{9f816721-a34c-4b38-8df9-8940ce05977f}">
  <ds:schemaRefs/>
</ds:datastoreItem>
</file>

<file path=customXml/itemProps7.xml><?xml version="1.0" encoding="utf-8"?>
<ds:datastoreItem xmlns:ds="http://schemas.openxmlformats.org/officeDocument/2006/customXml" ds:itemID="{abd899ba-6e03-4791-9897-a1bbba214d3e}">
  <ds:schemaRefs/>
</ds:datastoreItem>
</file>

<file path=customXml/itemProps8.xml><?xml version="1.0" encoding="utf-8"?>
<ds:datastoreItem xmlns:ds="http://schemas.openxmlformats.org/officeDocument/2006/customXml" ds:itemID="{9ebdd679-4610-4a7d-99c1-8a4128f5cebc}">
  <ds:schemaRefs/>
</ds:datastoreItem>
</file>

<file path=customXml/itemProps9.xml><?xml version="1.0" encoding="utf-8"?>
<ds:datastoreItem xmlns:ds="http://schemas.openxmlformats.org/officeDocument/2006/customXml" ds:itemID="{65f361dc-07a0-4362-b527-b3db1c437bbe}">
  <ds:schemaRefs/>
</ds:datastoreItem>
</file>

<file path=docProps/app.xml><?xml version="1.0" encoding="utf-8"?>
<Properties xmlns="http://schemas.openxmlformats.org/officeDocument/2006/extended-properties" xmlns:vt="http://schemas.openxmlformats.org/officeDocument/2006/docPropsVTypes">
  <Template>Normal.dotm</Template>
  <Pages>18</Pages>
  <Words>6956</Words>
  <Characters>7663</Characters>
  <Lines>0</Lines>
  <Paragraphs>0</Paragraphs>
  <TotalTime>11</TotalTime>
  <ScaleCrop>false</ScaleCrop>
  <LinksUpToDate>false</LinksUpToDate>
  <CharactersWithSpaces>7663</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久孤丶ss</cp:lastModifiedBy>
  <cp:lastPrinted>2023-08-18T07:47:00Z</cp:lastPrinted>
  <dcterms:modified xsi:type="dcterms:W3CDTF">2023-09-21T00:26:35Z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5B6385A7B46F483B86BE93C606BF86D0_12</vt:lpwstr>
  </property>
</Properties>
</file>