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bidi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zh-CN"/>
        </w:rPr>
        <w:t>附件</w:t>
      </w:r>
      <w:r>
        <w:rPr>
          <w:rFonts w:hint="eastAsia" w:ascii="仿宋_GB2312" w:hAnsi="仿宋_GB2312" w:eastAsia="仿宋_GB2312" w:cs="仿宋_GB2312"/>
          <w:sz w:val="32"/>
          <w:szCs w:val="32"/>
          <w:lang w:val="en-US" w:eastAsia="zh-CN"/>
        </w:rPr>
        <w:t>1：</w:t>
      </w: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仿宋_GB2312" w:hAnsi="仿宋_GB2312" w:eastAsia="仿宋_GB2312" w:cs="仿宋_GB2312"/>
          <w:sz w:val="32"/>
          <w:szCs w:val="32"/>
          <w:lang w:val="zh-CN"/>
        </w:rPr>
      </w:pPr>
    </w:p>
    <w:p>
      <w:pPr>
        <w:spacing w:before="100" w:beforeLines="0" w:after="100" w:afterLines="0"/>
        <w:jc w:val="center"/>
        <w:rPr>
          <w:rFonts w:hint="eastAsia" w:ascii="仿宋_GB2312" w:hAnsi="仿宋_GB2312" w:eastAsia="仿宋_GB2312" w:cs="仿宋_GB2312"/>
          <w:sz w:val="32"/>
          <w:szCs w:val="32"/>
          <w:lang w:val="zh-CN"/>
        </w:rPr>
      </w:pPr>
    </w:p>
    <w:p>
      <w:pPr>
        <w:spacing w:before="100" w:beforeLines="0" w:after="100" w:afterLines="0"/>
        <w:jc w:val="center"/>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2022年度</w:t>
      </w:r>
    </w:p>
    <w:p>
      <w:pPr>
        <w:spacing w:before="100" w:beforeLines="0" w:after="100" w:afterLines="0"/>
        <w:jc w:val="center"/>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eastAsia="zh-CN"/>
        </w:rPr>
        <w:t>东乡族自治县高山乡</w:t>
      </w:r>
      <w:r>
        <w:rPr>
          <w:rFonts w:hint="eastAsia" w:ascii="仿宋_GB2312" w:hAnsi="仿宋_GB2312" w:eastAsia="仿宋_GB2312" w:cs="仿宋_GB2312"/>
          <w:sz w:val="32"/>
          <w:szCs w:val="32"/>
          <w:lang w:val="en-US" w:eastAsia="zh-CN"/>
        </w:rPr>
        <w:t>卫生院</w:t>
      </w:r>
      <w:r>
        <w:rPr>
          <w:rFonts w:hint="eastAsia" w:ascii="仿宋_GB2312" w:hAnsi="仿宋_GB2312" w:eastAsia="仿宋_GB2312" w:cs="仿宋_GB2312"/>
          <w:sz w:val="32"/>
          <w:szCs w:val="32"/>
          <w:lang w:val="zh-CN"/>
        </w:rPr>
        <w:t>决算情况说明</w:t>
      </w:r>
    </w:p>
    <w:p>
      <w:pPr>
        <w:spacing w:before="100" w:beforeLines="0" w:after="100" w:afterLines="0"/>
        <w:jc w:val="center"/>
        <w:rPr>
          <w:rFonts w:hint="eastAsia" w:ascii="仿宋_GB2312" w:hAnsi="仿宋_GB2312" w:eastAsia="仿宋_GB2312" w:cs="仿宋_GB2312"/>
          <w:sz w:val="32"/>
          <w:szCs w:val="32"/>
          <w:lang w:val="zh-CN"/>
        </w:rPr>
      </w:pPr>
    </w:p>
    <w:p>
      <w:pPr>
        <w:spacing w:before="100" w:beforeLines="0" w:after="100" w:afterLines="0"/>
        <w:jc w:val="center"/>
        <w:rPr>
          <w:rFonts w:hint="eastAsia" w:ascii="仿宋_GB2312" w:hAnsi="仿宋_GB2312" w:eastAsia="仿宋_GB2312" w:cs="仿宋_GB2312"/>
          <w:sz w:val="32"/>
          <w:szCs w:val="32"/>
          <w:lang w:val="zh-CN"/>
        </w:rPr>
      </w:pPr>
    </w:p>
    <w:p>
      <w:pPr>
        <w:spacing w:before="100" w:beforeLines="0" w:after="100" w:afterLines="0"/>
        <w:jc w:val="center"/>
        <w:rPr>
          <w:rFonts w:hint="eastAsia" w:ascii="仿宋_GB2312" w:hAnsi="仿宋_GB2312" w:eastAsia="仿宋_GB2312" w:cs="仿宋_GB2312"/>
          <w:sz w:val="32"/>
          <w:szCs w:val="32"/>
          <w:lang w:val="zh-CN"/>
        </w:rPr>
      </w:pPr>
    </w:p>
    <w:p>
      <w:pPr>
        <w:spacing w:before="100" w:beforeLines="0" w:after="100" w:afterLines="0"/>
        <w:jc w:val="center"/>
        <w:rPr>
          <w:rFonts w:hint="eastAsia" w:ascii="仿宋_GB2312" w:hAnsi="仿宋_GB2312" w:eastAsia="仿宋_GB2312" w:cs="仿宋_GB2312"/>
          <w:sz w:val="32"/>
          <w:szCs w:val="32"/>
          <w:lang w:val="zh-CN"/>
        </w:rPr>
      </w:pPr>
    </w:p>
    <w:p>
      <w:pPr>
        <w:spacing w:before="100" w:beforeLines="0" w:after="100" w:afterLines="0"/>
        <w:jc w:val="center"/>
        <w:rPr>
          <w:rFonts w:hint="eastAsia" w:ascii="仿宋_GB2312" w:hAnsi="仿宋_GB2312" w:eastAsia="仿宋_GB2312" w:cs="仿宋_GB2312"/>
          <w:sz w:val="32"/>
          <w:szCs w:val="32"/>
          <w:lang w:val="zh-CN"/>
        </w:rPr>
      </w:pPr>
    </w:p>
    <w:p>
      <w:pPr>
        <w:spacing w:before="100" w:beforeLines="0" w:after="100" w:afterLines="0"/>
        <w:jc w:val="center"/>
        <w:rPr>
          <w:rFonts w:hint="eastAsia" w:ascii="仿宋_GB2312" w:hAnsi="仿宋_GB2312" w:eastAsia="仿宋_GB2312" w:cs="仿宋_GB2312"/>
          <w:sz w:val="32"/>
          <w:szCs w:val="32"/>
          <w:lang w:val="zh-CN"/>
        </w:rPr>
      </w:pPr>
    </w:p>
    <w:p>
      <w:pPr>
        <w:spacing w:before="100" w:beforeLines="0" w:after="100" w:afterLines="0"/>
        <w:jc w:val="both"/>
        <w:rPr>
          <w:rFonts w:hint="eastAsia" w:ascii="仿宋_GB2312" w:hAnsi="仿宋_GB2312" w:eastAsia="仿宋_GB2312" w:cs="仿宋_GB2312"/>
          <w:sz w:val="32"/>
          <w:szCs w:val="32"/>
          <w:lang w:val="zh-CN"/>
        </w:rPr>
      </w:pPr>
    </w:p>
    <w:p>
      <w:pPr>
        <w:spacing w:before="100" w:beforeLines="0" w:after="100" w:afterLines="0"/>
        <w:jc w:val="both"/>
        <w:rPr>
          <w:rFonts w:hint="eastAsia" w:ascii="仿宋_GB2312" w:hAnsi="仿宋_GB2312" w:eastAsia="仿宋_GB2312" w:cs="仿宋_GB2312"/>
          <w:sz w:val="32"/>
          <w:szCs w:val="32"/>
          <w:lang w:val="zh-CN"/>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b/>
          <w:sz w:val="32"/>
          <w:szCs w:val="32"/>
          <w:lang w:val="zh-CN"/>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目录</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第一部分部门（单位）概况</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一、部门（单位）职责</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二、机构设置</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第二部分2022年度部门决算表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一、收入支出决算总表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二、收入决算表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三、支出决算表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四、财政拨款收入支出决算总表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五、一般公共预算财政拨款支出决算表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六、一般公共预算财政拨款基本支出决算明细表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七、政府性基金预算财政拨款收入支出决算表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八、国有资本经营预算财政拨款支出决算表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九、财政拨款“三公”经费支出决算表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第三部分2022年度部门决算情况说明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一、收入支出决算总体情况说明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二、收入决算情况说明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三、支出决算情况说明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四、财政拨款收入支出决算总体情况说明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五、一般公共预算财政拨款支出决算情况说明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六、一般公共预算财政拨款基本支出决算情况说明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七、机关运行经费支出情况说明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八、政府采购支出情况说明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九、国有资产占用情况说明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十、政府性基金预算财政拨款收支决算情况说明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十一、国有资本经营预算财政拨款支出情况说明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十二、财政拨款“三公”经费支出决算情况说明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第四部分预算绩效情况说明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第五部分名词解释</w:t>
      </w: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sz w:val="32"/>
          <w:szCs w:val="32"/>
          <w:lang w:val="zh-CN"/>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sz w:val="32"/>
          <w:szCs w:val="32"/>
          <w:lang w:val="zh-CN"/>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sz w:val="32"/>
          <w:szCs w:val="32"/>
          <w:lang w:val="zh-CN"/>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sz w:val="32"/>
          <w:szCs w:val="32"/>
          <w:lang w:val="zh-CN"/>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sz w:val="32"/>
          <w:szCs w:val="32"/>
          <w:lang w:val="zh-CN"/>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sz w:val="32"/>
          <w:szCs w:val="32"/>
          <w:lang w:val="zh-CN"/>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sz w:val="32"/>
          <w:szCs w:val="32"/>
          <w:lang w:val="zh-CN"/>
        </w:rPr>
      </w:pP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b/>
          <w:sz w:val="32"/>
          <w:szCs w:val="32"/>
          <w:lang w:val="zh-CN"/>
        </w:rPr>
      </w:pP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b/>
          <w:sz w:val="32"/>
          <w:szCs w:val="32"/>
          <w:lang w:val="zh-CN"/>
        </w:rPr>
      </w:pP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第一部分部门</w:t>
      </w:r>
      <w:r>
        <w:rPr>
          <w:rFonts w:hint="eastAsia" w:ascii="仿宋_GB2312" w:hAnsi="仿宋_GB2312" w:eastAsia="仿宋_GB2312" w:cs="仿宋_GB2312"/>
          <w:b/>
          <w:sz w:val="32"/>
          <w:szCs w:val="32"/>
          <w:lang w:val="en-US" w:eastAsia="zh-CN"/>
        </w:rPr>
        <w:t>(单位）</w:t>
      </w:r>
      <w:r>
        <w:rPr>
          <w:rFonts w:hint="eastAsia" w:ascii="仿宋_GB2312" w:hAnsi="仿宋_GB2312" w:eastAsia="仿宋_GB2312" w:cs="仿宋_GB2312"/>
          <w:b/>
          <w:sz w:val="32"/>
          <w:szCs w:val="32"/>
          <w:lang w:val="zh-CN"/>
        </w:rPr>
        <w:t>概况</w:t>
      </w:r>
    </w:p>
    <w:p>
      <w:pPr>
        <w:keepNext w:val="0"/>
        <w:keepLines w:val="0"/>
        <w:pageBreakBefore w:val="0"/>
        <w:widowControl/>
        <w:numPr>
          <w:ilvl w:val="0"/>
          <w:numId w:val="1"/>
        </w:numPr>
        <w:kinsoku/>
        <w:wordWrap/>
        <w:overflowPunct/>
        <w:topLinePunct w:val="0"/>
        <w:autoSpaceDE/>
        <w:autoSpaceDN/>
        <w:bidi w:val="0"/>
        <w:adjustRightInd/>
        <w:snapToGrid/>
        <w:spacing w:before="100" w:beforeLines="0" w:after="100" w:afterLines="0" w:line="240" w:lineRule="auto"/>
        <w:ind w:left="200" w:leftChars="0" w:firstLine="640" w:firstLineChars="0"/>
        <w:jc w:val="left"/>
        <w:textAlignment w:val="auto"/>
        <w:rPr>
          <w:rFonts w:hint="eastAsia" w:ascii="仿宋_GB2312" w:hAnsi="仿宋_GB2312" w:eastAsia="仿宋_GB2312" w:cs="仿宋_GB2312"/>
          <w:b/>
          <w:bCs/>
          <w:sz w:val="32"/>
          <w:szCs w:val="32"/>
          <w:lang w:val="zh-CN"/>
        </w:rPr>
      </w:pPr>
      <w:r>
        <w:rPr>
          <w:rFonts w:hint="eastAsia" w:ascii="仿宋_GB2312" w:hAnsi="仿宋_GB2312" w:eastAsia="仿宋_GB2312" w:cs="仿宋_GB2312"/>
          <w:b/>
          <w:bCs/>
          <w:sz w:val="32"/>
          <w:szCs w:val="32"/>
          <w:lang w:val="zh-CN"/>
        </w:rPr>
        <w:t>部门（单位））职责</w:t>
      </w:r>
    </w:p>
    <w:p>
      <w:pPr>
        <w:pageBreakBefore w:val="0"/>
        <w:kinsoku/>
        <w:wordWrap/>
        <w:overflowPunct/>
        <w:topLinePunct w:val="0"/>
        <w:autoSpaceDE/>
        <w:autoSpaceDN/>
        <w:bidi w:val="0"/>
        <w:adjustRightInd/>
        <w:snapToGrid/>
        <w:spacing w:before="100" w:beforeLines="0" w:after="100" w:afterLines="0" w:line="240" w:lineRule="auto"/>
        <w:ind w:firstLine="420" w:firstLineChars="200"/>
        <w:jc w:val="left"/>
        <w:textAlignment w:val="auto"/>
        <w:rPr>
          <w:rFonts w:hint="eastAsia" w:ascii="仿宋_GB2312" w:hAnsi="仿宋_GB2312" w:eastAsia="仿宋_GB2312" w:cs="仿宋_GB2312"/>
          <w:color w:val="000000"/>
          <w:spacing w:val="0"/>
          <w:w w:val="100"/>
          <w:position w:val="0"/>
          <w:sz w:val="32"/>
          <w:szCs w:val="32"/>
          <w:lang w:eastAsia="zh-CN"/>
        </w:rPr>
      </w:pPr>
      <w:r>
        <w:rPr>
          <w:rFonts w:hint="eastAsia"/>
        </w:rPr>
        <w:t>　</w:t>
      </w:r>
      <w:r>
        <w:rPr>
          <w:rFonts w:hint="eastAsia" w:ascii="仿宋_GB2312" w:hAnsi="仿宋_GB2312" w:eastAsia="仿宋_GB2312" w:cs="仿宋_GB2312"/>
          <w:color w:val="000000"/>
          <w:spacing w:val="0"/>
          <w:w w:val="100"/>
          <w:position w:val="0"/>
          <w:sz w:val="32"/>
          <w:szCs w:val="32"/>
          <w:lang w:eastAsia="zh-CN"/>
        </w:rPr>
        <w:t>卫生院以贯彻执行党的卫生工作方针政策和国家卫生法律、法规，以公共卫生服务为主，面向农村居民提供综合性卫生服务，受上级卫生行政部门委托承担辖区内预防保舰基本医疗、健康教育、康复和计划生育技术等工作。具体职责如下：</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eastAsia="zh-CN"/>
        </w:rPr>
        <w:t>一、负责本乡镇的卫生工作法律、法规、政策的贯彻，卫生事业发展规划和工作计划的制订，社会公共卫生工作的组织和实施;</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000000"/>
          <w:spacing w:val="0"/>
          <w:w w:val="100"/>
          <w:position w:val="0"/>
          <w:sz w:val="32"/>
          <w:szCs w:val="32"/>
          <w:lang w:val="zh-CN" w:eastAsia="zh-CN"/>
        </w:rPr>
      </w:pPr>
      <w:r>
        <w:rPr>
          <w:rFonts w:hint="eastAsia" w:ascii="仿宋_GB2312" w:hAnsi="仿宋_GB2312" w:eastAsia="仿宋_GB2312" w:cs="仿宋_GB2312"/>
          <w:color w:val="000000"/>
          <w:spacing w:val="0"/>
          <w:w w:val="100"/>
          <w:position w:val="0"/>
          <w:sz w:val="32"/>
          <w:szCs w:val="32"/>
          <w:lang w:eastAsia="zh-CN"/>
        </w:rPr>
        <w:t>二、负责本乡镇的基本医疗服务;　</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000000"/>
          <w:spacing w:val="0"/>
          <w:w w:val="100"/>
          <w:position w:val="0"/>
          <w:sz w:val="32"/>
          <w:szCs w:val="32"/>
          <w:lang w:val="zh-CN" w:eastAsia="zh-CN"/>
        </w:rPr>
      </w:pPr>
      <w:r>
        <w:rPr>
          <w:rFonts w:hint="eastAsia" w:ascii="仿宋_GB2312" w:hAnsi="仿宋_GB2312" w:eastAsia="仿宋_GB2312" w:cs="仿宋_GB2312"/>
          <w:color w:val="000000"/>
          <w:spacing w:val="0"/>
          <w:w w:val="100"/>
          <w:position w:val="0"/>
          <w:sz w:val="32"/>
          <w:szCs w:val="32"/>
          <w:lang w:eastAsia="zh-CN"/>
        </w:rPr>
        <w:t>三、负责本乡镇突发公共卫生事件的报告，并依据上级部门要求组织实施处置;　</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000000"/>
          <w:spacing w:val="0"/>
          <w:w w:val="100"/>
          <w:position w:val="0"/>
          <w:sz w:val="32"/>
          <w:szCs w:val="32"/>
          <w:lang w:val="zh-CN" w:eastAsia="zh-CN"/>
        </w:rPr>
      </w:pPr>
      <w:r>
        <w:rPr>
          <w:rFonts w:hint="eastAsia" w:ascii="仿宋_GB2312" w:hAnsi="仿宋_GB2312" w:eastAsia="仿宋_GB2312" w:cs="仿宋_GB2312"/>
          <w:color w:val="000000"/>
          <w:spacing w:val="0"/>
          <w:w w:val="100"/>
          <w:position w:val="0"/>
          <w:sz w:val="32"/>
          <w:szCs w:val="32"/>
          <w:lang w:eastAsia="zh-CN"/>
        </w:rPr>
        <w:t>四、负责本乡镇辖区内的卫生信息统计、分析、上报;　</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000000"/>
          <w:spacing w:val="0"/>
          <w:w w:val="100"/>
          <w:position w:val="0"/>
          <w:sz w:val="32"/>
          <w:szCs w:val="32"/>
          <w:lang w:val="zh-CN" w:eastAsia="zh-CN"/>
        </w:rPr>
      </w:pPr>
      <w:r>
        <w:rPr>
          <w:rFonts w:hint="eastAsia" w:ascii="仿宋_GB2312" w:hAnsi="仿宋_GB2312" w:eastAsia="仿宋_GB2312" w:cs="仿宋_GB2312"/>
          <w:color w:val="000000"/>
          <w:spacing w:val="0"/>
          <w:w w:val="100"/>
          <w:position w:val="0"/>
          <w:sz w:val="32"/>
          <w:szCs w:val="32"/>
          <w:lang w:eastAsia="zh-CN"/>
        </w:rPr>
        <w:t>五、负责对本乡镇辖区内村级卫生组织和乡村医生的业务指导和培训;　</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000000"/>
          <w:spacing w:val="0"/>
          <w:w w:val="100"/>
          <w:position w:val="0"/>
          <w:sz w:val="32"/>
          <w:szCs w:val="32"/>
          <w:lang w:val="zh-CN" w:eastAsia="zh-CN"/>
        </w:rPr>
      </w:pPr>
      <w:r>
        <w:rPr>
          <w:rFonts w:hint="eastAsia" w:ascii="仿宋_GB2312" w:hAnsi="仿宋_GB2312" w:eastAsia="仿宋_GB2312" w:cs="仿宋_GB2312"/>
          <w:color w:val="000000"/>
          <w:spacing w:val="0"/>
          <w:w w:val="100"/>
          <w:position w:val="0"/>
          <w:sz w:val="32"/>
          <w:szCs w:val="32"/>
          <w:lang w:eastAsia="zh-CN"/>
        </w:rPr>
        <w:t>六、负责承办政府卫生行政部门委托的相关业务或事项;负责上级卫生行政部门下达的其他工作。</w:t>
      </w:r>
    </w:p>
    <w:p>
      <w:pPr>
        <w:keepNext w:val="0"/>
        <w:keepLines w:val="0"/>
        <w:pageBreakBefore w:val="0"/>
        <w:widowControl/>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bCs/>
          <w:color w:val="auto"/>
          <w:sz w:val="32"/>
          <w:szCs w:val="32"/>
          <w:lang w:val="zh-CN"/>
        </w:rPr>
      </w:pPr>
      <w:r>
        <w:rPr>
          <w:rFonts w:hint="eastAsia" w:ascii="仿宋_GB2312" w:hAnsi="仿宋_GB2312" w:eastAsia="仿宋_GB2312" w:cs="仿宋_GB2312"/>
          <w:b/>
          <w:bCs/>
          <w:color w:val="auto"/>
          <w:sz w:val="32"/>
          <w:szCs w:val="32"/>
          <w:lang w:val="zh-CN"/>
        </w:rPr>
        <w:t>二、机构设置</w:t>
      </w:r>
    </w:p>
    <w:p>
      <w:pPr>
        <w:ind w:firstLine="640" w:firstLineChars="200"/>
        <w:rPr>
          <w:rFonts w:hint="eastAsia" w:ascii="仿宋" w:hAnsi="仿宋" w:eastAsia="仿宋" w:cs="仿宋"/>
          <w:color w:val="000000" w:themeColor="text1"/>
          <w:kern w:val="0"/>
          <w:sz w:val="32"/>
          <w:szCs w:val="32"/>
          <w:lang w:val="en-US" w:eastAsia="zh-CN" w:bidi="ar"/>
          <w14:textFill>
            <w14:solidFill>
              <w14:schemeClr w14:val="tx1"/>
            </w14:solidFill>
          </w14:textFill>
        </w:rPr>
      </w:pPr>
      <w:r>
        <w:rPr>
          <w:rFonts w:hint="eastAsia" w:ascii="仿宋" w:hAnsi="仿宋" w:eastAsia="仿宋" w:cs="仿宋"/>
          <w:color w:val="000000" w:themeColor="text1"/>
          <w:kern w:val="0"/>
          <w:sz w:val="32"/>
          <w:szCs w:val="32"/>
          <w:lang w:val="en-US" w:eastAsia="zh-CN" w:bidi="ar"/>
          <w14:textFill>
            <w14:solidFill>
              <w14:schemeClr w14:val="tx1"/>
            </w14:solidFill>
          </w14:textFill>
        </w:rPr>
        <w:t>我院现有职工13名，专业技术人员13名，其中正式工有10名，临时工有1名，同工同酬人员2名，有执业助理医师资格证4名，注册护士有1名。开设有全科门诊、中医理疗科、治疗室、检验室、B超室及心电图室等7个临床科室，设有公卫科、财务室、医保办、计划免疫室、妇幼保健室、健康扶贫办公室、计划生育科、收费室等8个辅助科室。</w:t>
      </w:r>
    </w:p>
    <w:p>
      <w:pPr>
        <w:spacing w:line="640" w:lineRule="exact"/>
        <w:rPr>
          <w:rFonts w:hint="eastAsia" w:ascii="仿宋_GB2312" w:hAnsi="黑体" w:eastAsia="仿宋_GB2312"/>
          <w:b/>
          <w:sz w:val="44"/>
          <w:szCs w:val="44"/>
          <w:lang w:val="en-US" w:eastAsia="zh-CN"/>
        </w:rPr>
      </w:pP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第二部分2022年度部门决算表（见附件）</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一、收入支出决算总表</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二、收入决算表</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三、支出决算表</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四、财政拨款收入支出决算总表</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五、一般公共预算财政拨款支出决算表</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六、一般公共预算财政拨款基本支出决算明细表</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七、政府性基金预算财政拨款收入支出决算表</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八、国有资本经营预算财政拨款支出决算表</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九、财政拨款“三公”经费支出决算表</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第三部分2022年度部门决算情况说明</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一、收入支出决算总体情况说明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FF0000"/>
          <w:sz w:val="32"/>
          <w:szCs w:val="32"/>
          <w:lang w:val="zh-CN"/>
        </w:rPr>
      </w:pPr>
      <w:r>
        <w:rPr>
          <w:rFonts w:hint="eastAsia" w:ascii="仿宋_GB2312" w:hAnsi="仿宋_GB2312" w:eastAsia="仿宋_GB2312" w:cs="仿宋_GB2312"/>
          <w:color w:val="auto"/>
          <w:sz w:val="32"/>
          <w:szCs w:val="32"/>
          <w:lang w:val="zh-CN"/>
        </w:rPr>
        <w:t>2022年度</w:t>
      </w:r>
      <w:r>
        <w:rPr>
          <w:rFonts w:hint="eastAsia" w:ascii="仿宋_GB2312" w:hAnsi="仿宋_GB2312" w:eastAsia="仿宋_GB2312" w:cs="仿宋_GB2312"/>
          <w:color w:val="000000"/>
          <w:spacing w:val="0"/>
          <w:w w:val="100"/>
          <w:position w:val="0"/>
          <w:sz w:val="32"/>
          <w:szCs w:val="32"/>
          <w:lang w:eastAsia="zh-CN"/>
        </w:rPr>
        <w:t>本单位</w:t>
      </w:r>
      <w:r>
        <w:rPr>
          <w:rFonts w:hint="eastAsia" w:ascii="仿宋_GB2312" w:hAnsi="仿宋_GB2312" w:eastAsia="仿宋_GB2312" w:cs="仿宋_GB2312"/>
          <w:color w:val="000000"/>
          <w:spacing w:val="0"/>
          <w:w w:val="100"/>
          <w:position w:val="0"/>
          <w:sz w:val="32"/>
          <w:szCs w:val="32"/>
          <w:lang w:val="en-US" w:eastAsia="zh-CN"/>
        </w:rPr>
        <w:t>收入总计1747524.99元，支出总计1747524.99元，与2021年决算数相比，收入增97460.91元，增长5.91%，支出增加48521.86元，增长2.86%。主要原因是人员调入及工资调整，导致医疗养老、公积金的增加，2022年公卫资金、药物制度等项目资金下达、支出较2021年增多。</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二、收入决算情况说明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2022年度收入合计</w:t>
      </w:r>
      <w:r>
        <w:rPr>
          <w:rFonts w:hint="eastAsia" w:ascii="仿宋_GB2312" w:hAnsi="仿宋_GB2312" w:eastAsia="仿宋_GB2312" w:cs="仿宋_GB2312"/>
          <w:color w:val="auto"/>
          <w:sz w:val="32"/>
          <w:szCs w:val="32"/>
          <w:lang w:val="en-US" w:eastAsia="zh-CN"/>
        </w:rPr>
        <w:t>174.75</w:t>
      </w:r>
      <w:r>
        <w:rPr>
          <w:rFonts w:hint="eastAsia" w:ascii="仿宋_GB2312" w:hAnsi="仿宋_GB2312" w:eastAsia="仿宋_GB2312" w:cs="仿宋_GB2312"/>
          <w:color w:val="auto"/>
          <w:sz w:val="32"/>
          <w:szCs w:val="32"/>
          <w:lang w:val="zh-CN"/>
        </w:rPr>
        <w:t>万元,其中：财政拨款收入</w:t>
      </w:r>
      <w:r>
        <w:rPr>
          <w:rFonts w:hint="eastAsia" w:ascii="仿宋_GB2312" w:hAnsi="仿宋_GB2312" w:eastAsia="仿宋_GB2312" w:cs="仿宋_GB2312"/>
          <w:color w:val="auto"/>
          <w:sz w:val="32"/>
          <w:szCs w:val="32"/>
          <w:lang w:val="en-US" w:eastAsia="zh-CN"/>
        </w:rPr>
        <w:t>163.62</w:t>
      </w:r>
      <w:r>
        <w:rPr>
          <w:rFonts w:hint="eastAsia" w:ascii="仿宋_GB2312" w:hAnsi="仿宋_GB2312" w:eastAsia="仿宋_GB2312" w:cs="仿宋_GB2312"/>
          <w:color w:val="auto"/>
          <w:sz w:val="32"/>
          <w:szCs w:val="32"/>
          <w:lang w:val="zh-CN"/>
        </w:rPr>
        <w:t>万元,占</w:t>
      </w:r>
      <w:r>
        <w:rPr>
          <w:rFonts w:hint="eastAsia" w:ascii="仿宋_GB2312" w:hAnsi="仿宋_GB2312" w:eastAsia="仿宋_GB2312" w:cs="仿宋_GB2312"/>
          <w:color w:val="auto"/>
          <w:sz w:val="32"/>
          <w:szCs w:val="32"/>
          <w:lang w:val="en-US" w:eastAsia="zh-CN"/>
        </w:rPr>
        <w:t>93.63</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auto"/>
          <w:sz w:val="32"/>
          <w:szCs w:val="32"/>
          <w:lang w:val="en-US"/>
        </w:rPr>
        <w:t>事业</w:t>
      </w:r>
      <w:r>
        <w:rPr>
          <w:rFonts w:hint="eastAsia" w:ascii="仿宋_GB2312" w:hAnsi="仿宋_GB2312" w:eastAsia="仿宋_GB2312" w:cs="仿宋_GB2312"/>
          <w:color w:val="auto"/>
          <w:sz w:val="32"/>
          <w:szCs w:val="32"/>
          <w:lang w:val="zh-CN"/>
        </w:rPr>
        <w:t>收入</w:t>
      </w:r>
      <w:r>
        <w:rPr>
          <w:rFonts w:hint="eastAsia" w:ascii="仿宋_GB2312" w:hAnsi="仿宋_GB2312" w:eastAsia="仿宋_GB2312" w:cs="仿宋_GB2312"/>
          <w:color w:val="auto"/>
          <w:sz w:val="32"/>
          <w:szCs w:val="32"/>
          <w:lang w:val="en-US" w:eastAsia="zh-CN"/>
        </w:rPr>
        <w:t>11.13</w:t>
      </w:r>
      <w:r>
        <w:rPr>
          <w:rFonts w:hint="eastAsia" w:ascii="仿宋_GB2312" w:hAnsi="仿宋_GB2312" w:eastAsia="仿宋_GB2312" w:cs="仿宋_GB2312"/>
          <w:color w:val="auto"/>
          <w:sz w:val="32"/>
          <w:szCs w:val="32"/>
          <w:lang w:val="zh-CN"/>
        </w:rPr>
        <w:t>万元,占</w:t>
      </w:r>
      <w:r>
        <w:rPr>
          <w:rFonts w:hint="eastAsia" w:ascii="仿宋_GB2312" w:hAnsi="仿宋_GB2312" w:eastAsia="仿宋_GB2312" w:cs="仿宋_GB2312"/>
          <w:color w:val="auto"/>
          <w:sz w:val="32"/>
          <w:szCs w:val="32"/>
          <w:lang w:val="en-US" w:eastAsia="zh-CN"/>
        </w:rPr>
        <w:t>6.37</w:t>
      </w:r>
      <w:r>
        <w:rPr>
          <w:rFonts w:hint="eastAsia" w:ascii="仿宋_GB2312" w:hAnsi="仿宋_GB2312" w:eastAsia="仿宋_GB2312" w:cs="仿宋_GB2312"/>
          <w:color w:val="auto"/>
          <w:sz w:val="32"/>
          <w:szCs w:val="32"/>
          <w:lang w:val="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三、支出决算情况说明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2022年度支出合计</w:t>
      </w:r>
      <w:r>
        <w:rPr>
          <w:rFonts w:hint="eastAsia" w:ascii="仿宋_GB2312" w:hAnsi="仿宋_GB2312" w:eastAsia="仿宋_GB2312" w:cs="仿宋_GB2312"/>
          <w:color w:val="auto"/>
          <w:sz w:val="32"/>
          <w:szCs w:val="32"/>
          <w:lang w:val="en-US" w:eastAsia="zh-CN"/>
        </w:rPr>
        <w:t>174.75</w:t>
      </w:r>
      <w:r>
        <w:rPr>
          <w:rFonts w:hint="eastAsia" w:ascii="仿宋_GB2312" w:hAnsi="仿宋_GB2312" w:eastAsia="仿宋_GB2312" w:cs="仿宋_GB2312"/>
          <w:color w:val="auto"/>
          <w:sz w:val="32"/>
          <w:szCs w:val="32"/>
          <w:lang w:val="zh-CN"/>
        </w:rPr>
        <w:t>万元,其中：基本支出</w:t>
      </w:r>
      <w:r>
        <w:rPr>
          <w:rFonts w:hint="eastAsia" w:ascii="仿宋_GB2312" w:hAnsi="仿宋_GB2312" w:eastAsia="仿宋_GB2312" w:cs="仿宋_GB2312"/>
          <w:color w:val="auto"/>
          <w:sz w:val="32"/>
          <w:szCs w:val="32"/>
          <w:lang w:val="en-US" w:eastAsia="zh-CN"/>
        </w:rPr>
        <w:t>130.26</w:t>
      </w:r>
      <w:r>
        <w:rPr>
          <w:rFonts w:hint="eastAsia" w:ascii="仿宋_GB2312" w:hAnsi="仿宋_GB2312" w:eastAsia="仿宋_GB2312" w:cs="仿宋_GB2312"/>
          <w:color w:val="auto"/>
          <w:sz w:val="32"/>
          <w:szCs w:val="32"/>
          <w:lang w:val="zh-CN"/>
        </w:rPr>
        <w:t>万元,占</w:t>
      </w:r>
      <w:r>
        <w:rPr>
          <w:rFonts w:hint="eastAsia" w:ascii="仿宋_GB2312" w:hAnsi="仿宋_GB2312" w:eastAsia="仿宋_GB2312" w:cs="仿宋_GB2312"/>
          <w:color w:val="auto"/>
          <w:sz w:val="32"/>
          <w:szCs w:val="32"/>
          <w:lang w:val="en-US" w:eastAsia="zh-CN"/>
        </w:rPr>
        <w:t>74.57</w:t>
      </w:r>
      <w:r>
        <w:rPr>
          <w:rFonts w:hint="eastAsia" w:ascii="仿宋_GB2312" w:hAnsi="仿宋_GB2312" w:eastAsia="仿宋_GB2312" w:cs="仿宋_GB2312"/>
          <w:color w:val="auto"/>
          <w:sz w:val="32"/>
          <w:szCs w:val="32"/>
          <w:lang w:val="zh-CN"/>
        </w:rPr>
        <w:t>%；项目支出</w:t>
      </w:r>
      <w:r>
        <w:rPr>
          <w:rFonts w:hint="eastAsia" w:ascii="仿宋_GB2312" w:hAnsi="仿宋_GB2312" w:eastAsia="仿宋_GB2312" w:cs="仿宋_GB2312"/>
          <w:color w:val="auto"/>
          <w:sz w:val="32"/>
          <w:szCs w:val="32"/>
          <w:lang w:val="en-US" w:eastAsia="zh-CN"/>
        </w:rPr>
        <w:t>44.49</w:t>
      </w:r>
      <w:r>
        <w:rPr>
          <w:rFonts w:hint="eastAsia" w:ascii="仿宋_GB2312" w:hAnsi="仿宋_GB2312" w:eastAsia="仿宋_GB2312" w:cs="仿宋_GB2312"/>
          <w:color w:val="auto"/>
          <w:sz w:val="32"/>
          <w:szCs w:val="32"/>
          <w:lang w:val="zh-CN"/>
        </w:rPr>
        <w:t>万元,占</w:t>
      </w:r>
      <w:r>
        <w:rPr>
          <w:rFonts w:hint="eastAsia" w:ascii="仿宋_GB2312" w:hAnsi="仿宋_GB2312" w:eastAsia="仿宋_GB2312" w:cs="仿宋_GB2312"/>
          <w:color w:val="auto"/>
          <w:sz w:val="32"/>
          <w:szCs w:val="32"/>
          <w:lang w:val="en-US" w:eastAsia="zh-CN"/>
        </w:rPr>
        <w:t>25.43</w:t>
      </w:r>
      <w:r>
        <w:rPr>
          <w:rFonts w:hint="eastAsia" w:ascii="仿宋_GB2312" w:hAnsi="仿宋_GB2312" w:eastAsia="仿宋_GB2312" w:cs="仿宋_GB2312"/>
          <w:color w:val="auto"/>
          <w:sz w:val="32"/>
          <w:szCs w:val="32"/>
          <w:lang w:val="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highlight w:val="none"/>
          <w:lang w:val="zh-CN"/>
        </w:rPr>
      </w:pPr>
      <w:r>
        <w:rPr>
          <w:rFonts w:hint="eastAsia" w:ascii="仿宋_GB2312" w:hAnsi="仿宋_GB2312" w:eastAsia="仿宋_GB2312" w:cs="仿宋_GB2312"/>
          <w:b/>
          <w:sz w:val="32"/>
          <w:szCs w:val="32"/>
          <w:highlight w:val="none"/>
          <w:lang w:val="zh-CN"/>
        </w:rPr>
        <w:t>四、财政拨款收入支出决算总体情况说明</w:t>
      </w:r>
    </w:p>
    <w:p>
      <w:pPr>
        <w:pageBreakBefore w:val="0"/>
        <w:kinsoku/>
        <w:wordWrap/>
        <w:overflowPunct/>
        <w:topLinePunct w:val="0"/>
        <w:autoSpaceDE/>
        <w:autoSpaceDN/>
        <w:bidi w:val="0"/>
        <w:adjustRightInd/>
        <w:snapToGrid/>
        <w:spacing w:beforeLines="0" w:afterLines="0" w:line="240" w:lineRule="auto"/>
        <w:ind w:firstLine="640" w:firstLineChars="200"/>
        <w:jc w:val="left"/>
        <w:textAlignment w:val="auto"/>
        <w:rPr>
          <w:rFonts w:hint="eastAsia" w:ascii="仿宋_GB2312" w:hAnsi="仿宋_GB2312" w:eastAsia="仿宋_GB2312" w:cs="仿宋_GB2312"/>
          <w:color w:val="000000"/>
          <w:spacing w:val="0"/>
          <w:w w:val="100"/>
          <w:position w:val="0"/>
          <w:sz w:val="32"/>
          <w:szCs w:val="32"/>
          <w:highlight w:val="none"/>
          <w:lang w:val="en-US" w:eastAsia="zh-CN"/>
        </w:rPr>
      </w:pPr>
      <w:r>
        <w:rPr>
          <w:rFonts w:hint="eastAsia" w:ascii="仿宋_GB2312" w:hAnsi="仿宋_GB2312" w:eastAsia="仿宋_GB2312" w:cs="仿宋_GB2312"/>
          <w:color w:val="000000"/>
          <w:spacing w:val="0"/>
          <w:w w:val="100"/>
          <w:position w:val="0"/>
          <w:sz w:val="32"/>
          <w:szCs w:val="32"/>
          <w:highlight w:val="none"/>
        </w:rPr>
        <w:t>本单位</w:t>
      </w:r>
      <w:r>
        <w:rPr>
          <w:rFonts w:hint="eastAsia" w:ascii="仿宋_GB2312" w:hAnsi="仿宋_GB2312" w:eastAsia="仿宋_GB2312" w:cs="仿宋_GB2312"/>
          <w:color w:val="000000"/>
          <w:spacing w:val="0"/>
          <w:w w:val="100"/>
          <w:position w:val="0"/>
          <w:sz w:val="32"/>
          <w:szCs w:val="32"/>
          <w:highlight w:val="none"/>
          <w:lang w:eastAsia="zh-CN"/>
        </w:rPr>
        <w:t>202</w:t>
      </w:r>
      <w:r>
        <w:rPr>
          <w:rFonts w:hint="eastAsia" w:ascii="仿宋_GB2312" w:hAnsi="仿宋_GB2312" w:eastAsia="仿宋_GB2312" w:cs="仿宋_GB2312"/>
          <w:color w:val="000000"/>
          <w:spacing w:val="0"/>
          <w:w w:val="100"/>
          <w:position w:val="0"/>
          <w:sz w:val="32"/>
          <w:szCs w:val="32"/>
          <w:highlight w:val="none"/>
          <w:lang w:val="en-US" w:eastAsia="zh-CN"/>
        </w:rPr>
        <w:t>2</w:t>
      </w:r>
      <w:r>
        <w:rPr>
          <w:rFonts w:hint="eastAsia" w:ascii="仿宋_GB2312" w:hAnsi="仿宋_GB2312" w:eastAsia="仿宋_GB2312" w:cs="仿宋_GB2312"/>
          <w:color w:val="000000"/>
          <w:spacing w:val="0"/>
          <w:w w:val="100"/>
          <w:position w:val="0"/>
          <w:sz w:val="32"/>
          <w:szCs w:val="32"/>
          <w:highlight w:val="none"/>
        </w:rPr>
        <w:t>年度财政拨款收入</w:t>
      </w:r>
      <w:r>
        <w:rPr>
          <w:rFonts w:hint="eastAsia" w:ascii="仿宋_GB2312" w:hAnsi="仿宋_GB2312" w:eastAsia="仿宋_GB2312" w:cs="仿宋_GB2312"/>
          <w:color w:val="000000"/>
          <w:spacing w:val="0"/>
          <w:w w:val="100"/>
          <w:position w:val="0"/>
          <w:sz w:val="32"/>
          <w:szCs w:val="32"/>
          <w:highlight w:val="none"/>
          <w:lang w:val="en-US" w:eastAsia="zh-CN"/>
        </w:rPr>
        <w:t>1636283.79</w:t>
      </w:r>
      <w:r>
        <w:rPr>
          <w:rFonts w:hint="eastAsia" w:ascii="仿宋_GB2312" w:hAnsi="仿宋_GB2312" w:eastAsia="仿宋_GB2312" w:cs="仿宋_GB2312"/>
          <w:color w:val="000000"/>
          <w:spacing w:val="0"/>
          <w:w w:val="100"/>
          <w:position w:val="0"/>
          <w:sz w:val="32"/>
          <w:szCs w:val="32"/>
          <w:highlight w:val="none"/>
        </w:rPr>
        <w:t>元，较上年决算数增加</w:t>
      </w:r>
      <w:r>
        <w:rPr>
          <w:rFonts w:hint="eastAsia" w:ascii="仿宋_GB2312" w:hAnsi="仿宋_GB2312" w:eastAsia="仿宋_GB2312" w:cs="仿宋_GB2312"/>
          <w:color w:val="000000"/>
          <w:spacing w:val="0"/>
          <w:w w:val="100"/>
          <w:position w:val="0"/>
          <w:sz w:val="32"/>
          <w:szCs w:val="32"/>
          <w:highlight w:val="none"/>
          <w:lang w:val="en-US" w:eastAsia="zh-CN"/>
        </w:rPr>
        <w:t>115963.4</w:t>
      </w:r>
      <w:r>
        <w:rPr>
          <w:rFonts w:hint="eastAsia" w:ascii="仿宋_GB2312" w:hAnsi="仿宋_GB2312" w:eastAsia="仿宋_GB2312" w:cs="仿宋_GB2312"/>
          <w:color w:val="000000"/>
          <w:spacing w:val="0"/>
          <w:w w:val="100"/>
          <w:position w:val="0"/>
          <w:sz w:val="32"/>
          <w:szCs w:val="32"/>
          <w:highlight w:val="none"/>
        </w:rPr>
        <w:t>元，增长</w:t>
      </w:r>
      <w:r>
        <w:rPr>
          <w:rFonts w:hint="eastAsia" w:ascii="仿宋_GB2312" w:hAnsi="仿宋_GB2312" w:eastAsia="仿宋_GB2312" w:cs="仿宋_GB2312"/>
          <w:color w:val="000000"/>
          <w:spacing w:val="0"/>
          <w:w w:val="100"/>
          <w:position w:val="0"/>
          <w:sz w:val="32"/>
          <w:szCs w:val="32"/>
          <w:highlight w:val="none"/>
          <w:lang w:val="en-US" w:eastAsia="zh-CN"/>
        </w:rPr>
        <w:t>7.63</w:t>
      </w:r>
      <w:r>
        <w:rPr>
          <w:rFonts w:hint="eastAsia" w:ascii="仿宋_GB2312" w:hAnsi="仿宋_GB2312" w:eastAsia="仿宋_GB2312" w:cs="仿宋_GB2312"/>
          <w:color w:val="000000"/>
          <w:spacing w:val="0"/>
          <w:w w:val="100"/>
          <w:position w:val="0"/>
          <w:sz w:val="32"/>
          <w:szCs w:val="32"/>
          <w:highlight w:val="none"/>
        </w:rPr>
        <w:t>%</w:t>
      </w:r>
      <w:r>
        <w:rPr>
          <w:rFonts w:hint="eastAsia" w:ascii="仿宋_GB2312" w:hAnsi="仿宋_GB2312" w:eastAsia="仿宋_GB2312" w:cs="仿宋_GB2312"/>
          <w:color w:val="000000"/>
          <w:spacing w:val="0"/>
          <w:w w:val="100"/>
          <w:position w:val="0"/>
          <w:sz w:val="32"/>
          <w:szCs w:val="32"/>
          <w:highlight w:val="none"/>
          <w:lang w:eastAsia="zh-CN"/>
        </w:rPr>
        <w:t>，</w:t>
      </w:r>
      <w:r>
        <w:rPr>
          <w:rFonts w:hint="eastAsia" w:ascii="仿宋_GB2312" w:hAnsi="仿宋_GB2312" w:eastAsia="仿宋_GB2312" w:cs="仿宋_GB2312"/>
          <w:color w:val="000000"/>
          <w:spacing w:val="0"/>
          <w:w w:val="100"/>
          <w:position w:val="0"/>
          <w:sz w:val="32"/>
          <w:szCs w:val="32"/>
          <w:highlight w:val="none"/>
        </w:rPr>
        <w:t>主要原因是</w:t>
      </w:r>
      <w:r>
        <w:rPr>
          <w:rFonts w:hint="eastAsia" w:ascii="仿宋_GB2312" w:hAnsi="仿宋_GB2312" w:eastAsia="仿宋_GB2312" w:cs="仿宋_GB2312"/>
          <w:color w:val="000000"/>
          <w:spacing w:val="0"/>
          <w:w w:val="100"/>
          <w:position w:val="0"/>
          <w:sz w:val="32"/>
          <w:szCs w:val="32"/>
          <w:highlight w:val="none"/>
          <w:lang w:val="en-US" w:eastAsia="zh-CN"/>
        </w:rPr>
        <w:t xml:space="preserve">2022年公卫资金、药物制度等项目资金下达较2021年增多。    </w:t>
      </w:r>
    </w:p>
    <w:p>
      <w:pPr>
        <w:pageBreakBefore w:val="0"/>
        <w:kinsoku/>
        <w:wordWrap/>
        <w:overflowPunct/>
        <w:topLinePunct w:val="0"/>
        <w:autoSpaceDE/>
        <w:autoSpaceDN/>
        <w:bidi w:val="0"/>
        <w:adjustRightInd/>
        <w:snapToGrid/>
        <w:spacing w:beforeLines="0" w:afterLines="0" w:line="240" w:lineRule="auto"/>
        <w:ind w:firstLine="640" w:firstLineChars="200"/>
        <w:jc w:val="left"/>
        <w:textAlignment w:val="auto"/>
        <w:rPr>
          <w:rFonts w:hint="eastAsia" w:ascii="仿宋_GB2312" w:hAnsi="仿宋_GB2312" w:eastAsia="仿宋_GB2312" w:cs="仿宋_GB2312"/>
          <w:color w:val="FF0000"/>
          <w:sz w:val="32"/>
          <w:szCs w:val="32"/>
          <w:highlight w:val="none"/>
          <w:lang w:val="zh-CN"/>
        </w:rPr>
      </w:pPr>
      <w:r>
        <w:rPr>
          <w:rFonts w:hint="eastAsia" w:ascii="仿宋_GB2312" w:hAnsi="仿宋_GB2312" w:eastAsia="仿宋_GB2312" w:cs="仿宋_GB2312"/>
          <w:color w:val="000000"/>
          <w:spacing w:val="0"/>
          <w:w w:val="100"/>
          <w:position w:val="0"/>
          <w:sz w:val="32"/>
          <w:szCs w:val="32"/>
          <w:highlight w:val="none"/>
        </w:rPr>
        <w:t>本单位</w:t>
      </w:r>
      <w:r>
        <w:rPr>
          <w:rFonts w:hint="eastAsia" w:ascii="仿宋_GB2312" w:hAnsi="仿宋_GB2312" w:eastAsia="仿宋_GB2312" w:cs="仿宋_GB2312"/>
          <w:color w:val="000000"/>
          <w:spacing w:val="0"/>
          <w:w w:val="100"/>
          <w:position w:val="0"/>
          <w:sz w:val="32"/>
          <w:szCs w:val="32"/>
          <w:highlight w:val="none"/>
          <w:lang w:eastAsia="zh-CN"/>
        </w:rPr>
        <w:t>202</w:t>
      </w:r>
      <w:r>
        <w:rPr>
          <w:rFonts w:hint="eastAsia" w:ascii="仿宋_GB2312" w:hAnsi="仿宋_GB2312" w:eastAsia="仿宋_GB2312" w:cs="仿宋_GB2312"/>
          <w:color w:val="000000"/>
          <w:spacing w:val="0"/>
          <w:w w:val="100"/>
          <w:position w:val="0"/>
          <w:sz w:val="32"/>
          <w:szCs w:val="32"/>
          <w:highlight w:val="none"/>
          <w:lang w:val="en-US" w:eastAsia="zh-CN"/>
        </w:rPr>
        <w:t>2</w:t>
      </w:r>
      <w:r>
        <w:rPr>
          <w:rFonts w:hint="eastAsia" w:ascii="仿宋_GB2312" w:hAnsi="仿宋_GB2312" w:eastAsia="仿宋_GB2312" w:cs="仿宋_GB2312"/>
          <w:color w:val="000000"/>
          <w:spacing w:val="0"/>
          <w:w w:val="100"/>
          <w:position w:val="0"/>
          <w:sz w:val="32"/>
          <w:szCs w:val="32"/>
          <w:highlight w:val="none"/>
        </w:rPr>
        <w:t>年度财政拨款支出</w:t>
      </w:r>
      <w:r>
        <w:rPr>
          <w:rFonts w:hint="eastAsia" w:ascii="仿宋_GB2312" w:hAnsi="仿宋_GB2312" w:eastAsia="仿宋_GB2312" w:cs="仿宋_GB2312"/>
          <w:color w:val="000000"/>
          <w:spacing w:val="0"/>
          <w:w w:val="100"/>
          <w:position w:val="0"/>
          <w:sz w:val="32"/>
          <w:szCs w:val="32"/>
          <w:highlight w:val="none"/>
          <w:lang w:val="en-US" w:eastAsia="zh-CN"/>
        </w:rPr>
        <w:t>1636283.79</w:t>
      </w:r>
      <w:r>
        <w:rPr>
          <w:rFonts w:hint="eastAsia" w:ascii="仿宋_GB2312" w:hAnsi="仿宋_GB2312" w:eastAsia="仿宋_GB2312" w:cs="仿宋_GB2312"/>
          <w:color w:val="000000"/>
          <w:spacing w:val="0"/>
          <w:w w:val="100"/>
          <w:position w:val="0"/>
          <w:sz w:val="32"/>
          <w:szCs w:val="32"/>
          <w:highlight w:val="none"/>
        </w:rPr>
        <w:t>元，较上年决算数增加</w:t>
      </w:r>
      <w:r>
        <w:rPr>
          <w:rFonts w:hint="eastAsia" w:ascii="仿宋_GB2312" w:hAnsi="仿宋_GB2312" w:eastAsia="仿宋_GB2312" w:cs="仿宋_GB2312"/>
          <w:color w:val="000000"/>
          <w:spacing w:val="0"/>
          <w:w w:val="100"/>
          <w:position w:val="0"/>
          <w:sz w:val="32"/>
          <w:szCs w:val="32"/>
          <w:highlight w:val="none"/>
          <w:lang w:val="en-US" w:eastAsia="zh-CN"/>
        </w:rPr>
        <w:t>115963.4</w:t>
      </w:r>
      <w:r>
        <w:rPr>
          <w:rFonts w:hint="eastAsia" w:ascii="仿宋_GB2312" w:hAnsi="仿宋_GB2312" w:eastAsia="仿宋_GB2312" w:cs="仿宋_GB2312"/>
          <w:color w:val="000000"/>
          <w:spacing w:val="0"/>
          <w:w w:val="100"/>
          <w:position w:val="0"/>
          <w:sz w:val="32"/>
          <w:szCs w:val="32"/>
          <w:highlight w:val="none"/>
        </w:rPr>
        <w:t>元，</w:t>
      </w:r>
      <w:r>
        <w:rPr>
          <w:rFonts w:hint="eastAsia" w:ascii="仿宋_GB2312" w:hAnsi="仿宋_GB2312" w:eastAsia="仿宋_GB2312" w:cs="仿宋_GB2312"/>
          <w:color w:val="000000"/>
          <w:spacing w:val="0"/>
          <w:w w:val="100"/>
          <w:position w:val="0"/>
          <w:sz w:val="32"/>
          <w:szCs w:val="32"/>
          <w:highlight w:val="none"/>
          <w:lang w:eastAsia="zh-CN"/>
        </w:rPr>
        <w:t>增长</w:t>
      </w:r>
      <w:r>
        <w:rPr>
          <w:rFonts w:hint="eastAsia" w:ascii="仿宋_GB2312" w:hAnsi="仿宋_GB2312" w:eastAsia="仿宋_GB2312" w:cs="仿宋_GB2312"/>
          <w:color w:val="000000"/>
          <w:spacing w:val="0"/>
          <w:w w:val="100"/>
          <w:position w:val="0"/>
          <w:sz w:val="32"/>
          <w:szCs w:val="32"/>
          <w:highlight w:val="none"/>
          <w:lang w:val="en-US" w:eastAsia="zh-CN"/>
        </w:rPr>
        <w:t>7.63</w:t>
      </w:r>
      <w:r>
        <w:rPr>
          <w:rFonts w:hint="eastAsia" w:ascii="仿宋_GB2312" w:hAnsi="仿宋_GB2312" w:eastAsia="仿宋_GB2312" w:cs="仿宋_GB2312"/>
          <w:color w:val="000000"/>
          <w:spacing w:val="0"/>
          <w:w w:val="100"/>
          <w:position w:val="0"/>
          <w:sz w:val="32"/>
          <w:szCs w:val="32"/>
          <w:highlight w:val="none"/>
        </w:rPr>
        <w:t>%</w:t>
      </w:r>
      <w:r>
        <w:rPr>
          <w:rFonts w:hint="eastAsia" w:ascii="仿宋_GB2312" w:hAnsi="仿宋_GB2312" w:eastAsia="仿宋_GB2312" w:cs="仿宋_GB2312"/>
          <w:color w:val="000000"/>
          <w:spacing w:val="0"/>
          <w:w w:val="100"/>
          <w:position w:val="0"/>
          <w:sz w:val="32"/>
          <w:szCs w:val="32"/>
          <w:highlight w:val="none"/>
          <w:lang w:eastAsia="zh-CN"/>
        </w:rPr>
        <w:t>，</w:t>
      </w:r>
      <w:r>
        <w:rPr>
          <w:rFonts w:hint="eastAsia" w:ascii="仿宋_GB2312" w:hAnsi="仿宋_GB2312" w:eastAsia="仿宋_GB2312" w:cs="仿宋_GB2312"/>
          <w:color w:val="000000"/>
          <w:spacing w:val="0"/>
          <w:w w:val="100"/>
          <w:position w:val="0"/>
          <w:sz w:val="32"/>
          <w:szCs w:val="32"/>
          <w:highlight w:val="none"/>
        </w:rPr>
        <w:t>主要原因是</w:t>
      </w:r>
      <w:r>
        <w:rPr>
          <w:rFonts w:hint="eastAsia" w:ascii="仿宋_GB2312" w:hAnsi="仿宋_GB2312" w:eastAsia="仿宋_GB2312" w:cs="仿宋_GB2312"/>
          <w:color w:val="000000"/>
          <w:spacing w:val="0"/>
          <w:w w:val="100"/>
          <w:position w:val="0"/>
          <w:sz w:val="32"/>
          <w:szCs w:val="32"/>
          <w:highlight w:val="none"/>
          <w:lang w:val="en-US" w:eastAsia="zh-CN"/>
        </w:rPr>
        <w:t>公卫资金、药物制度资金等项目资金支出增多</w:t>
      </w:r>
      <w:r>
        <w:rPr>
          <w:rFonts w:hint="eastAsia" w:ascii="仿宋_GB2312" w:hAnsi="仿宋_GB2312" w:eastAsia="仿宋_GB2312" w:cs="仿宋_GB2312"/>
          <w:color w:val="000000"/>
          <w:spacing w:val="0"/>
          <w:w w:val="100"/>
          <w:position w:val="0"/>
          <w:sz w:val="32"/>
          <w:szCs w:val="32"/>
          <w:highlight w:val="none"/>
          <w:lang w:eastAsia="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五、一般公共预算财政拨款支出决算情况说明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default" w:ascii="仿宋_GB2312" w:hAnsi="仿宋_GB2312" w:eastAsia="仿宋_GB2312" w:cs="仿宋_GB2312"/>
          <w:b/>
          <w:color w:val="auto"/>
          <w:kern w:val="2"/>
          <w:sz w:val="32"/>
          <w:szCs w:val="32"/>
          <w:lang w:val="en-US" w:eastAsia="zh-CN"/>
        </w:rPr>
      </w:pPr>
      <w:r>
        <w:rPr>
          <w:rFonts w:hint="eastAsia" w:ascii="仿宋_GB2312" w:hAnsi="仿宋_GB2312" w:eastAsia="仿宋_GB2312" w:cs="仿宋_GB2312"/>
          <w:color w:val="auto"/>
          <w:sz w:val="32"/>
          <w:szCs w:val="32"/>
          <w:lang w:val="zh-CN"/>
        </w:rPr>
        <w:t>2022年度一般公共预算财政拨款支出</w:t>
      </w:r>
      <w:r>
        <w:rPr>
          <w:rFonts w:hint="eastAsia" w:ascii="仿宋_GB2312" w:hAnsi="仿宋_GB2312" w:eastAsia="仿宋_GB2312" w:cs="仿宋_GB2312"/>
          <w:color w:val="auto"/>
          <w:sz w:val="32"/>
          <w:szCs w:val="32"/>
          <w:lang w:val="en-US" w:eastAsia="zh-CN"/>
        </w:rPr>
        <w:t>163.63</w:t>
      </w:r>
      <w:r>
        <w:rPr>
          <w:rFonts w:hint="eastAsia" w:ascii="仿宋_GB2312" w:hAnsi="仿宋_GB2312" w:eastAsia="仿宋_GB2312" w:cs="仿宋_GB2312"/>
          <w:color w:val="auto"/>
          <w:sz w:val="32"/>
          <w:szCs w:val="32"/>
          <w:lang w:val="zh-CN"/>
        </w:rPr>
        <w:t>万元,较上年决算数增加</w:t>
      </w:r>
      <w:r>
        <w:rPr>
          <w:rFonts w:hint="eastAsia" w:ascii="仿宋_GB2312" w:hAnsi="仿宋_GB2312" w:eastAsia="仿宋_GB2312" w:cs="仿宋_GB2312"/>
          <w:color w:val="auto"/>
          <w:sz w:val="32"/>
          <w:szCs w:val="32"/>
          <w:lang w:val="en-US" w:eastAsia="zh-CN"/>
        </w:rPr>
        <w:t>11.57</w:t>
      </w:r>
      <w:r>
        <w:rPr>
          <w:rFonts w:hint="eastAsia" w:ascii="仿宋_GB2312" w:hAnsi="仿宋_GB2312" w:eastAsia="仿宋_GB2312" w:cs="仿宋_GB2312"/>
          <w:color w:val="auto"/>
          <w:sz w:val="32"/>
          <w:szCs w:val="32"/>
          <w:lang w:val="zh-CN"/>
        </w:rPr>
        <w:t>万元,增长</w:t>
      </w:r>
      <w:r>
        <w:rPr>
          <w:rFonts w:hint="eastAsia" w:ascii="仿宋_GB2312" w:hAnsi="仿宋_GB2312" w:eastAsia="仿宋_GB2312" w:cs="仿宋_GB2312"/>
          <w:color w:val="auto"/>
          <w:sz w:val="32"/>
          <w:szCs w:val="32"/>
          <w:lang w:val="en-US" w:eastAsia="zh-CN"/>
        </w:rPr>
        <w:t>7.63</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val="en-US" w:eastAsia="zh-CN"/>
        </w:rPr>
        <w:t>公卫资金、药物制度等项目资金支出增多</w:t>
      </w:r>
      <w:r>
        <w:rPr>
          <w:rFonts w:hint="eastAsia" w:ascii="仿宋_GB2312" w:hAnsi="仿宋_GB2312" w:eastAsia="仿宋_GB2312" w:cs="仿宋_GB2312"/>
          <w:color w:val="000000"/>
          <w:spacing w:val="0"/>
          <w:w w:val="100"/>
          <w:position w:val="0"/>
          <w:sz w:val="32"/>
          <w:szCs w:val="32"/>
          <w:lang w:eastAsia="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FF0000"/>
          <w:sz w:val="32"/>
          <w:szCs w:val="32"/>
          <w:lang w:val="zh-CN"/>
        </w:rPr>
      </w:pPr>
      <w:r>
        <w:rPr>
          <w:rFonts w:hint="eastAsia" w:ascii="仿宋_GB2312" w:hAnsi="仿宋_GB2312" w:eastAsia="仿宋_GB2312" w:cs="仿宋_GB2312"/>
          <w:b/>
          <w:color w:val="auto"/>
          <w:sz w:val="32"/>
          <w:szCs w:val="32"/>
          <w:lang w:val="en-US" w:eastAsia="zh-CN"/>
        </w:rPr>
        <w:t>1</w:t>
      </w:r>
      <w:r>
        <w:rPr>
          <w:rFonts w:hint="eastAsia" w:ascii="仿宋_GB2312" w:hAnsi="仿宋_GB2312" w:eastAsia="仿宋_GB2312" w:cs="仿宋_GB2312"/>
          <w:b/>
          <w:color w:val="auto"/>
          <w:sz w:val="32"/>
          <w:szCs w:val="32"/>
          <w:lang w:val="zh-CN"/>
        </w:rPr>
        <w:t>.社会保障和就业支出</w:t>
      </w:r>
      <w:r>
        <w:rPr>
          <w:rFonts w:hint="eastAsia" w:ascii="仿宋_GB2312" w:hAnsi="仿宋_GB2312" w:eastAsia="仿宋_GB2312" w:cs="仿宋_GB2312"/>
          <w:color w:val="auto"/>
          <w:sz w:val="32"/>
          <w:szCs w:val="32"/>
          <w:lang w:val="zh-CN"/>
        </w:rPr>
        <w:t>年初预算数为</w:t>
      </w:r>
      <w:r>
        <w:rPr>
          <w:rFonts w:hint="eastAsia" w:ascii="仿宋_GB2312" w:hAnsi="仿宋_GB2312" w:eastAsia="仿宋_GB2312" w:cs="仿宋_GB2312"/>
          <w:color w:val="auto"/>
          <w:sz w:val="32"/>
          <w:szCs w:val="32"/>
          <w:lang w:val="en-US" w:eastAsia="zh-CN"/>
        </w:rPr>
        <w:t>9.99</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9.99</w:t>
      </w:r>
      <w:r>
        <w:rPr>
          <w:rFonts w:hint="eastAsia" w:ascii="仿宋_GB2312" w:hAnsi="仿宋_GB2312" w:eastAsia="仿宋_GB2312" w:cs="仿宋_GB2312"/>
          <w:color w:val="auto"/>
          <w:sz w:val="32"/>
          <w:szCs w:val="32"/>
          <w:lang w:val="zh-CN"/>
        </w:rPr>
        <w:t>万元,完成年初预算的</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lang w:val="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FF0000"/>
          <w:sz w:val="32"/>
          <w:szCs w:val="32"/>
          <w:lang w:val="zh-CN" w:eastAsia="zh-CN"/>
        </w:rPr>
      </w:pPr>
      <w:r>
        <w:rPr>
          <w:rFonts w:hint="eastAsia" w:ascii="仿宋_GB2312" w:hAnsi="仿宋_GB2312" w:eastAsia="仿宋_GB2312" w:cs="仿宋_GB2312"/>
          <w:b/>
          <w:color w:val="auto"/>
          <w:sz w:val="32"/>
          <w:szCs w:val="32"/>
          <w:lang w:val="en-US" w:eastAsia="zh-CN"/>
        </w:rPr>
        <w:t>2</w:t>
      </w:r>
      <w:r>
        <w:rPr>
          <w:rFonts w:hint="eastAsia" w:ascii="仿宋_GB2312" w:hAnsi="仿宋_GB2312" w:eastAsia="仿宋_GB2312" w:cs="仿宋_GB2312"/>
          <w:b/>
          <w:color w:val="auto"/>
          <w:sz w:val="32"/>
          <w:szCs w:val="32"/>
          <w:lang w:val="zh-CN"/>
        </w:rPr>
        <w:t>.卫生健康支出</w:t>
      </w:r>
      <w:r>
        <w:rPr>
          <w:rFonts w:hint="eastAsia" w:ascii="仿宋_GB2312" w:hAnsi="仿宋_GB2312" w:eastAsia="仿宋_GB2312" w:cs="仿宋_GB2312"/>
          <w:color w:val="auto"/>
          <w:sz w:val="32"/>
          <w:szCs w:val="32"/>
          <w:lang w:val="zh-CN"/>
        </w:rPr>
        <w:t>年初预算数为</w:t>
      </w:r>
      <w:r>
        <w:rPr>
          <w:rFonts w:hint="eastAsia" w:ascii="仿宋_GB2312" w:hAnsi="仿宋_GB2312" w:eastAsia="仿宋_GB2312" w:cs="仿宋_GB2312"/>
          <w:color w:val="auto"/>
          <w:sz w:val="32"/>
          <w:szCs w:val="32"/>
          <w:lang w:val="en-US" w:eastAsia="zh-CN"/>
        </w:rPr>
        <w:t>146.19</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146.19</w:t>
      </w:r>
      <w:r>
        <w:rPr>
          <w:rFonts w:hint="eastAsia" w:ascii="仿宋_GB2312" w:hAnsi="仿宋_GB2312" w:eastAsia="仿宋_GB2312" w:cs="仿宋_GB2312"/>
          <w:color w:val="auto"/>
          <w:sz w:val="32"/>
          <w:szCs w:val="32"/>
          <w:lang w:val="zh-CN"/>
        </w:rPr>
        <w:t>万元,完成年初预算的</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lang w:val="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FF0000"/>
          <w:sz w:val="32"/>
          <w:szCs w:val="32"/>
          <w:lang w:val="zh-CN"/>
        </w:rPr>
      </w:pPr>
      <w:r>
        <w:rPr>
          <w:rFonts w:hint="eastAsia" w:ascii="仿宋_GB2312" w:hAnsi="仿宋_GB2312" w:eastAsia="仿宋_GB2312" w:cs="仿宋_GB2312"/>
          <w:b/>
          <w:color w:val="auto"/>
          <w:sz w:val="32"/>
          <w:szCs w:val="32"/>
          <w:lang w:val="en-US" w:eastAsia="zh-CN"/>
        </w:rPr>
        <w:t>3</w:t>
      </w:r>
      <w:r>
        <w:rPr>
          <w:rFonts w:hint="eastAsia" w:ascii="仿宋_GB2312" w:hAnsi="仿宋_GB2312" w:eastAsia="仿宋_GB2312" w:cs="仿宋_GB2312"/>
          <w:b/>
          <w:color w:val="auto"/>
          <w:sz w:val="32"/>
          <w:szCs w:val="32"/>
          <w:lang w:val="zh-CN"/>
        </w:rPr>
        <w:t>.住房保障支出</w:t>
      </w:r>
      <w:r>
        <w:rPr>
          <w:rFonts w:hint="eastAsia" w:ascii="仿宋_GB2312" w:hAnsi="仿宋_GB2312" w:eastAsia="仿宋_GB2312" w:cs="仿宋_GB2312"/>
          <w:color w:val="auto"/>
          <w:sz w:val="32"/>
          <w:szCs w:val="32"/>
          <w:lang w:val="zh-CN"/>
        </w:rPr>
        <w:t>年初预算数为</w:t>
      </w:r>
      <w:r>
        <w:rPr>
          <w:rFonts w:hint="eastAsia" w:ascii="仿宋_GB2312" w:hAnsi="仿宋_GB2312" w:eastAsia="仿宋_GB2312" w:cs="仿宋_GB2312"/>
          <w:color w:val="auto"/>
          <w:sz w:val="32"/>
          <w:szCs w:val="32"/>
          <w:lang w:val="en-US" w:eastAsia="zh-CN"/>
        </w:rPr>
        <w:t>7.43</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7.43</w:t>
      </w:r>
      <w:r>
        <w:rPr>
          <w:rFonts w:hint="eastAsia" w:ascii="仿宋_GB2312" w:hAnsi="仿宋_GB2312" w:eastAsia="仿宋_GB2312" w:cs="仿宋_GB2312"/>
          <w:color w:val="auto"/>
          <w:sz w:val="32"/>
          <w:szCs w:val="32"/>
          <w:lang w:val="zh-CN"/>
        </w:rPr>
        <w:t>万元,完成年初预算的</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lang w:val="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六、一般公共预算财政拨款基本支出决算情况说明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auto"/>
          <w:sz w:val="32"/>
          <w:szCs w:val="32"/>
          <w:lang w:val="zh-CN"/>
        </w:rPr>
        <w:t>2022年度一般公共预算财政拨款基本支出</w:t>
      </w:r>
      <w:r>
        <w:rPr>
          <w:rFonts w:hint="eastAsia" w:ascii="仿宋_GB2312" w:hAnsi="仿宋_GB2312" w:eastAsia="仿宋_GB2312" w:cs="仿宋_GB2312"/>
          <w:color w:val="auto"/>
          <w:sz w:val="32"/>
          <w:szCs w:val="32"/>
          <w:lang w:val="en-US" w:eastAsia="zh-CN"/>
        </w:rPr>
        <w:t>119.13</w:t>
      </w:r>
      <w:r>
        <w:rPr>
          <w:rFonts w:hint="eastAsia" w:ascii="仿宋_GB2312" w:hAnsi="仿宋_GB2312" w:eastAsia="仿宋_GB2312" w:cs="仿宋_GB2312"/>
          <w:color w:val="auto"/>
          <w:sz w:val="32"/>
          <w:szCs w:val="32"/>
          <w:lang w:val="zh-CN"/>
        </w:rPr>
        <w:t>万元。其中：</w:t>
      </w:r>
      <w:r>
        <w:rPr>
          <w:rFonts w:hint="eastAsia" w:ascii="仿宋_GB2312" w:hAnsi="仿宋_GB2312" w:eastAsia="仿宋_GB2312" w:cs="仿宋_GB2312"/>
          <w:b/>
          <w:color w:val="auto"/>
          <w:sz w:val="32"/>
          <w:szCs w:val="32"/>
          <w:lang w:val="zh-CN"/>
        </w:rPr>
        <w:t>人员经费</w:t>
      </w:r>
      <w:r>
        <w:rPr>
          <w:rFonts w:hint="eastAsia" w:ascii="仿宋_GB2312" w:hAnsi="仿宋_GB2312" w:eastAsia="仿宋_GB2312" w:cs="仿宋_GB2312"/>
          <w:color w:val="auto"/>
          <w:sz w:val="32"/>
          <w:szCs w:val="32"/>
          <w:lang w:val="en-US" w:eastAsia="zh-CN"/>
        </w:rPr>
        <w:t>119.13</w:t>
      </w:r>
      <w:r>
        <w:rPr>
          <w:rFonts w:hint="eastAsia" w:ascii="仿宋_GB2312" w:hAnsi="仿宋_GB2312" w:eastAsia="仿宋_GB2312" w:cs="仿宋_GB2312"/>
          <w:color w:val="auto"/>
          <w:sz w:val="32"/>
          <w:szCs w:val="32"/>
          <w:lang w:val="zh-CN"/>
        </w:rPr>
        <w:t>万元,较上年决算数</w:t>
      </w:r>
      <w:r>
        <w:rPr>
          <w:rFonts w:hint="eastAsia" w:ascii="仿宋_GB2312" w:hAnsi="仿宋_GB2312" w:eastAsia="仿宋_GB2312" w:cs="仿宋_GB2312"/>
          <w:color w:val="auto"/>
          <w:sz w:val="32"/>
          <w:szCs w:val="32"/>
          <w:lang w:val="en-US" w:eastAsia="zh-CN"/>
        </w:rPr>
        <w:t>增加11.22</w:t>
      </w:r>
      <w:r>
        <w:rPr>
          <w:rFonts w:hint="eastAsia" w:ascii="仿宋_GB2312" w:hAnsi="仿宋_GB2312" w:eastAsia="仿宋_GB2312" w:cs="仿宋_GB2312"/>
          <w:color w:val="auto"/>
          <w:sz w:val="32"/>
          <w:szCs w:val="32"/>
          <w:lang w:val="zh-CN"/>
        </w:rPr>
        <w:t>万元,</w:t>
      </w:r>
      <w:r>
        <w:rPr>
          <w:rFonts w:hint="eastAsia" w:ascii="仿宋_GB2312" w:hAnsi="仿宋_GB2312" w:eastAsia="仿宋_GB2312" w:cs="仿宋_GB2312"/>
          <w:color w:val="auto"/>
          <w:sz w:val="32"/>
          <w:szCs w:val="32"/>
          <w:lang w:val="en-US" w:eastAsia="zh-CN"/>
        </w:rPr>
        <w:t>增加10.4</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000000" w:themeColor="text1"/>
          <w:sz w:val="32"/>
          <w:szCs w:val="32"/>
          <w:lang w:val="zh-CN"/>
          <w14:textFill>
            <w14:solidFill>
              <w14:schemeClr w14:val="tx1"/>
            </w14:solidFill>
          </w14:textFill>
        </w:rPr>
        <w:t>主要原因是</w:t>
      </w:r>
      <w:r>
        <w:rPr>
          <w:rFonts w:hint="eastAsia" w:ascii="仿宋_GB2312" w:hAnsi="仿宋_GB2312" w:eastAsia="仿宋_GB2312" w:cs="仿宋_GB2312"/>
          <w:color w:val="000000"/>
          <w:spacing w:val="0"/>
          <w:w w:val="100"/>
          <w:position w:val="0"/>
          <w:sz w:val="32"/>
          <w:szCs w:val="32"/>
          <w:lang w:val="en-US" w:eastAsia="zh-CN"/>
        </w:rPr>
        <w:t>2022年公共卫生量增加，发绩效增加</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auto"/>
          <w:sz w:val="32"/>
          <w:szCs w:val="32"/>
          <w:lang w:val="zh-CN"/>
        </w:rPr>
        <w:t>人员经费用途</w:t>
      </w:r>
      <w:r>
        <w:rPr>
          <w:rFonts w:hint="eastAsia" w:ascii="仿宋_GB2312" w:hAnsi="仿宋_GB2312" w:eastAsia="仿宋_GB2312" w:cs="仿宋_GB2312"/>
          <w:color w:val="000000" w:themeColor="text1"/>
          <w:sz w:val="32"/>
          <w:szCs w:val="32"/>
          <w:lang w:val="zh-CN"/>
          <w14:textFill>
            <w14:solidFill>
              <w14:schemeClr w14:val="tx1"/>
            </w14:solidFill>
          </w14:textFill>
        </w:rPr>
        <w:t>主要包括机关事业单位基本养老保险缴费支出基本工资、津贴补贴、奖金、绩效工资、职工基本医疗保险缴费、其他社会保险缴费、住房公积金。</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color w:val="auto"/>
          <w:sz w:val="32"/>
          <w:szCs w:val="32"/>
          <w:lang w:val="zh-CN"/>
        </w:rPr>
        <w:t>公用经费</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万元,较上年决算数增加</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万元,增加</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auto"/>
          <w:sz w:val="32"/>
          <w:szCs w:val="32"/>
          <w:lang w:val="en-US" w:eastAsia="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en-US"/>
        </w:rPr>
        <w:t>七</w:t>
      </w:r>
      <w:r>
        <w:rPr>
          <w:rFonts w:hint="eastAsia" w:ascii="仿宋_GB2312" w:hAnsi="仿宋_GB2312" w:eastAsia="仿宋_GB2312" w:cs="仿宋_GB2312"/>
          <w:b/>
          <w:sz w:val="32"/>
          <w:szCs w:val="32"/>
          <w:lang w:val="zh-CN"/>
        </w:rPr>
        <w:t>、机关运行经费支出情况说明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b w:val="0"/>
          <w:bCs w:val="0"/>
          <w:color w:val="000000" w:themeColor="text1"/>
          <w:sz w:val="32"/>
          <w:szCs w:val="32"/>
          <w:lang w:val="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zh-CN"/>
          <w14:textFill>
            <w14:solidFill>
              <w14:schemeClr w14:val="tx1"/>
            </w14:solidFill>
          </w14:textFill>
        </w:rPr>
        <w:t>我单位为事业二级单位，2022年度无机关运行相关经费。</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八、政府采购支出情况说明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000000" w:themeColor="text1"/>
          <w:sz w:val="32"/>
          <w:szCs w:val="32"/>
          <w:lang w:val="zh-CN"/>
          <w14:textFill>
            <w14:solidFill>
              <w14:schemeClr w14:val="tx1"/>
            </w14:solidFill>
          </w14:textFill>
        </w:rPr>
        <w:t>我单位2022年度无政府采购相关经费。</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en-US"/>
        </w:rPr>
        <w:t>九</w:t>
      </w:r>
      <w:r>
        <w:rPr>
          <w:rFonts w:hint="eastAsia" w:ascii="仿宋_GB2312" w:hAnsi="仿宋_GB2312" w:eastAsia="仿宋_GB2312" w:cs="仿宋_GB2312"/>
          <w:b/>
          <w:sz w:val="32"/>
          <w:szCs w:val="32"/>
          <w:lang w:val="zh-CN"/>
        </w:rPr>
        <w:t>、国有资产占用情况说明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截至2022年12月31日,本部门共有车辆</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辆,其中,副部(省)级及以上领导用车</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辆、主要领导干部用车</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辆、机要通信用车</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辆、应急保障用车</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辆、执法执勤用车</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辆,特种专业技术用车</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辆,离退休干部用车</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辆,其他用车</w:t>
      </w:r>
      <w:r>
        <w:rPr>
          <w:rFonts w:hint="eastAsia" w:ascii="仿宋_GB2312" w:hAnsi="仿宋_GB2312" w:eastAsia="仿宋_GB2312" w:cs="仿宋_GB2312"/>
          <w:color w:val="auto"/>
          <w:sz w:val="32"/>
          <w:szCs w:val="32"/>
          <w:lang w:val="en-US" w:eastAsia="zh-CN"/>
        </w:rPr>
        <w:t>0</w:t>
      </w:r>
      <w:bookmarkStart w:id="0" w:name="_GoBack"/>
      <w:bookmarkEnd w:id="0"/>
      <w:r>
        <w:rPr>
          <w:rFonts w:hint="eastAsia" w:ascii="仿宋_GB2312" w:hAnsi="仿宋_GB2312" w:eastAsia="仿宋_GB2312" w:cs="仿宋_GB2312"/>
          <w:color w:val="auto"/>
          <w:sz w:val="32"/>
          <w:szCs w:val="32"/>
          <w:lang w:val="zh-CN"/>
        </w:rPr>
        <w:t>辆,单价100万元(含)以上设备</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台(套)。</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十、政府性基金预算财政拨款收支决算情况说明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000000" w:themeColor="text1"/>
          <w:kern w:val="2"/>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本部门2022年度无政府性基金收入,也没有使用政府性基金安排的支出。</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eastAsia="宋体" w:asciiTheme="minorHAnsi" w:hAnsiTheme="minorHAnsi" w:cstheme="minorBidi"/>
          <w:kern w:val="2"/>
          <w:sz w:val="21"/>
          <w:lang w:val="zh-CN"/>
        </w:rPr>
      </w:pPr>
      <w:r>
        <w:rPr>
          <w:rFonts w:hint="eastAsia" w:ascii="仿宋_GB2312" w:hAnsi="仿宋_GB2312" w:eastAsia="仿宋_GB2312" w:cs="仿宋_GB2312"/>
          <w:b/>
          <w:sz w:val="32"/>
          <w:szCs w:val="32"/>
          <w:lang w:val="zh-CN"/>
        </w:rPr>
        <w:t>十</w:t>
      </w:r>
      <w:r>
        <w:rPr>
          <w:rFonts w:hint="eastAsia" w:ascii="仿宋_GB2312" w:hAnsi="仿宋_GB2312" w:eastAsia="仿宋_GB2312" w:cs="仿宋_GB2312"/>
          <w:b/>
          <w:sz w:val="32"/>
          <w:szCs w:val="32"/>
          <w:lang w:val="en-US"/>
        </w:rPr>
        <w:t>一</w:t>
      </w:r>
      <w:r>
        <w:rPr>
          <w:rFonts w:hint="eastAsia" w:ascii="仿宋_GB2312" w:hAnsi="仿宋_GB2312" w:eastAsia="仿宋_GB2312" w:cs="仿宋_GB2312"/>
          <w:b/>
          <w:sz w:val="32"/>
          <w:szCs w:val="32"/>
          <w:lang w:val="zh-CN"/>
        </w:rPr>
        <w:t>、国有资本经营预算财政拨款支出情况说明</w:t>
      </w:r>
    </w:p>
    <w:p>
      <w:pPr>
        <w:tabs>
          <w:tab w:val="left" w:pos="1192"/>
        </w:tabs>
        <w:bidi w:val="0"/>
        <w:ind w:firstLine="640" w:firstLineChars="200"/>
        <w:jc w:val="left"/>
        <w:rPr>
          <w:rFonts w:hint="eastAsia" w:ascii="仿宋_GB2312" w:hAnsi="仿宋_GB2312" w:eastAsia="仿宋_GB2312" w:cs="仿宋_GB2312"/>
          <w:b w:val="0"/>
          <w:bCs w:val="0"/>
          <w:color w:val="000000" w:themeColor="text1"/>
          <w:sz w:val="32"/>
          <w:szCs w:val="32"/>
          <w:lang w:val="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zh-CN"/>
          <w14:textFill>
            <w14:solidFill>
              <w14:schemeClr w14:val="tx1"/>
            </w14:solidFill>
          </w14:textFill>
        </w:rPr>
        <w:t>本部门2022年度没有使用国有资本经营预算安排的支出。</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en-US"/>
        </w:rPr>
        <w:t>十二</w:t>
      </w:r>
      <w:r>
        <w:rPr>
          <w:rFonts w:hint="eastAsia" w:ascii="仿宋_GB2312" w:hAnsi="仿宋_GB2312" w:eastAsia="仿宋_GB2312" w:cs="仿宋_GB2312"/>
          <w:b/>
          <w:sz w:val="32"/>
          <w:szCs w:val="32"/>
          <w:lang w:val="zh-CN"/>
        </w:rPr>
        <w:t>、财政拨款“三公”经费支出决算情况说明</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(一)“三公”经费财政拨款支出总体情况说明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zh-CN"/>
        </w:rPr>
        <w:t>2022年度“三公”经费支出</w:t>
      </w:r>
      <w:r>
        <w:rPr>
          <w:rFonts w:hint="eastAsia" w:ascii="仿宋_GB2312" w:hAnsi="仿宋_GB2312" w:eastAsia="仿宋_GB2312" w:cs="仿宋_GB2312"/>
          <w:color w:val="auto"/>
          <w:sz w:val="32"/>
          <w:szCs w:val="32"/>
          <w:lang w:val="en-US"/>
        </w:rPr>
        <w:t>全年</w:t>
      </w:r>
      <w:r>
        <w:rPr>
          <w:rFonts w:hint="eastAsia" w:ascii="仿宋_GB2312" w:hAnsi="仿宋_GB2312" w:eastAsia="仿宋_GB2312" w:cs="仿宋_GB2312"/>
          <w:color w:val="auto"/>
          <w:sz w:val="32"/>
          <w:szCs w:val="32"/>
          <w:lang w:val="zh-CN"/>
        </w:rPr>
        <w:t>预算数为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w:t>
      </w:r>
      <w:r>
        <w:rPr>
          <w:rFonts w:hint="eastAsia" w:ascii="仿宋_GB2312" w:hAnsi="仿宋_GB2312" w:eastAsia="仿宋_GB2312" w:cs="仿宋_GB2312"/>
          <w:color w:val="auto"/>
          <w:sz w:val="32"/>
          <w:szCs w:val="32"/>
          <w:lang w:val="en-US"/>
        </w:rPr>
        <w:t>较上年决算数</w:t>
      </w:r>
      <w:r>
        <w:rPr>
          <w:rFonts w:hint="eastAsia" w:ascii="仿宋_GB2312" w:hAnsi="仿宋_GB2312" w:eastAsia="仿宋_GB2312" w:cs="仿宋_GB2312"/>
          <w:color w:val="auto"/>
          <w:sz w:val="32"/>
          <w:szCs w:val="32"/>
          <w:lang w:val="en-US" w:eastAsia="zh-CN"/>
        </w:rPr>
        <w:t>增加0</w:t>
      </w:r>
      <w:r>
        <w:rPr>
          <w:rFonts w:hint="eastAsia" w:ascii="仿宋_GB2312" w:hAnsi="仿宋_GB2312" w:eastAsia="仿宋_GB2312" w:cs="仿宋_GB2312"/>
          <w:color w:val="auto"/>
          <w:sz w:val="32"/>
          <w:szCs w:val="32"/>
          <w:lang w:val="zh-CN"/>
        </w:rPr>
        <w:t>万元</w:t>
      </w:r>
      <w:r>
        <w:rPr>
          <w:rFonts w:hint="eastAsia" w:ascii="仿宋_GB2312" w:hAnsi="仿宋_GB2312" w:eastAsia="仿宋_GB2312" w:cs="仿宋_GB2312"/>
          <w:color w:val="auto"/>
          <w:sz w:val="32"/>
          <w:szCs w:val="32"/>
          <w:lang w:val="en-US"/>
        </w:rPr>
        <w:t>,</w:t>
      </w:r>
      <w:r>
        <w:rPr>
          <w:rFonts w:hint="eastAsia" w:ascii="仿宋_GB2312" w:hAnsi="仿宋_GB2312" w:eastAsia="仿宋_GB2312" w:cs="仿宋_GB2312"/>
          <w:color w:val="auto"/>
          <w:sz w:val="32"/>
          <w:szCs w:val="32"/>
          <w:lang w:val="en-US" w:eastAsia="zh-CN"/>
        </w:rPr>
        <w:t>增长0</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auto"/>
          <w:sz w:val="32"/>
          <w:szCs w:val="32"/>
          <w:lang w:val="en-US" w:eastAsia="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(二)“三公”经费财政拨款支出决算具体情况说明</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eastAsia="zh-CN"/>
        </w:rPr>
      </w:pPr>
      <w:r>
        <w:rPr>
          <w:rFonts w:hint="eastAsia" w:ascii="仿宋_GB2312" w:hAnsi="仿宋_GB2312" w:eastAsia="仿宋_GB2312" w:cs="仿宋_GB2312"/>
          <w:b/>
          <w:color w:val="auto"/>
          <w:sz w:val="32"/>
          <w:szCs w:val="32"/>
          <w:lang w:val="zh-CN"/>
        </w:rPr>
        <w:t>1.因公出国(境)费用</w:t>
      </w:r>
      <w:r>
        <w:rPr>
          <w:rFonts w:hint="eastAsia" w:ascii="仿宋_GB2312" w:hAnsi="仿宋_GB2312" w:eastAsia="仿宋_GB2312" w:cs="仿宋_GB2312"/>
          <w:color w:val="auto"/>
          <w:sz w:val="32"/>
          <w:szCs w:val="32"/>
          <w:lang w:val="en-US"/>
        </w:rPr>
        <w:t>全年</w:t>
      </w:r>
      <w:r>
        <w:rPr>
          <w:rFonts w:hint="eastAsia" w:ascii="仿宋_GB2312" w:hAnsi="仿宋_GB2312" w:eastAsia="仿宋_GB2312" w:cs="仿宋_GB2312"/>
          <w:color w:val="auto"/>
          <w:sz w:val="32"/>
          <w:szCs w:val="32"/>
          <w:lang w:val="zh-CN"/>
        </w:rPr>
        <w:t>预算数为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color w:val="auto"/>
          <w:sz w:val="32"/>
          <w:szCs w:val="32"/>
          <w:lang w:val="zh-CN"/>
        </w:rPr>
        <w:t>2.公务用车购置及运行维护费</w:t>
      </w:r>
      <w:r>
        <w:rPr>
          <w:rFonts w:hint="eastAsia" w:ascii="仿宋_GB2312" w:hAnsi="仿宋_GB2312" w:eastAsia="仿宋_GB2312" w:cs="仿宋_GB2312"/>
          <w:color w:val="auto"/>
          <w:sz w:val="32"/>
          <w:szCs w:val="32"/>
          <w:lang w:val="en-US"/>
        </w:rPr>
        <w:t>全年</w:t>
      </w:r>
      <w:r>
        <w:rPr>
          <w:rFonts w:hint="eastAsia" w:ascii="仿宋_GB2312" w:hAnsi="仿宋_GB2312" w:eastAsia="仿宋_GB2312" w:cs="仿宋_GB2312"/>
          <w:color w:val="auto"/>
          <w:sz w:val="32"/>
          <w:szCs w:val="32"/>
          <w:lang w:val="zh-CN"/>
        </w:rPr>
        <w:t>预算数为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w:t>
      </w:r>
      <w:r>
        <w:rPr>
          <w:rFonts w:hint="eastAsia" w:ascii="仿宋_GB2312" w:hAnsi="仿宋_GB2312" w:eastAsia="仿宋_GB2312" w:cs="仿宋_GB2312"/>
          <w:color w:val="auto"/>
          <w:sz w:val="32"/>
          <w:szCs w:val="32"/>
          <w:lang w:val="en-US"/>
        </w:rPr>
        <w:t>较上年决算数</w:t>
      </w:r>
      <w:r>
        <w:rPr>
          <w:rFonts w:hint="eastAsia" w:ascii="仿宋_GB2312" w:hAnsi="仿宋_GB2312" w:eastAsia="仿宋_GB2312" w:cs="仿宋_GB2312"/>
          <w:color w:val="auto"/>
          <w:sz w:val="32"/>
          <w:szCs w:val="32"/>
          <w:lang w:val="en-US" w:eastAsia="zh-CN"/>
        </w:rPr>
        <w:t>增加0</w:t>
      </w:r>
      <w:r>
        <w:rPr>
          <w:rFonts w:hint="eastAsia" w:ascii="仿宋_GB2312" w:hAnsi="仿宋_GB2312" w:eastAsia="仿宋_GB2312" w:cs="仿宋_GB2312"/>
          <w:color w:val="auto"/>
          <w:sz w:val="32"/>
          <w:szCs w:val="32"/>
          <w:lang w:val="zh-CN"/>
        </w:rPr>
        <w:t>万元。</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其中：公务用车购置费</w:t>
      </w:r>
      <w:r>
        <w:rPr>
          <w:rFonts w:hint="eastAsia" w:ascii="仿宋_GB2312" w:hAnsi="仿宋_GB2312" w:eastAsia="仿宋_GB2312" w:cs="仿宋_GB2312"/>
          <w:color w:val="auto"/>
          <w:sz w:val="32"/>
          <w:szCs w:val="32"/>
          <w:lang w:val="en-US"/>
        </w:rPr>
        <w:t>全年</w:t>
      </w:r>
      <w:r>
        <w:rPr>
          <w:rFonts w:hint="eastAsia" w:ascii="仿宋_GB2312" w:hAnsi="仿宋_GB2312" w:eastAsia="仿宋_GB2312" w:cs="仿宋_GB2312"/>
          <w:color w:val="auto"/>
          <w:sz w:val="32"/>
          <w:szCs w:val="32"/>
          <w:lang w:val="zh-CN"/>
        </w:rPr>
        <w:t>预算数为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公务用车运行维护费</w:t>
      </w:r>
      <w:r>
        <w:rPr>
          <w:rFonts w:hint="eastAsia" w:ascii="仿宋_GB2312" w:hAnsi="仿宋_GB2312" w:eastAsia="仿宋_GB2312" w:cs="仿宋_GB2312"/>
          <w:color w:val="auto"/>
          <w:sz w:val="32"/>
          <w:szCs w:val="32"/>
          <w:lang w:val="en-US"/>
        </w:rPr>
        <w:t>全年</w:t>
      </w:r>
      <w:r>
        <w:rPr>
          <w:rFonts w:hint="eastAsia" w:ascii="仿宋_GB2312" w:hAnsi="仿宋_GB2312" w:eastAsia="仿宋_GB2312" w:cs="仿宋_GB2312"/>
          <w:color w:val="auto"/>
          <w:sz w:val="32"/>
          <w:szCs w:val="32"/>
          <w:lang w:val="zh-CN"/>
        </w:rPr>
        <w:t>预算数为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w:t>
      </w:r>
      <w:r>
        <w:rPr>
          <w:rFonts w:hint="eastAsia" w:ascii="仿宋_GB2312" w:hAnsi="仿宋_GB2312" w:eastAsia="仿宋_GB2312" w:cs="仿宋_GB2312"/>
          <w:color w:val="auto"/>
          <w:sz w:val="32"/>
          <w:szCs w:val="32"/>
          <w:lang w:val="en-US"/>
        </w:rPr>
        <w:t>较上年决算数</w:t>
      </w:r>
      <w:r>
        <w:rPr>
          <w:rFonts w:hint="eastAsia" w:ascii="仿宋_GB2312" w:hAnsi="仿宋_GB2312" w:eastAsia="仿宋_GB2312" w:cs="仿宋_GB2312"/>
          <w:color w:val="auto"/>
          <w:sz w:val="32"/>
          <w:szCs w:val="32"/>
          <w:lang w:val="en-US" w:eastAsia="zh-CN"/>
        </w:rPr>
        <w:t>增加0</w:t>
      </w:r>
      <w:r>
        <w:rPr>
          <w:rFonts w:hint="eastAsia" w:ascii="仿宋_GB2312" w:hAnsi="仿宋_GB2312" w:eastAsia="仿宋_GB2312" w:cs="仿宋_GB2312"/>
          <w:color w:val="auto"/>
          <w:sz w:val="32"/>
          <w:szCs w:val="32"/>
          <w:lang w:val="zh-CN"/>
        </w:rPr>
        <w:t>万元</w:t>
      </w:r>
      <w:r>
        <w:rPr>
          <w:rFonts w:hint="eastAsia" w:ascii="仿宋_GB2312" w:hAnsi="仿宋_GB2312" w:eastAsia="仿宋_GB2312" w:cs="仿宋_GB2312"/>
          <w:color w:val="auto"/>
          <w:sz w:val="32"/>
          <w:szCs w:val="32"/>
          <w:lang w:val="en-US"/>
        </w:rPr>
        <w:t>,</w:t>
      </w:r>
      <w:r>
        <w:rPr>
          <w:rFonts w:hint="eastAsia" w:ascii="仿宋_GB2312" w:hAnsi="仿宋_GB2312" w:eastAsia="仿宋_GB2312" w:cs="仿宋_GB2312"/>
          <w:color w:val="auto"/>
          <w:sz w:val="32"/>
          <w:szCs w:val="32"/>
          <w:lang w:val="en-US" w:eastAsia="zh-CN"/>
        </w:rPr>
        <w:t>增长0</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000000" w:themeColor="text1"/>
          <w:sz w:val="32"/>
          <w:szCs w:val="32"/>
          <w:lang w:val="zh-CN"/>
          <w14:textFill>
            <w14:solidFill>
              <w14:schemeClr w14:val="tx1"/>
            </w14:solidFill>
          </w14:textFill>
        </w:rPr>
        <w:t>。</w:t>
      </w:r>
    </w:p>
    <w:p>
      <w:pPr>
        <w:pageBreakBefore w:val="0"/>
        <w:numPr>
          <w:ilvl w:val="0"/>
          <w:numId w:val="2"/>
        </w:numPr>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color w:val="auto"/>
          <w:sz w:val="32"/>
          <w:szCs w:val="32"/>
          <w:lang w:val="zh-CN"/>
        </w:rPr>
        <w:t>公务接待费</w:t>
      </w:r>
      <w:r>
        <w:rPr>
          <w:rFonts w:hint="eastAsia" w:ascii="仿宋_GB2312" w:hAnsi="仿宋_GB2312" w:eastAsia="仿宋_GB2312" w:cs="仿宋_GB2312"/>
          <w:color w:val="auto"/>
          <w:sz w:val="32"/>
          <w:szCs w:val="32"/>
          <w:lang w:val="en-US"/>
        </w:rPr>
        <w:t>全</w:t>
      </w:r>
      <w:r>
        <w:rPr>
          <w:rFonts w:hint="eastAsia" w:ascii="仿宋_GB2312" w:hAnsi="仿宋_GB2312" w:eastAsia="仿宋_GB2312" w:cs="仿宋_GB2312"/>
          <w:color w:val="auto"/>
          <w:sz w:val="32"/>
          <w:szCs w:val="32"/>
          <w:lang w:val="zh-CN"/>
        </w:rPr>
        <w:t>年预算数为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w:t>
      </w:r>
      <w:r>
        <w:rPr>
          <w:rFonts w:hint="eastAsia" w:ascii="仿宋_GB2312" w:hAnsi="仿宋_GB2312" w:eastAsia="仿宋_GB2312" w:cs="仿宋_GB2312"/>
          <w:color w:val="auto"/>
          <w:sz w:val="32"/>
          <w:szCs w:val="32"/>
          <w:lang w:val="en-US"/>
        </w:rPr>
        <w:t>较上年决算数</w:t>
      </w:r>
      <w:r>
        <w:rPr>
          <w:rFonts w:hint="eastAsia" w:ascii="仿宋_GB2312" w:hAnsi="仿宋_GB2312" w:eastAsia="仿宋_GB2312" w:cs="仿宋_GB2312"/>
          <w:color w:val="auto"/>
          <w:sz w:val="32"/>
          <w:szCs w:val="32"/>
          <w:lang w:val="en-US" w:eastAsia="zh-CN"/>
        </w:rPr>
        <w:t>减少0</w:t>
      </w:r>
      <w:r>
        <w:rPr>
          <w:rFonts w:hint="eastAsia" w:ascii="仿宋_GB2312" w:hAnsi="仿宋_GB2312" w:eastAsia="仿宋_GB2312" w:cs="仿宋_GB2312"/>
          <w:color w:val="auto"/>
          <w:sz w:val="32"/>
          <w:szCs w:val="32"/>
          <w:lang w:val="zh-CN"/>
        </w:rPr>
        <w:t>万元</w:t>
      </w:r>
      <w:r>
        <w:rPr>
          <w:rFonts w:hint="eastAsia" w:ascii="仿宋_GB2312" w:hAnsi="仿宋_GB2312" w:eastAsia="仿宋_GB2312" w:cs="仿宋_GB2312"/>
          <w:color w:val="auto"/>
          <w:sz w:val="32"/>
          <w:szCs w:val="32"/>
          <w:lang w:val="en-US"/>
        </w:rPr>
        <w:t>,</w:t>
      </w:r>
      <w:r>
        <w:rPr>
          <w:rFonts w:hint="eastAsia" w:ascii="仿宋_GB2312" w:hAnsi="仿宋_GB2312" w:eastAsia="仿宋_GB2312" w:cs="仿宋_GB2312"/>
          <w:color w:val="auto"/>
          <w:sz w:val="32"/>
          <w:szCs w:val="32"/>
          <w:lang w:val="en-US" w:eastAsia="zh-CN"/>
        </w:rPr>
        <w:t>下降0</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auto"/>
          <w:sz w:val="32"/>
          <w:szCs w:val="32"/>
          <w:lang w:val="en-US" w:eastAsia="zh-CN"/>
        </w:rPr>
        <w:t>。</w:t>
      </w:r>
    </w:p>
    <w:p>
      <w:pPr>
        <w:pageBreakBefore w:val="0"/>
        <w:numPr>
          <w:ilvl w:val="0"/>
          <w:numId w:val="2"/>
        </w:numPr>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(三)“三公”经费财政拨款支出决算实物量情况</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2022年度本部门</w:t>
      </w:r>
      <w:r>
        <w:rPr>
          <w:rFonts w:hint="eastAsia" w:ascii="仿宋_GB2312" w:hAnsi="仿宋_GB2312" w:eastAsia="仿宋_GB2312" w:cs="仿宋_GB2312"/>
          <w:b/>
          <w:color w:val="auto"/>
          <w:sz w:val="32"/>
          <w:szCs w:val="32"/>
          <w:lang w:val="zh-CN"/>
        </w:rPr>
        <w:t>因公出国(境)</w:t>
      </w:r>
      <w:r>
        <w:rPr>
          <w:rFonts w:hint="eastAsia" w:ascii="仿宋_GB2312" w:hAnsi="仿宋_GB2312" w:eastAsia="仿宋_GB2312" w:cs="仿宋_GB2312"/>
          <w:color w:val="auto"/>
          <w:sz w:val="32"/>
          <w:szCs w:val="32"/>
          <w:lang w:val="zh-CN"/>
        </w:rPr>
        <w:t>共计</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个团组,</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人；</w:t>
      </w:r>
      <w:r>
        <w:rPr>
          <w:rFonts w:hint="eastAsia" w:ascii="仿宋_GB2312" w:hAnsi="仿宋_GB2312" w:eastAsia="仿宋_GB2312" w:cs="仿宋_GB2312"/>
          <w:b/>
          <w:color w:val="auto"/>
          <w:sz w:val="32"/>
          <w:szCs w:val="32"/>
          <w:lang w:val="zh-CN"/>
        </w:rPr>
        <w:t>公务用车购置</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辆,</w:t>
      </w:r>
      <w:r>
        <w:rPr>
          <w:rFonts w:hint="eastAsia" w:ascii="仿宋_GB2312" w:hAnsi="仿宋_GB2312" w:eastAsia="仿宋_GB2312" w:cs="仿宋_GB2312"/>
          <w:b/>
          <w:color w:val="auto"/>
          <w:sz w:val="32"/>
          <w:szCs w:val="32"/>
          <w:lang w:val="zh-CN"/>
        </w:rPr>
        <w:t>公务用车保有量</w:t>
      </w:r>
      <w:r>
        <w:rPr>
          <w:rFonts w:hint="eastAsia" w:ascii="仿宋_GB2312" w:hAnsi="仿宋_GB2312" w:eastAsia="仿宋_GB2312" w:cs="仿宋_GB2312"/>
          <w:color w:val="auto"/>
          <w:sz w:val="32"/>
          <w:szCs w:val="32"/>
          <w:lang w:val="zh-CN"/>
        </w:rPr>
        <w:t>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辆；</w:t>
      </w:r>
      <w:r>
        <w:rPr>
          <w:rFonts w:hint="eastAsia" w:ascii="仿宋_GB2312" w:hAnsi="仿宋_GB2312" w:eastAsia="仿宋_GB2312" w:cs="仿宋_GB2312"/>
          <w:b/>
          <w:color w:val="auto"/>
          <w:sz w:val="32"/>
          <w:szCs w:val="32"/>
          <w:lang w:val="zh-CN"/>
        </w:rPr>
        <w:t>国内公务接待</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批次</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人,其中：</w:t>
      </w:r>
      <w:r>
        <w:rPr>
          <w:rFonts w:hint="eastAsia" w:ascii="仿宋_GB2312" w:hAnsi="仿宋_GB2312" w:eastAsia="仿宋_GB2312" w:cs="仿宋_GB2312"/>
          <w:b/>
          <w:color w:val="auto"/>
          <w:sz w:val="32"/>
          <w:szCs w:val="32"/>
          <w:lang w:val="zh-CN"/>
        </w:rPr>
        <w:t>外事接待</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批次,</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人；</w:t>
      </w:r>
      <w:r>
        <w:rPr>
          <w:rFonts w:hint="eastAsia" w:ascii="仿宋_GB2312" w:hAnsi="仿宋_GB2312" w:eastAsia="仿宋_GB2312" w:cs="仿宋_GB2312"/>
          <w:b/>
          <w:color w:val="auto"/>
          <w:sz w:val="32"/>
          <w:szCs w:val="32"/>
          <w:lang w:val="zh-CN"/>
        </w:rPr>
        <w:t>国(境)外公务接待</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批次,</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人。</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b/>
          <w:color w:val="auto"/>
          <w:sz w:val="32"/>
          <w:szCs w:val="32"/>
          <w:lang w:val="zh-CN"/>
        </w:rPr>
      </w:pPr>
      <w:r>
        <w:rPr>
          <w:rFonts w:hint="eastAsia" w:ascii="仿宋_GB2312" w:hAnsi="仿宋_GB2312" w:eastAsia="仿宋_GB2312" w:cs="仿宋_GB2312"/>
          <w:b/>
          <w:color w:val="auto"/>
          <w:sz w:val="32"/>
          <w:szCs w:val="32"/>
          <w:lang w:val="zh-CN"/>
        </w:rPr>
        <w:t>第四部分预算绩效情况说明</w:t>
      </w:r>
    </w:p>
    <w:p>
      <w:pPr>
        <w:keepNext/>
        <w:keepLines/>
        <w:pageBreakBefore w:val="0"/>
        <w:suppressLineNumbers/>
        <w:kinsoku/>
        <w:wordWrap/>
        <w:overflowPunct/>
        <w:topLinePunct w:val="0"/>
        <w:autoSpaceDE/>
        <w:autoSpaceDN/>
        <w:bidi w:val="0"/>
        <w:adjustRightInd/>
        <w:snapToGrid/>
        <w:spacing w:beforeLines="0" w:afterLines="0" w:line="240" w:lineRule="auto"/>
        <w:ind w:firstLine="640"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我单位未开展绩效评价工作</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第五部分名词解释</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一、财政拨款收入</w:t>
      </w:r>
      <w:r>
        <w:rPr>
          <w:rFonts w:hint="eastAsia" w:ascii="仿宋_GB2312" w:hAnsi="仿宋_GB2312" w:eastAsia="仿宋_GB2312" w:cs="仿宋_GB2312"/>
          <w:color w:val="auto"/>
          <w:sz w:val="32"/>
          <w:szCs w:val="32"/>
          <w:lang w:val="zh-CN"/>
        </w:rPr>
        <w:t>：指本年度从本级财政部门取得的财政拨款,包括一般公共预算财政拨款和政府性基金预算财政拨款。</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二、事业收入</w:t>
      </w:r>
      <w:r>
        <w:rPr>
          <w:rFonts w:hint="eastAsia" w:ascii="仿宋_GB2312" w:hAnsi="仿宋_GB2312" w:eastAsia="仿宋_GB2312" w:cs="仿宋_GB2312"/>
          <w:color w:val="auto"/>
          <w:sz w:val="32"/>
          <w:szCs w:val="32"/>
          <w:lang w:val="zh-CN"/>
        </w:rPr>
        <w:t>：指事业单位开展专业业务活动及其辅助活动取得的现金流入；事业单位收到的财政专户实际核拨的教育收费等资金在此反映。</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三、经营收入</w:t>
      </w:r>
      <w:r>
        <w:rPr>
          <w:rFonts w:hint="eastAsia" w:ascii="仿宋_GB2312" w:hAnsi="仿宋_GB2312" w:eastAsia="仿宋_GB2312" w:cs="仿宋_GB2312"/>
          <w:color w:val="auto"/>
          <w:sz w:val="32"/>
          <w:szCs w:val="32"/>
          <w:lang w:val="zh-CN"/>
        </w:rPr>
        <w:t>：指事业单位在专业业务活动及其辅助活动之外开展非独立核算经营活动取得的现金流入。</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四、其他收入</w:t>
      </w:r>
      <w:r>
        <w:rPr>
          <w:rFonts w:hint="eastAsia" w:ascii="仿宋_GB2312" w:hAnsi="仿宋_GB2312" w:eastAsia="仿宋_GB2312" w:cs="仿宋_GB2312"/>
          <w:color w:val="auto"/>
          <w:sz w:val="32"/>
          <w:szCs w:val="32"/>
          <w:lang w:val="zh-CN"/>
        </w:rPr>
        <w:t>：指单位取得的除“财政拨款收入”、“事业收入”、“经营收入”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五、年初结转和结余</w:t>
      </w:r>
      <w:r>
        <w:rPr>
          <w:rFonts w:hint="eastAsia" w:ascii="仿宋_GB2312" w:hAnsi="仿宋_GB2312" w:eastAsia="仿宋_GB2312" w:cs="仿宋_GB2312"/>
          <w:color w:val="auto"/>
          <w:sz w:val="32"/>
          <w:szCs w:val="32"/>
          <w:lang w:val="zh-CN"/>
        </w:rPr>
        <w:t>：指单位上年结转本年使用的基本支出结转、项目支出结转和结余、经营结余。</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六、结余分配</w:t>
      </w:r>
      <w:r>
        <w:rPr>
          <w:rFonts w:hint="eastAsia" w:ascii="仿宋_GB2312" w:hAnsi="仿宋_GB2312" w:eastAsia="仿宋_GB2312" w:cs="仿宋_GB2312"/>
          <w:color w:val="auto"/>
          <w:sz w:val="32"/>
          <w:szCs w:val="32"/>
          <w:lang w:val="zh-CN"/>
        </w:rPr>
        <w:t>：指单位按照国家有关规定,缴纳所得税、提取专用基金、转入事业基金等当年结余的分配情况。</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lang w:val="zh-CN"/>
        </w:rPr>
      </w:pPr>
      <w:r>
        <w:rPr>
          <w:rFonts w:hint="eastAsia" w:ascii="仿宋_GB2312" w:hAnsi="仿宋_GB2312" w:eastAsia="仿宋_GB2312" w:cs="仿宋_GB2312"/>
          <w:b/>
          <w:color w:val="auto"/>
          <w:sz w:val="32"/>
          <w:szCs w:val="32"/>
          <w:lang w:val="zh-CN"/>
        </w:rPr>
        <w:t>七、年末结转和结余</w:t>
      </w:r>
      <w:r>
        <w:rPr>
          <w:rFonts w:hint="eastAsia" w:ascii="仿宋_GB2312" w:hAnsi="仿宋_GB2312" w:eastAsia="仿宋_GB2312" w:cs="仿宋_GB2312"/>
          <w:color w:val="auto"/>
          <w:sz w:val="32"/>
          <w:szCs w:val="32"/>
          <w:lang w:val="zh-CN"/>
        </w:rPr>
        <w:t>：指单位结转下年的基本支出结转、项目支出结转和结余、经营结余。</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八、基本支出</w:t>
      </w:r>
      <w:r>
        <w:rPr>
          <w:rFonts w:hint="eastAsia" w:ascii="仿宋_GB2312" w:hAnsi="仿宋_GB2312" w:eastAsia="仿宋_GB2312" w:cs="仿宋_GB2312"/>
          <w:color w:val="auto"/>
          <w:sz w:val="32"/>
          <w:szCs w:val="32"/>
          <w:lang w:val="zh-CN"/>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九、项目支出</w:t>
      </w:r>
      <w:r>
        <w:rPr>
          <w:rFonts w:hint="eastAsia" w:ascii="仿宋_GB2312" w:hAnsi="仿宋_GB2312" w:eastAsia="仿宋_GB2312" w:cs="仿宋_GB2312"/>
          <w:color w:val="auto"/>
          <w:sz w:val="32"/>
          <w:szCs w:val="32"/>
          <w:lang w:val="zh-CN"/>
        </w:rPr>
        <w:t>：指在基本支出之外为完成特定行政任务和事业发展目标所发生的支出。</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十、经营支出</w:t>
      </w:r>
      <w:r>
        <w:rPr>
          <w:rFonts w:hint="eastAsia" w:ascii="仿宋_GB2312" w:hAnsi="仿宋_GB2312" w:eastAsia="仿宋_GB2312" w:cs="仿宋_GB2312"/>
          <w:color w:val="auto"/>
          <w:sz w:val="32"/>
          <w:szCs w:val="32"/>
          <w:lang w:val="zh-CN"/>
        </w:rPr>
        <w:t>：指事业单位在专业业务活动及其辅助活动之外开展非独立核算经营活动发生的支出。</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十一、“三公”经费</w:t>
      </w:r>
      <w:r>
        <w:rPr>
          <w:rFonts w:hint="eastAsia" w:ascii="仿宋_GB2312" w:hAnsi="仿宋_GB2312" w:eastAsia="仿宋_GB2312" w:cs="仿宋_GB2312"/>
          <w:color w:val="auto"/>
          <w:sz w:val="32"/>
          <w:szCs w:val="32"/>
          <w:lang w:val="zh-CN"/>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十二、机关运行经费</w:t>
      </w:r>
      <w:r>
        <w:rPr>
          <w:rFonts w:hint="eastAsia" w:ascii="仿宋_GB2312" w:hAnsi="仿宋_GB2312" w:eastAsia="仿宋_GB2312" w:cs="仿宋_GB2312"/>
          <w:color w:val="auto"/>
          <w:sz w:val="32"/>
          <w:szCs w:val="32"/>
          <w:lang w:val="zh-CN"/>
        </w:rPr>
        <w:t>：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keepNext w:val="0"/>
        <w:keepLines w:val="0"/>
        <w:pageBreakBefore w:val="0"/>
        <w:widowControl w:val="0"/>
        <w:tabs>
          <w:tab w:val="left" w:pos="3501"/>
        </w:tabs>
        <w:kinsoku/>
        <w:wordWrap/>
        <w:overflowPunct/>
        <w:topLinePunct w:val="0"/>
        <w:autoSpaceDE/>
        <w:autoSpaceDN/>
        <w:bidi w:val="0"/>
        <w:adjustRightInd/>
        <w:snapToGrid/>
        <w:spacing w:line="240" w:lineRule="auto"/>
        <w:ind w:firstLine="643" w:firstLineChars="200"/>
        <w:jc w:val="left"/>
        <w:textAlignment w:val="auto"/>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pPr>
      <w:r>
        <w:rPr>
          <w:rFonts w:hint="eastAsia" w:ascii="仿宋_GB2312" w:hAnsi="仿宋_GB2312" w:eastAsia="仿宋_GB2312" w:cs="仿宋_GB2312"/>
          <w:b/>
          <w:color w:val="auto"/>
          <w:sz w:val="32"/>
          <w:szCs w:val="32"/>
          <w:lang w:val="en-US" w:eastAsia="zh-CN"/>
        </w:rPr>
        <w:t>十三、工资福利支出（支出经济分类科目类级）</w:t>
      </w:r>
      <w:r>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t>：反映单位开支的在职职工和编制外长期聘用人员的各类劳动报酬，以及为上述人员缴纳的各项社会保险费等。</w:t>
      </w:r>
    </w:p>
    <w:p>
      <w:pPr>
        <w:keepNext w:val="0"/>
        <w:keepLines w:val="0"/>
        <w:pageBreakBefore w:val="0"/>
        <w:widowControl w:val="0"/>
        <w:tabs>
          <w:tab w:val="left" w:pos="3501"/>
        </w:tabs>
        <w:kinsoku/>
        <w:wordWrap/>
        <w:overflowPunct/>
        <w:topLinePunct w:val="0"/>
        <w:autoSpaceDE/>
        <w:autoSpaceDN/>
        <w:bidi w:val="0"/>
        <w:adjustRightInd/>
        <w:snapToGrid/>
        <w:spacing w:line="240" w:lineRule="auto"/>
        <w:ind w:firstLine="643" w:firstLineChars="200"/>
        <w:jc w:val="left"/>
        <w:textAlignment w:val="auto"/>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pPr>
      <w:r>
        <w:rPr>
          <w:rFonts w:hint="eastAsia" w:ascii="仿宋_GB2312" w:hAnsi="仿宋_GB2312" w:eastAsia="仿宋_GB2312" w:cs="仿宋_GB2312"/>
          <w:b/>
          <w:color w:val="auto"/>
          <w:sz w:val="32"/>
          <w:szCs w:val="32"/>
          <w:lang w:val="en-US" w:eastAsia="zh-CN"/>
        </w:rPr>
        <w:t>十四、商品和服务支出（支出经济分类科目类级）：</w:t>
      </w:r>
      <w:r>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t>反映单位购买商品和服务的支出（不包括用于购置固定资产的支出、战略性和应急储备支出）。</w:t>
      </w:r>
    </w:p>
    <w:p>
      <w:pPr>
        <w:keepNext w:val="0"/>
        <w:keepLines w:val="0"/>
        <w:pageBreakBefore w:val="0"/>
        <w:widowControl w:val="0"/>
        <w:tabs>
          <w:tab w:val="left" w:pos="3501"/>
        </w:tabs>
        <w:kinsoku/>
        <w:wordWrap/>
        <w:overflowPunct/>
        <w:topLinePunct w:val="0"/>
        <w:autoSpaceDE/>
        <w:autoSpaceDN/>
        <w:bidi w:val="0"/>
        <w:adjustRightInd/>
        <w:snapToGrid/>
        <w:spacing w:line="240" w:lineRule="auto"/>
        <w:ind w:firstLine="643" w:firstLineChars="200"/>
        <w:jc w:val="left"/>
        <w:textAlignment w:val="auto"/>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pPr>
      <w:r>
        <w:rPr>
          <w:rFonts w:hint="eastAsia" w:ascii="仿宋_GB2312" w:hAnsi="仿宋_GB2312" w:eastAsia="仿宋_GB2312" w:cs="仿宋_GB2312"/>
          <w:b/>
          <w:color w:val="auto"/>
          <w:sz w:val="32"/>
          <w:szCs w:val="32"/>
          <w:lang w:val="en-US" w:eastAsia="zh-CN"/>
        </w:rPr>
        <w:t>十五、对个人和家庭的补助（支出经济分类科目类级）：</w:t>
      </w:r>
      <w:r>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t>反映用于对个人和家庭的补助支出。</w:t>
      </w:r>
    </w:p>
    <w:p>
      <w:pPr>
        <w:keepNext w:val="0"/>
        <w:keepLines w:val="0"/>
        <w:pageBreakBefore w:val="0"/>
        <w:widowControl w:val="0"/>
        <w:tabs>
          <w:tab w:val="left" w:pos="3501"/>
        </w:tabs>
        <w:kinsoku/>
        <w:wordWrap/>
        <w:overflowPunct/>
        <w:topLinePunct w:val="0"/>
        <w:autoSpaceDE/>
        <w:autoSpaceDN/>
        <w:bidi w:val="0"/>
        <w:adjustRightInd/>
        <w:snapToGrid/>
        <w:spacing w:line="240" w:lineRule="auto"/>
        <w:ind w:firstLine="643" w:firstLineChars="200"/>
        <w:jc w:val="left"/>
        <w:textAlignment w:val="auto"/>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pPr>
      <w:r>
        <w:rPr>
          <w:rFonts w:hint="eastAsia" w:ascii="仿宋_GB2312" w:hAnsi="仿宋_GB2312" w:eastAsia="仿宋_GB2312" w:cs="仿宋_GB2312"/>
          <w:b/>
          <w:color w:val="auto"/>
          <w:sz w:val="32"/>
          <w:szCs w:val="32"/>
          <w:lang w:val="en-US" w:eastAsia="zh-CN"/>
        </w:rPr>
        <w:t>十六、其他资本性支出（支出经济分类科目类级）</w:t>
      </w:r>
      <w:r>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t>：反映非各级发展与改革部门集中安排的用于购置固定资产、战略性和应急性储备、土地和无形资产，以及构建基础设施、大型修缮和财政支持企业更新改造所发生的支出。</w:t>
      </w:r>
    </w:p>
    <w:p>
      <w:pPr>
        <w:keepNext w:val="0"/>
        <w:keepLines w:val="0"/>
        <w:pageBreakBefore w:val="0"/>
        <w:widowControl w:val="0"/>
        <w:tabs>
          <w:tab w:val="left" w:pos="3501"/>
        </w:tabs>
        <w:kinsoku/>
        <w:wordWrap/>
        <w:overflowPunct/>
        <w:topLinePunct w:val="0"/>
        <w:autoSpaceDE/>
        <w:autoSpaceDN/>
        <w:bidi w:val="0"/>
        <w:adjustRightInd/>
        <w:snapToGrid/>
        <w:spacing w:line="240" w:lineRule="auto"/>
        <w:ind w:firstLine="643" w:firstLineChars="200"/>
        <w:jc w:val="left"/>
        <w:textAlignment w:val="auto"/>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pPr>
      <w:r>
        <w:rPr>
          <w:rFonts w:hint="eastAsia" w:ascii="仿宋_GB2312" w:hAnsi="仿宋_GB2312" w:eastAsia="仿宋_GB2312" w:cs="仿宋_GB2312"/>
          <w:b/>
          <w:color w:val="auto"/>
          <w:sz w:val="32"/>
          <w:szCs w:val="32"/>
          <w:lang w:val="en-US" w:eastAsia="zh-CN"/>
        </w:rPr>
        <w:t>十七、用事业基金弥补收支差额：</w:t>
      </w:r>
      <w:r>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t>指事业单位在当年的“财政拨款收入”、“事业收入”、“经营收入”、“其他收入”等不足以安排当年支出的情况下，使用以前年度积累的事业基金（事业单位当年收支相抵后按国家规定提取、用于弥补以后年度收支差额的基金）弥补本年度收支缺口的资金。</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pPr>
      <w:r>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t>（注：本部分至少应包含以上信息，不得删减。）</w:t>
      </w:r>
    </w:p>
    <w:p>
      <w:pPr>
        <w:pStyle w:val="2"/>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pPr>
    </w:p>
    <w:p>
      <w:pPr>
        <w:rPr>
          <w:rFonts w:hint="default"/>
          <w:lang w:val="en-US" w:eastAsia="zh-CN"/>
        </w:rPr>
      </w:pPr>
      <w:r>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t xml:space="preserve"> </w:t>
      </w:r>
    </w:p>
    <w:p>
      <w:pPr>
        <w:pStyle w:val="2"/>
        <w:rPr>
          <w:rFonts w:hint="default"/>
          <w:b/>
          <w:bCs/>
          <w:lang w:val="en-US"/>
        </w:rPr>
      </w:pPr>
      <w:r>
        <w:rPr>
          <w:rFonts w:hint="eastAsia" w:ascii="仿宋_GB2312" w:hAnsi="仿宋_GB2312" w:eastAsia="仿宋_GB2312" w:cs="仿宋_GB2312"/>
          <w:b/>
          <w:bCs/>
          <w:color w:val="auto"/>
          <w:spacing w:val="0"/>
          <w:w w:val="100"/>
          <w:position w:val="0"/>
          <w:sz w:val="32"/>
          <w:szCs w:val="32"/>
          <w:u w:val="none"/>
          <w:shd w:val="clear" w:color="auto" w:fill="auto"/>
          <w:lang w:val="en-US" w:eastAsia="zh-CN" w:bidi="zh-TW"/>
        </w:rPr>
        <w:t>附件：2022年度部门决算表</w:t>
      </w:r>
    </w:p>
    <w:sectPr>
      <w:footerReference r:id="rId3" w:type="default"/>
      <w:pgSz w:w="11906" w:h="16838"/>
      <w:pgMar w:top="1440" w:right="1800" w:bottom="1440" w:left="1800" w:header="720" w:footer="720" w:gutter="0"/>
      <w:lnNumType w:countBy="0" w:distance="36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p>
    <w:pPr>
      <w:pStyle w:val="9"/>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E2B28A"/>
    <w:multiLevelType w:val="singleLevel"/>
    <w:tmpl w:val="04E2B28A"/>
    <w:lvl w:ilvl="0" w:tentative="0">
      <w:start w:val="1"/>
      <w:numFmt w:val="chineseCounting"/>
      <w:suff w:val="nothing"/>
      <w:lvlText w:val="%1、"/>
      <w:lvlJc w:val="left"/>
      <w:pPr>
        <w:ind w:left="200"/>
      </w:pPr>
      <w:rPr>
        <w:rFonts w:hint="eastAsia"/>
      </w:rPr>
    </w:lvl>
  </w:abstractNum>
  <w:abstractNum w:abstractNumId="1">
    <w:nsid w:val="1C787B5A"/>
    <w:multiLevelType w:val="singleLevel"/>
    <w:tmpl w:val="1C787B5A"/>
    <w:lvl w:ilvl="0" w:tentative="0">
      <w:start w:val="3"/>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MxNDNkYWQ0ODI0ZmUyZmM2MzUyZmQ3ZDQzMjQ0NDIifQ=="/>
  </w:docVars>
  <w:rsids>
    <w:rsidRoot w:val="00000000"/>
    <w:rsid w:val="008C6C96"/>
    <w:rsid w:val="0208149D"/>
    <w:rsid w:val="02AA4B1F"/>
    <w:rsid w:val="042E23C8"/>
    <w:rsid w:val="05964489"/>
    <w:rsid w:val="05EB7C7D"/>
    <w:rsid w:val="06EC4D27"/>
    <w:rsid w:val="07292279"/>
    <w:rsid w:val="079C66F3"/>
    <w:rsid w:val="08FF396E"/>
    <w:rsid w:val="09061F52"/>
    <w:rsid w:val="0BD2242A"/>
    <w:rsid w:val="0D386A9E"/>
    <w:rsid w:val="0F124408"/>
    <w:rsid w:val="118F1B21"/>
    <w:rsid w:val="11B25539"/>
    <w:rsid w:val="12A34BDD"/>
    <w:rsid w:val="16770DEC"/>
    <w:rsid w:val="17B00335"/>
    <w:rsid w:val="18C74101"/>
    <w:rsid w:val="19E37A7A"/>
    <w:rsid w:val="1AD863F9"/>
    <w:rsid w:val="1DA027A1"/>
    <w:rsid w:val="20F47E45"/>
    <w:rsid w:val="22716FF0"/>
    <w:rsid w:val="228D2DB6"/>
    <w:rsid w:val="22F47D0F"/>
    <w:rsid w:val="23250B58"/>
    <w:rsid w:val="24FB24D8"/>
    <w:rsid w:val="296D45C8"/>
    <w:rsid w:val="29A22ED3"/>
    <w:rsid w:val="2BE94E19"/>
    <w:rsid w:val="2C286950"/>
    <w:rsid w:val="2CCA02D3"/>
    <w:rsid w:val="2CED26E7"/>
    <w:rsid w:val="2D3465DE"/>
    <w:rsid w:val="2FB3764F"/>
    <w:rsid w:val="2FB73533"/>
    <w:rsid w:val="302D2CFD"/>
    <w:rsid w:val="30B3410D"/>
    <w:rsid w:val="30DD7BD3"/>
    <w:rsid w:val="32364B30"/>
    <w:rsid w:val="34115A88"/>
    <w:rsid w:val="3BE06C83"/>
    <w:rsid w:val="3C593F1C"/>
    <w:rsid w:val="42D426D5"/>
    <w:rsid w:val="43C07555"/>
    <w:rsid w:val="44107B5E"/>
    <w:rsid w:val="470E7B71"/>
    <w:rsid w:val="483B1A2C"/>
    <w:rsid w:val="496E016C"/>
    <w:rsid w:val="4C9830DA"/>
    <w:rsid w:val="4DA644C0"/>
    <w:rsid w:val="51503E9C"/>
    <w:rsid w:val="53A94FC6"/>
    <w:rsid w:val="54237CF8"/>
    <w:rsid w:val="54A5281C"/>
    <w:rsid w:val="56754ADE"/>
    <w:rsid w:val="592F3172"/>
    <w:rsid w:val="59FD5DAF"/>
    <w:rsid w:val="5BEE108D"/>
    <w:rsid w:val="5C847877"/>
    <w:rsid w:val="5D387615"/>
    <w:rsid w:val="5E037804"/>
    <w:rsid w:val="5EA76C4F"/>
    <w:rsid w:val="64E379F8"/>
    <w:rsid w:val="65E52B0F"/>
    <w:rsid w:val="66B221A6"/>
    <w:rsid w:val="67731D96"/>
    <w:rsid w:val="688A4D77"/>
    <w:rsid w:val="69724A37"/>
    <w:rsid w:val="69AA14E4"/>
    <w:rsid w:val="69F505BB"/>
    <w:rsid w:val="6A696B49"/>
    <w:rsid w:val="6C2F176C"/>
    <w:rsid w:val="6EFE0F5A"/>
    <w:rsid w:val="6F9277B6"/>
    <w:rsid w:val="6FE631E5"/>
    <w:rsid w:val="71F31B1A"/>
    <w:rsid w:val="749018A2"/>
    <w:rsid w:val="776C2BD5"/>
    <w:rsid w:val="77925050"/>
  </w:rsids>
  <m:mathPr>
    <m:mathFont m:val="Cambria Math"/>
    <m:brkBin m:val="before"/>
    <m:brkBinSub m:val="--"/>
    <m:smallFrac m:val="0"/>
    <m:dispDef/>
    <m:lMargin m:val="0"/>
    <m:rMargin m:val="0"/>
    <m:defJc m:val="centerGroup"/>
    <m:preSp m:val="0"/>
    <m:postSp m:val="0"/>
    <m:interSp m:val="0"/>
    <m:intraSp m:val="0"/>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iPriority="99"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iPriority="99"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pPr>
    <w:rPr>
      <w:rFonts w:eastAsia="宋体" w:asciiTheme="minorHAnsi" w:hAnsiTheme="minorHAnsi" w:cstheme="minorBidi"/>
      <w:kern w:val="2"/>
      <w:sz w:val="21"/>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4">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5">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paragraph" w:styleId="6">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paragraph" w:styleId="7">
    <w:name w:val="heading 5"/>
    <w:basedOn w:val="1"/>
    <w:next w:val="1"/>
    <w:unhideWhenUsed/>
    <w:qFormat/>
    <w:uiPriority w:val="0"/>
    <w:pPr>
      <w:keepNext/>
      <w:keepLines/>
      <w:spacing w:before="280" w:beforeLines="0" w:beforeAutospacing="0" w:after="290" w:afterLines="0" w:afterAutospacing="0" w:line="372" w:lineRule="auto"/>
      <w:outlineLvl w:val="4"/>
    </w:pPr>
    <w:rPr>
      <w:b/>
      <w:sz w:val="28"/>
    </w:rPr>
  </w:style>
  <w:style w:type="paragraph" w:styleId="8">
    <w:name w:val="heading 6"/>
    <w:basedOn w:val="1"/>
    <w:next w:val="1"/>
    <w:unhideWhenUsed/>
    <w:qFormat/>
    <w:uiPriority w:val="0"/>
    <w:pPr>
      <w:keepNext/>
      <w:keepLines/>
      <w:spacing w:before="240" w:beforeLines="0" w:beforeAutospacing="0" w:after="64" w:afterLines="0" w:afterAutospacing="0" w:line="317" w:lineRule="auto"/>
      <w:outlineLvl w:val="5"/>
    </w:pPr>
    <w:rPr>
      <w:rFonts w:ascii="Arial" w:hAnsi="Arial" w:eastAsia="黑体"/>
      <w:b/>
      <w:sz w:val="24"/>
    </w:rPr>
  </w:style>
  <w:style w:type="character" w:default="1" w:styleId="13">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Body Text Indent 2"/>
    <w:basedOn w:val="1"/>
    <w:next w:val="1"/>
    <w:qFormat/>
    <w:uiPriority w:val="0"/>
    <w:pPr>
      <w:spacing w:line="480" w:lineRule="auto"/>
      <w:ind w:left="420" w:leftChars="200"/>
    </w:p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12">
    <w:name w:val="Table Grid"/>
    <w:basedOn w:val="11"/>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10.xml"/><Relationship Id="rId14" Type="http://schemas.openxmlformats.org/officeDocument/2006/relationships/customXml" Target="../customXml/item9.xml"/><Relationship Id="rId13" Type="http://schemas.openxmlformats.org/officeDocument/2006/relationships/customXml" Target="../customXml/item8.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2023-07-20T03:33:00Z</dcterms:created>
  <dc:creator>O.L.Problem without you</dc:creator>
  <cp:lastModifiedBy>O.L.Problem without you</cp:lastModifiedBy>
  <dcterms:modified xsi:type="dcterms:W3CDTF">2023-08-02T07:30:07Z</dcterms:modified>
  <cp:revision>1</cp:revision>
</cp:coreProperties>
</file>

<file path=customXml/item2.xml><?xml version="1.0" encoding="utf-8"?>
<Properties xmlns="http://schemas.openxmlformats.org/officeDocument/2006/extended-properties" xmlns:vt="http://schemas.openxmlformats.org/officeDocument/2006/docPropsVTypes">
  <Template>Normal.dotm</Template>
  <Pages>12</Pages>
  <Words>6392</Words>
  <Characters>13548</Characters>
  <Lines>0</Lines>
  <Paragraphs>0</Paragraphs>
  <TotalTime>9</TotalTime>
  <ScaleCrop>false</ScaleCrop>
  <LinksUpToDate>false</LinksUpToDate>
  <CharactersWithSpaces>13626</CharactersWithSpaces>
  <Application>WPS Office_12.1.0.15120_F1E327BC-269C-435d-A152-05C5408002CA</Application>
  <DocSecurity>0</DocSecurity>
</Properties>
</file>

<file path=customXml/item3.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E06D266F13EA4024808CEEADBAD91186_11</vt:lpwstr>
  </property>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2023-07-20T03:33:00Z</dcterms:created>
  <dc:creator>O.L.Problem without you</dc:creator>
  <cp:lastModifiedBy>O.L.Problem without you</cp:lastModifiedBy>
  <dcterms:modified xsi:type="dcterms:W3CDTF">2023-08-02T07:30:07Z</dcterms:modified>
  <cp:revision>1</cp:revision>
</cp:coreProperties>
</file>

<file path=customXml/item5.xml><?xml version="1.0" encoding="utf-8"?>
<Properties xmlns="http://schemas.openxmlformats.org/officeDocument/2006/extended-properties" xmlns:vt="http://schemas.openxmlformats.org/officeDocument/2006/docPropsVTypes">
  <Template>Normal.dotm</Template>
  <Pages>12</Pages>
  <Words>6392</Words>
  <Characters>13548</Characters>
  <Lines>0</Lines>
  <Paragraphs>0</Paragraphs>
  <TotalTime>9</TotalTime>
  <ScaleCrop>false</ScaleCrop>
  <LinksUpToDate>false</LinksUpToDate>
  <CharactersWithSpaces>13626</CharactersWithSpaces>
  <Application>WPS Office_12.1.0.15120_F1E327BC-269C-435d-A152-05C5408002CA</Application>
  <DocSecurity>0</DocSecurity>
</Properties>
</file>

<file path=customXml/item6.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E06D266F13EA4024808CEEADBAD91186_11</vt:lpwstr>
  </property>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dc:creator>O.L.Problem without you</dc:creator>
  <cp:lastModifiedBy>O.L.Problem without you</cp:lastModifiedBy>
  <cp:revision>1</cp:revision>
  <dcterms:created xsi:type="dcterms:W3CDTF">2023-07-20T03:33:00Z</dcterms:created>
  <dcterms:modified xsi:type="dcterms:W3CDTF">2023-08-02T07:30:07Z</dcterms:modified>
</cp:coreProperties>
</file>

<file path=customXml/item8.xml><?xml version="1.0" encoding="utf-8"?>
<Properties xmlns:vt="http://schemas.openxmlformats.org/officeDocument/2006/docPropsVTypes" xmlns="http://schemas.openxmlformats.org/officeDocument/2006/extended-properties">
  <Template>Normal.dotm</Template>
  <TotalTime>9</TotalTime>
  <Pages>12</Pages>
  <Words>6392</Words>
  <Characters>13548</Characters>
  <Application>WPS Office_12.1.0.15120_F1E327BC-269C-435d-A152-05C5408002CA</Application>
  <DocSecurity>0</DocSecurity>
  <Lines>0</Lines>
  <Paragraphs>0</Paragraphs>
  <CharactersWithSpaces>13626</CharactersWithSpaces>
  <AppVersion>14.0000</AppVersion>
</Properties>
</file>

<file path=customXml/item9.xml><?xml version="1.0" encoding="utf-8"?>
<Properties xmlns:vt="http://schemas.openxmlformats.org/officeDocument/2006/docPropsVTypes" xmlns="http://schemas.openxmlformats.org/officeDocument/2006/custom-properties">
  <property fmtid="{D5CDD505-2E9C-101B-9397-08002B2CF9AE}" pid="2" name="KSOProductBuildVer">
    <vt:lpstr>2052-12.1.0.15120</vt:lpstr>
  </property>
  <property fmtid="{D5CDD505-2E9C-101B-9397-08002B2CF9AE}" pid="3" name="ICV">
    <vt:lpstr>E06D266F13EA4024808CEEADBAD91186_11</vt:lpstr>
  </property>
</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d38ddf7c-f42f-4139-a6d5-4c272742fb01}">
  <ds:schemaRefs/>
</ds:datastoreItem>
</file>

<file path=customXml/itemProps2.xml><?xml version="1.0" encoding="utf-8"?>
<ds:datastoreItem xmlns:ds="http://schemas.openxmlformats.org/officeDocument/2006/customXml" ds:itemID="{dd9736f0-b4da-40c5-bb91-cccf845c036b}">
  <ds:schemaRefs/>
</ds:datastoreItem>
</file>

<file path=customXml/itemProps3.xml><?xml version="1.0" encoding="utf-8"?>
<ds:datastoreItem xmlns:ds="http://schemas.openxmlformats.org/officeDocument/2006/customXml" ds:itemID="{d598932f-d44b-446f-8f36-105025c3f829}">
  <ds:schemaRefs/>
</ds:datastoreItem>
</file>

<file path=customXml/itemProps4.xml><?xml version="1.0" encoding="utf-8"?>
<ds:datastoreItem xmlns:ds="http://schemas.openxmlformats.org/officeDocument/2006/customXml" ds:itemID="{1942c3e6-50fa-42e3-afb2-c9ca37f9532b}">
  <ds:schemaRefs/>
</ds:datastoreItem>
</file>

<file path=customXml/itemProps5.xml><?xml version="1.0" encoding="utf-8"?>
<ds:datastoreItem xmlns:ds="http://schemas.openxmlformats.org/officeDocument/2006/customXml" ds:itemID="{9f816721-a34c-4b38-8df9-8940ce05977f}">
  <ds:schemaRefs/>
</ds:datastoreItem>
</file>

<file path=customXml/itemProps6.xml><?xml version="1.0" encoding="utf-8"?>
<ds:datastoreItem xmlns:ds="http://schemas.openxmlformats.org/officeDocument/2006/customXml" ds:itemID="{abd899ba-6e03-4791-9897-a1bbba214d3e}">
  <ds:schemaRefs/>
</ds:datastoreItem>
</file>

<file path=customXml/itemProps7.xml><?xml version="1.0" encoding="utf-8"?>
<ds:datastoreItem xmlns:ds="http://schemas.openxmlformats.org/officeDocument/2006/customXml" ds:itemID="{9ebdd679-4610-4a7d-99c1-8a4128f5cebc}">
  <ds:schemaRefs/>
</ds:datastoreItem>
</file>

<file path=customXml/itemProps8.xml><?xml version="1.0" encoding="utf-8"?>
<ds:datastoreItem xmlns:ds="http://schemas.openxmlformats.org/officeDocument/2006/customXml" ds:itemID="{65f361dc-07a0-4362-b527-b3db1c437bbe}">
  <ds:schemaRefs/>
</ds:datastoreItem>
</file>

<file path=customXml/itemProps9.xml><?xml version="1.0" encoding="utf-8"?>
<ds:datastoreItem xmlns:ds="http://schemas.openxmlformats.org/officeDocument/2006/customXml" ds:itemID="{5c862a0d-5a43-460c-b27d-6ae8edf896e5}">
  <ds:schemaRefs/>
</ds:datastoreItem>
</file>

<file path=docProps/app.xml><?xml version="1.0" encoding="utf-8"?>
<Properties xmlns="http://schemas.openxmlformats.org/officeDocument/2006/extended-properties" xmlns:vt="http://schemas.openxmlformats.org/officeDocument/2006/docPropsVTypes">
  <Template>Normal.dotm</Template>
  <Pages>13</Pages>
  <Words>4085</Words>
  <Characters>4375</Characters>
  <Lines>0</Lines>
  <Paragraphs>0</Paragraphs>
  <TotalTime>34</TotalTime>
  <ScaleCrop>false</ScaleCrop>
  <LinksUpToDate>false</LinksUpToDate>
  <CharactersWithSpaces>4386</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2023-07-20T03:33:00Z</dcterms:created>
  <dc:creator>O.L.Problem without you</dc:creator>
  <cp:lastModifiedBy>Administrator</cp:lastModifiedBy>
  <cp:lastPrinted>2023-08-18T07:47:00Z</cp:lastPrinted>
  <dcterms:modified xsi:type="dcterms:W3CDTF">2023-09-20T04:08:00Z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5B6385A7B46F483B86BE93C606BF86D0_12</vt:lpwstr>
  </property>
</Properties>
</file>