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hint="eastAsia" w:ascii="方正小标宋简体" w:eastAsia="方正小标宋简体"/>
          <w:sz w:val="72"/>
          <w:szCs w:val="72"/>
        </w:rPr>
      </w:pPr>
      <w:r>
        <w:rPr>
          <w:rFonts w:hint="eastAsia" w:ascii="方正小标宋简体" w:eastAsia="方正小标宋简体"/>
          <w:sz w:val="72"/>
          <w:szCs w:val="72"/>
          <w:highlight w:val="none"/>
          <w:lang w:eastAsia="zh-CN"/>
        </w:rPr>
        <w:t>东乡族自治县关卜乡人民政府</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w:t>
      </w:r>
      <w:r>
        <w:rPr>
          <w:rFonts w:hint="eastAsia" w:ascii="方正小标宋简体" w:eastAsia="方正小标宋简体"/>
          <w:sz w:val="48"/>
          <w:szCs w:val="48"/>
          <w:lang w:val="en-US" w:eastAsia="zh-CN"/>
        </w:rPr>
        <w:t>05</w:t>
      </w:r>
      <w:r>
        <w:rPr>
          <w:rFonts w:hint="eastAsia" w:ascii="方正小标宋简体" w:eastAsia="方正小标宋简体"/>
          <w:sz w:val="48"/>
          <w:szCs w:val="48"/>
        </w:rPr>
        <w:t>月</w:t>
      </w: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930" w:firstLineChars="300"/>
        <w:jc w:val="left"/>
        <w:rPr>
          <w:rFonts w:ascii="仿宋_GB2312" w:hAnsi="宋体" w:eastAsia="仿宋_GB2312" w:cs="宋体"/>
          <w:kern w:val="0"/>
          <w:sz w:val="32"/>
          <w:szCs w:val="32"/>
          <w:highlight w:val="yellow"/>
        </w:rPr>
      </w:pPr>
      <w:r>
        <w:rPr>
          <w:rFonts w:ascii="仿宋" w:hAnsi="仿宋" w:eastAsia="仿宋" w:cs="仿宋"/>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宣传和贯彻执行党的路线方针政策和法律法规;制定地方经济社会发展规划和年度计划并组织</w:t>
      </w:r>
      <w:r>
        <w:rPr>
          <w:rFonts w:hint="eastAsia" w:ascii="仿宋" w:hAnsi="仿宋" w:eastAsia="仿宋" w:cs="仿宋"/>
          <w:color w:val="000000"/>
          <w:kern w:val="0"/>
          <w:sz w:val="31"/>
          <w:szCs w:val="31"/>
          <w:lang w:val="en-US" w:eastAsia="zh-CN" w:bidi="ar"/>
        </w:rPr>
        <w:t>实施;坚持依法行政,推进民主政治,加强基层政权建设做好农业、农村、农民和社区工作,推进乡村振兴。 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7、按照管理权限,负责机关和事业单位工作人员的教育、培养、选拔和监督工作; 协助管理好派驻单位人员。8、依法依规承担下放的经济社会管理权限和行政执法事项。9、法律、法规规定和县委、县政府交办的其他事项。</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930" w:firstLineChars="3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关卜乡设10个内设机构，包括：</w:t>
      </w:r>
      <w:r>
        <w:rPr>
          <w:rFonts w:ascii="仿宋" w:hAnsi="仿宋" w:eastAsia="仿宋" w:cs="仿宋"/>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党政综合办公室</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2.党建工作办公室</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3.经济发展和社会事务办</w:t>
      </w:r>
      <w:r>
        <w:rPr>
          <w:rFonts w:hint="eastAsia" w:ascii="仿宋" w:hAnsi="仿宋" w:eastAsia="仿宋" w:cs="仿宋"/>
          <w:color w:val="000000"/>
          <w:kern w:val="0"/>
          <w:sz w:val="31"/>
          <w:szCs w:val="31"/>
          <w:lang w:val="en-US" w:eastAsia="zh-CN" w:bidi="ar"/>
        </w:rPr>
        <w:t>公室；4.社会治理和应急管理办公室；5、农业农村综合服务中心；6、公共事务服务中心； 7、政务（便民）服务中心；8、社会治安综合治理中心；9、综合行政执法队；10、乡村振兴工作站。</w:t>
      </w:r>
    </w:p>
    <w:p>
      <w:pPr>
        <w:keepNext w:val="0"/>
        <w:keepLines w:val="0"/>
        <w:widowControl/>
        <w:suppressLineNumbers w:val="0"/>
        <w:ind w:firstLine="930" w:firstLineChars="300"/>
        <w:jc w:val="left"/>
        <w:rPr>
          <w:rFonts w:hint="eastAsia" w:ascii="仿宋" w:hAnsi="仿宋" w:eastAsia="仿宋" w:cs="仿宋"/>
          <w:color w:val="000000"/>
          <w:kern w:val="0"/>
          <w:sz w:val="31"/>
          <w:szCs w:val="31"/>
          <w:lang w:val="en-US" w:eastAsia="zh-CN" w:bidi="ar"/>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both"/>
        <w:rPr>
          <w:rFonts w:hint="eastAsia" w:ascii="仿宋_GB2312" w:hAnsi="黑体" w:eastAsia="仿宋_GB2312"/>
          <w:b/>
          <w:sz w:val="52"/>
          <w:szCs w:val="52"/>
        </w:rPr>
      </w:pPr>
    </w:p>
    <w:p>
      <w:pPr>
        <w:spacing w:line="640" w:lineRule="exact"/>
        <w:jc w:val="center"/>
        <w:rPr>
          <w:rFonts w:hint="eastAsia" w:ascii="黑体" w:hAnsi="黑体" w:eastAsia="黑体"/>
          <w:sz w:val="28"/>
          <w:szCs w:val="28"/>
          <w:lang w:eastAsia="zh-CN"/>
        </w:rPr>
      </w:pPr>
      <w:r>
        <w:rPr>
          <w:rFonts w:hint="eastAsia" w:ascii="仿宋_GB2312" w:hAnsi="黑体" w:eastAsia="仿宋_GB2312"/>
          <w:b/>
          <w:sz w:val="52"/>
          <w:szCs w:val="52"/>
        </w:rPr>
        <w:t>第二部分  2022年部门预算表格</w:t>
      </w:r>
    </w:p>
    <w:p>
      <w:pPr>
        <w:spacing w:line="640" w:lineRule="exact"/>
        <w:jc w:val="both"/>
        <w:rPr>
          <w:rFonts w:hint="eastAsia" w:ascii="黑体" w:hAnsi="黑体" w:eastAsia="黑体"/>
          <w:sz w:val="28"/>
          <w:szCs w:val="28"/>
          <w:lang w:eastAsia="zh-CN"/>
        </w:rPr>
      </w:pPr>
    </w:p>
    <w:p>
      <w:pPr>
        <w:spacing w:line="640" w:lineRule="exact"/>
        <w:jc w:val="both"/>
        <w:rPr>
          <w:rFonts w:hint="eastAsia" w:ascii="黑体" w:hAnsi="黑体" w:eastAsia="黑体"/>
          <w:sz w:val="24"/>
          <w:szCs w:val="24"/>
          <w:lang w:val="en-US" w:eastAsia="zh-CN"/>
        </w:rPr>
      </w:pPr>
      <w:r>
        <w:rPr>
          <w:rFonts w:hint="eastAsia" w:ascii="黑体" w:hAnsi="黑体" w:eastAsia="黑体"/>
          <w:sz w:val="24"/>
          <w:szCs w:val="24"/>
          <w:lang w:val="en-US" w:eastAsia="zh-CN"/>
        </w:rPr>
        <w:t xml:space="preserve">                    </w:t>
      </w: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hint="eastAsia" w:ascii="黑体" w:hAnsi="黑体" w:eastAsia="黑体"/>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lang w:val="en-US" w:eastAsia="zh-CN"/>
        </w:rPr>
        <w:t>6739675.14</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1890053.86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28%。</w:t>
      </w:r>
      <w:r>
        <w:rPr>
          <w:rFonts w:hint="eastAsia" w:ascii="仿宋_GB2312" w:hAnsi="黑体" w:eastAsia="仿宋_GB2312"/>
          <w:sz w:val="32"/>
          <w:szCs w:val="32"/>
          <w:highlight w:val="none"/>
        </w:rPr>
        <w:t>其中：一般公共预算财政拨款收入</w:t>
      </w:r>
      <w:r>
        <w:rPr>
          <w:rFonts w:hint="eastAsia" w:ascii="仿宋_GB2312" w:hAnsi="黑体" w:eastAsia="仿宋_GB2312"/>
          <w:sz w:val="32"/>
          <w:szCs w:val="32"/>
          <w:highlight w:val="none"/>
          <w:lang w:val="en-US" w:eastAsia="zh-CN"/>
        </w:rPr>
        <w:t>6739675.14</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，上年结转</w:t>
      </w:r>
      <w:r>
        <w:rPr>
          <w:rFonts w:hint="eastAsia" w:ascii="仿宋_GB2312" w:hAnsi="宋体" w:eastAsia="仿宋_GB2312"/>
          <w:sz w:val="32"/>
          <w:szCs w:val="32"/>
          <w:highlight w:val="none"/>
          <w:lang w:val="en-US" w:eastAsia="zh-CN"/>
        </w:rPr>
        <w:t>0.00元。</w:t>
      </w:r>
      <w:r>
        <w:rPr>
          <w:rFonts w:hint="eastAsia" w:ascii="仿宋_GB2312" w:hAnsi="宋体" w:eastAsia="仿宋_GB2312"/>
          <w:sz w:val="32"/>
          <w:szCs w:val="32"/>
          <w:highlight w:val="none"/>
        </w:rPr>
        <w:t>预算支出</w:t>
      </w:r>
      <w:r>
        <w:rPr>
          <w:rFonts w:hint="eastAsia" w:ascii="仿宋_GB2312" w:hAnsi="黑体" w:eastAsia="仿宋_GB2312"/>
          <w:sz w:val="32"/>
          <w:szCs w:val="32"/>
          <w:highlight w:val="none"/>
          <w:lang w:val="en-US" w:eastAsia="zh-CN"/>
        </w:rPr>
        <w:t>6739675.14</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28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村社合并相应资金支出减少。</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3921316.16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比上年减少</w:t>
      </w:r>
      <w:r>
        <w:rPr>
          <w:rFonts w:hint="eastAsia" w:ascii="仿宋_GB2312" w:hAnsi="宋体" w:eastAsia="仿宋_GB2312"/>
          <w:sz w:val="32"/>
          <w:szCs w:val="32"/>
          <w:highlight w:val="none"/>
          <w:lang w:val="en-US" w:eastAsia="zh-CN"/>
        </w:rPr>
        <w:t>44%，主要原因是</w:t>
      </w:r>
      <w:r>
        <w:rPr>
          <w:rFonts w:hint="eastAsia" w:ascii="仿宋_GB2312" w:hAnsi="宋体" w:eastAsia="仿宋_GB2312"/>
          <w:sz w:val="32"/>
          <w:szCs w:val="32"/>
          <w:highlight w:val="none"/>
          <w:lang w:eastAsia="zh-CN"/>
        </w:rPr>
        <w:t>人员减少。</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财政拨款</w:t>
      </w:r>
      <w:r>
        <w:rPr>
          <w:rFonts w:hint="eastAsia" w:ascii="仿宋_GB2312" w:hAnsi="黑体" w:eastAsia="仿宋_GB2312"/>
          <w:sz w:val="32"/>
          <w:szCs w:val="32"/>
          <w:highlight w:val="none"/>
        </w:rPr>
        <w:t>3921316.16</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30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人员减少。</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307898.50</w:t>
      </w:r>
      <w:r>
        <w:rPr>
          <w:rFonts w:hint="eastAsia" w:ascii="仿宋_GB2312" w:hAnsi="黑体" w:eastAsia="仿宋_GB2312"/>
          <w:sz w:val="32"/>
          <w:szCs w:val="32"/>
          <w:highlight w:val="none"/>
          <w:lang w:eastAsia="zh-CN"/>
        </w:rPr>
        <w:t>元，比上年减少</w:t>
      </w:r>
      <w:r>
        <w:rPr>
          <w:rFonts w:hint="eastAsia" w:ascii="仿宋_GB2312" w:hAnsi="黑体" w:eastAsia="仿宋_GB2312"/>
          <w:sz w:val="32"/>
          <w:szCs w:val="32"/>
          <w:highlight w:val="none"/>
          <w:lang w:val="en-US" w:eastAsia="zh-CN"/>
        </w:rPr>
        <w:t>113%</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人员减少。</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lang w:val="en-US" w:eastAsia="zh-CN"/>
        </w:rPr>
        <w:t>129587.52元，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主要原因是卫生健康支出列入单位预算。</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农林水支出2152800.00元，比上年减少7%，主要原因是</w:t>
      </w:r>
      <w:r>
        <w:rPr>
          <w:rFonts w:hint="eastAsia" w:ascii="仿宋" w:hAnsi="仿宋" w:eastAsia="仿宋" w:cs="仿宋"/>
          <w:b w:val="0"/>
          <w:bCs w:val="0"/>
          <w:color w:val="000000"/>
          <w:sz w:val="32"/>
          <w:szCs w:val="32"/>
          <w:lang w:eastAsia="zh-CN"/>
        </w:rPr>
        <w:t>因脱贫攻坚任务减少。</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住房保障支出228072.96，</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，主要原因是住房公积金列入单位预算。</w:t>
      </w:r>
    </w:p>
    <w:p>
      <w:pPr>
        <w:spacing w:line="640" w:lineRule="exact"/>
        <w:ind w:firstLine="960" w:firstLineChars="3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rPr>
        <w:t>3921316.16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30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，因人员减少。</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10000.00元，其中：</w:t>
      </w:r>
      <w:r>
        <w:rPr>
          <w:rFonts w:hint="eastAsia" w:ascii="仿宋_GB2312" w:hAnsi="宋体" w:eastAsia="仿宋_GB2312"/>
          <w:b/>
          <w:bCs/>
          <w:sz w:val="32"/>
          <w:szCs w:val="32"/>
          <w:highlight w:val="none"/>
          <w:lang w:eastAsia="zh-CN"/>
        </w:rPr>
        <w:t>行政运支出</w:t>
      </w:r>
      <w:r>
        <w:rPr>
          <w:rFonts w:hint="eastAsia" w:ascii="仿宋_GB2312" w:hAnsi="宋体" w:eastAsia="仿宋_GB2312"/>
          <w:sz w:val="32"/>
          <w:szCs w:val="32"/>
          <w:highlight w:val="none"/>
          <w:lang w:eastAsia="zh-CN"/>
        </w:rPr>
        <w:t>（项）</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lang w:eastAsia="zh-CN"/>
        </w:rPr>
        <w:t>0000.00元，较上年增加</w:t>
      </w:r>
      <w:r>
        <w:rPr>
          <w:rFonts w:hint="eastAsia" w:ascii="仿宋_GB2312" w:hAnsi="宋体" w:eastAsia="仿宋_GB2312"/>
          <w:sz w:val="32"/>
          <w:szCs w:val="32"/>
          <w:highlight w:val="none"/>
          <w:lang w:val="en-US" w:eastAsia="zh-CN"/>
        </w:rPr>
        <w:t>100%，增加原因：上年未安排该资金</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政府办公厅（室）及相关机构事务</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3873304.00元</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eastAsia="zh-CN"/>
        </w:rPr>
        <w:t>其中：</w:t>
      </w:r>
      <w:r>
        <w:rPr>
          <w:rFonts w:hint="eastAsia" w:ascii="仿宋_GB2312" w:hAnsi="宋体" w:eastAsia="仿宋_GB2312"/>
          <w:b/>
          <w:bCs/>
          <w:sz w:val="32"/>
          <w:szCs w:val="32"/>
          <w:highlight w:val="none"/>
          <w:lang w:eastAsia="zh-CN"/>
        </w:rPr>
        <w:t>行政运行（款）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3873304.00元，较上年减少</w:t>
      </w:r>
      <w:r>
        <w:rPr>
          <w:rFonts w:hint="eastAsia" w:ascii="仿宋_GB2312" w:hAnsi="宋体" w:eastAsia="仿宋_GB2312"/>
          <w:sz w:val="32"/>
          <w:szCs w:val="32"/>
          <w:highlight w:val="none"/>
          <w:lang w:val="en-US" w:eastAsia="zh-CN"/>
        </w:rPr>
        <w:t>30.89%，减少原因人员变动，减少资金</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楷体_GB2312" w:hAnsi="黑体" w:eastAsia="仿宋_GB2312"/>
          <w:b/>
          <w:sz w:val="32"/>
          <w:szCs w:val="32"/>
          <w:highlight w:val="none"/>
          <w:lang w:val="en-US" w:eastAsia="zh-CN"/>
        </w:rPr>
      </w:pPr>
      <w:r>
        <w:rPr>
          <w:rFonts w:hint="eastAsia" w:ascii="仿宋_GB2312" w:hAnsi="宋体" w:eastAsia="仿宋_GB2312"/>
          <w:b/>
          <w:bCs/>
          <w:sz w:val="32"/>
          <w:szCs w:val="32"/>
          <w:highlight w:val="none"/>
          <w:lang w:eastAsia="zh-CN"/>
        </w:rPr>
        <w:t>群众团体事务支出（款）</w:t>
      </w:r>
      <w:r>
        <w:rPr>
          <w:rFonts w:hint="eastAsia" w:ascii="仿宋_GB2312" w:hAnsi="宋体" w:eastAsia="仿宋_GB2312"/>
          <w:sz w:val="32"/>
          <w:szCs w:val="32"/>
          <w:highlight w:val="none"/>
          <w:lang w:eastAsia="zh-CN"/>
        </w:rPr>
        <w:t>38012.16元，其中：工会事务支出38012.16元，较上年减少</w:t>
      </w:r>
      <w:r>
        <w:rPr>
          <w:rFonts w:hint="eastAsia" w:ascii="仿宋_GB2312" w:hAnsi="宋体" w:eastAsia="仿宋_GB2312"/>
          <w:sz w:val="32"/>
          <w:szCs w:val="32"/>
          <w:highlight w:val="none"/>
          <w:lang w:val="en-US" w:eastAsia="zh-CN"/>
        </w:rPr>
        <w:t>30.89%，减少原因人员变动，减少资金</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w:t>
      </w:r>
      <w:r>
        <w:rPr>
          <w:rFonts w:hint="eastAsia" w:ascii="仿宋_GB2312" w:hAnsi="宋体" w:eastAsia="仿宋_GB2312"/>
          <w:sz w:val="32"/>
          <w:szCs w:val="32"/>
          <w:highlight w:val="none"/>
        </w:rPr>
        <w:t>支出</w:t>
      </w:r>
      <w:r>
        <w:rPr>
          <w:rFonts w:hint="eastAsia" w:ascii="仿宋_GB2312" w:hAnsi="黑体" w:eastAsia="仿宋_GB2312"/>
          <w:sz w:val="32"/>
          <w:szCs w:val="32"/>
          <w:highlight w:val="none"/>
        </w:rPr>
        <w:t>307898.50</w:t>
      </w:r>
      <w:r>
        <w:rPr>
          <w:rFonts w:hint="eastAsia" w:ascii="仿宋_GB2312" w:hAnsi="黑体" w:eastAsia="仿宋_GB2312"/>
          <w:sz w:val="32"/>
          <w:szCs w:val="32"/>
          <w:highlight w:val="none"/>
          <w:lang w:eastAsia="zh-CN"/>
        </w:rPr>
        <w:t>元，比上年预算数减少</w:t>
      </w:r>
      <w:r>
        <w:rPr>
          <w:rFonts w:hint="eastAsia" w:ascii="仿宋_GB2312" w:hAnsi="黑体" w:eastAsia="仿宋_GB2312"/>
          <w:sz w:val="32"/>
          <w:szCs w:val="32"/>
          <w:highlight w:val="none"/>
          <w:lang w:val="en-US" w:eastAsia="zh-CN"/>
        </w:rPr>
        <w:t>53.08%，因人员减少。</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304097.28元，其中：</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304097.28元，</w:t>
      </w:r>
      <w:r>
        <w:rPr>
          <w:rFonts w:hint="eastAsia" w:ascii="仿宋_GB2312" w:hAnsi="黑体" w:eastAsia="仿宋_GB2312"/>
          <w:sz w:val="32"/>
          <w:szCs w:val="32"/>
          <w:highlight w:val="none"/>
          <w:lang w:eastAsia="zh-CN"/>
        </w:rPr>
        <w:t>比上年预算数减少</w:t>
      </w:r>
      <w:r>
        <w:rPr>
          <w:rFonts w:hint="eastAsia" w:ascii="仿宋_GB2312" w:hAnsi="黑体" w:eastAsia="仿宋_GB2312"/>
          <w:sz w:val="32"/>
          <w:szCs w:val="32"/>
          <w:highlight w:val="none"/>
          <w:lang w:val="en-US" w:eastAsia="zh-CN"/>
        </w:rPr>
        <w:t>53.66%，因人员减少；</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3801.22元，其中：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sz w:val="32"/>
          <w:szCs w:val="32"/>
          <w:highlight w:val="none"/>
          <w:lang w:val="en-US" w:eastAsia="zh-CN"/>
        </w:rPr>
        <w:tab/>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3801.22元，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2"/>
        </w:num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val="en-US"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129587.52</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0"/>
        </w:num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129587.52元，其中：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支出129587.52元，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2"/>
        </w:numPr>
        <w:spacing w:line="640" w:lineRule="exact"/>
        <w:ind w:left="0" w:leftChars="0" w:firstLine="643" w:firstLineChars="200"/>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农林水支出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2152800.00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2021年减少7%</w:t>
      </w:r>
      <w:r>
        <w:rPr>
          <w:rFonts w:hint="eastAsia" w:ascii="仿宋" w:hAnsi="仿宋" w:eastAsia="仿宋" w:cs="仿宋"/>
          <w:b w:val="0"/>
          <w:bCs w:val="0"/>
          <w:color w:val="000000"/>
          <w:sz w:val="32"/>
          <w:szCs w:val="32"/>
          <w:lang w:eastAsia="zh-CN"/>
        </w:rPr>
        <w:t>。减少原因：人员减少，经费缩减。</w:t>
      </w:r>
    </w:p>
    <w:p>
      <w:pPr>
        <w:numPr>
          <w:ilvl w:val="0"/>
          <w:numId w:val="0"/>
        </w:numPr>
        <w:spacing w:line="640" w:lineRule="exact"/>
        <w:ind w:leftChars="200" w:firstLine="321" w:firstLineChars="100"/>
        <w:rPr>
          <w:rFonts w:hint="eastAsia" w:ascii="仿宋" w:hAnsi="仿宋" w:eastAsia="仿宋" w:cs="仿宋"/>
          <w:b w:val="0"/>
          <w:bCs w:val="0"/>
          <w:color w:val="000000"/>
          <w:sz w:val="32"/>
          <w:szCs w:val="32"/>
          <w:lang w:eastAsia="zh-CN"/>
        </w:rPr>
      </w:pPr>
      <w:r>
        <w:rPr>
          <w:rFonts w:hint="eastAsia" w:ascii="仿宋" w:hAnsi="仿宋" w:eastAsia="仿宋" w:cs="仿宋"/>
          <w:b/>
          <w:bCs/>
          <w:color w:val="000000"/>
          <w:sz w:val="32"/>
          <w:szCs w:val="32"/>
          <w:lang w:eastAsia="zh-CN"/>
        </w:rPr>
        <w:t>农村综合改革支出</w:t>
      </w:r>
      <w:r>
        <w:rPr>
          <w:rFonts w:hint="eastAsia" w:ascii="仿宋_GB2312" w:hAnsi="宋体" w:eastAsia="仿宋_GB2312"/>
          <w:b/>
          <w:bCs/>
          <w:sz w:val="32"/>
          <w:szCs w:val="32"/>
          <w:highlight w:val="none"/>
          <w:lang w:eastAsia="zh-CN"/>
        </w:rPr>
        <w:t>（款）</w:t>
      </w:r>
      <w:r>
        <w:rPr>
          <w:rFonts w:hint="eastAsia" w:ascii="仿宋" w:hAnsi="仿宋" w:eastAsia="仿宋" w:cs="仿宋"/>
          <w:b w:val="0"/>
          <w:bCs w:val="0"/>
          <w:color w:val="000000"/>
          <w:sz w:val="32"/>
          <w:szCs w:val="32"/>
          <w:lang w:eastAsia="zh-CN"/>
        </w:rPr>
        <w:t>2152800.00元，其中：</w:t>
      </w:r>
      <w:r>
        <w:rPr>
          <w:rFonts w:hint="eastAsia" w:ascii="仿宋" w:hAnsi="仿宋" w:eastAsia="仿宋" w:cs="仿宋"/>
          <w:b/>
          <w:bCs/>
          <w:color w:val="000000"/>
          <w:sz w:val="32"/>
          <w:szCs w:val="32"/>
          <w:lang w:eastAsia="zh-CN"/>
        </w:rPr>
        <w:t>对村民委员会和村党支部的补助</w:t>
      </w:r>
      <w:r>
        <w:rPr>
          <w:rFonts w:hint="eastAsia" w:ascii="仿宋_GB2312" w:hAnsi="黑体" w:eastAsia="仿宋_GB2312"/>
          <w:b/>
          <w:bCs/>
          <w:sz w:val="32"/>
          <w:szCs w:val="32"/>
          <w:highlight w:val="none"/>
          <w:lang w:eastAsia="zh-CN"/>
        </w:rPr>
        <w:t>（项）</w:t>
      </w:r>
      <w:r>
        <w:rPr>
          <w:rFonts w:hint="eastAsia" w:ascii="仿宋" w:hAnsi="仿宋" w:eastAsia="仿宋" w:cs="仿宋"/>
          <w:b w:val="0"/>
          <w:bCs w:val="0"/>
          <w:color w:val="000000"/>
          <w:sz w:val="32"/>
          <w:szCs w:val="32"/>
          <w:lang w:eastAsia="zh-CN"/>
        </w:rPr>
        <w:t>2152800.00元，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2021年减少7%</w:t>
      </w:r>
      <w:r>
        <w:rPr>
          <w:rFonts w:hint="eastAsia" w:ascii="仿宋" w:hAnsi="仿宋" w:eastAsia="仿宋" w:cs="仿宋"/>
          <w:b w:val="0"/>
          <w:bCs w:val="0"/>
          <w:color w:val="000000"/>
          <w:sz w:val="32"/>
          <w:szCs w:val="32"/>
          <w:lang w:eastAsia="zh-CN"/>
        </w:rPr>
        <w:t>。减少原因：人员减少，经费缩减。</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228072.96</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eastAsia="zh-CN"/>
        </w:rPr>
        <w:t>228072.96元，其中：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sz w:val="32"/>
          <w:szCs w:val="32"/>
          <w:highlight w:val="none"/>
          <w:lang w:eastAsia="zh-CN"/>
        </w:rPr>
        <w:t>228072.96元，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2022年一般公共预算基本支出4576875.14</w:t>
      </w:r>
      <w:r>
        <w:rPr>
          <w:rFonts w:hint="eastAsia" w:ascii="仿宋_GB2312" w:hAnsi="黑体" w:eastAsia="仿宋_GB2312"/>
          <w:sz w:val="32"/>
          <w:szCs w:val="32"/>
          <w:highlight w:val="none"/>
          <w:lang w:eastAsia="zh-CN"/>
        </w:rPr>
        <w:t>，比上年</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27.5</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人员减少。</w:t>
      </w:r>
      <w:r>
        <w:rPr>
          <w:rFonts w:hint="eastAsia" w:ascii="仿宋_GB2312" w:hAnsi="黑体" w:eastAsia="仿宋_GB2312"/>
          <w:sz w:val="32"/>
          <w:szCs w:val="32"/>
          <w:highlight w:val="none"/>
        </w:rPr>
        <w:t>其中：人员经费4076875.14元，单位运转经费500000.00元</w:t>
      </w:r>
      <w:r>
        <w:rPr>
          <w:rFonts w:hint="eastAsia" w:ascii="仿宋_GB2312" w:hAnsi="黑体" w:eastAsia="仿宋_GB2312"/>
          <w:sz w:val="32"/>
          <w:szCs w:val="32"/>
          <w:highlight w:val="none"/>
          <w:lang w:eastAsia="zh-CN"/>
        </w:rPr>
        <w:t>。</w:t>
      </w:r>
    </w:p>
    <w:p>
      <w:pPr>
        <w:ind w:firstLine="640" w:firstLineChars="200"/>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五、项</w:t>
      </w:r>
      <w:r>
        <w:rPr>
          <w:rFonts w:hint="eastAsia" w:ascii="仿宋_GB2312" w:hAnsi="黑体" w:eastAsia="仿宋_GB2312"/>
          <w:b/>
          <w:bCs/>
          <w:sz w:val="32"/>
          <w:szCs w:val="32"/>
          <w:highlight w:val="none"/>
          <w:lang w:eastAsia="zh-CN"/>
        </w:rPr>
        <w:t>目</w:t>
      </w:r>
      <w:r>
        <w:rPr>
          <w:rFonts w:hint="eastAsia" w:ascii="黑体" w:hAnsi="黑体" w:eastAsia="黑体"/>
          <w:sz w:val="32"/>
          <w:szCs w:val="32"/>
          <w:highlight w:val="none"/>
          <w:lang w:eastAsia="zh-CN"/>
        </w:rPr>
        <w:t>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2022年支出2162800.00元，比上年减少6.6%，</w:t>
      </w:r>
      <w:r>
        <w:rPr>
          <w:rFonts w:hint="eastAsia" w:ascii="仿宋_GB2312" w:hAnsi="宋体" w:eastAsia="仿宋_GB2312"/>
          <w:sz w:val="32"/>
          <w:szCs w:val="32"/>
          <w:highlight w:val="none"/>
          <w:lang w:val="en-US" w:eastAsia="zh-CN"/>
        </w:rPr>
        <w:t>主要原因是</w:t>
      </w:r>
      <w:r>
        <w:rPr>
          <w:rFonts w:hint="eastAsia" w:ascii="仿宋_GB2312" w:hAnsi="黑体" w:eastAsia="仿宋_GB2312"/>
          <w:sz w:val="32"/>
          <w:szCs w:val="32"/>
          <w:highlight w:val="none"/>
          <w:lang w:val="en-US" w:eastAsia="zh-CN"/>
        </w:rPr>
        <w:t>实施项目减少。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bookmarkStart w:id="0" w:name="_GoBack"/>
      <w:bookmarkEnd w:id="0"/>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500000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。政府采购预算169980.00元，比上年预算数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19980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11.75</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设备采购预算增加。</w:t>
      </w:r>
      <w:r>
        <w:rPr>
          <w:rFonts w:hint="eastAsia" w:ascii="仿宋_GB2312" w:hAnsi="黑体" w:eastAsia="仿宋_GB2312"/>
          <w:sz w:val="32"/>
          <w:szCs w:val="32"/>
          <w:highlight w:val="none"/>
        </w:rPr>
        <w:t>其中：政府采购货物预算169980.00元，政府采购工程预算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40" w:lineRule="exact"/>
        <w:ind w:firstLine="640" w:firstLineChars="200"/>
        <w:rPr>
          <w:rFonts w:ascii="仿宋_GB2312" w:hAnsi="黑体" w:eastAsia="仿宋_GB2312"/>
          <w:sz w:val="32"/>
          <w:szCs w:val="32"/>
        </w:rPr>
      </w:pP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709" w:right="1440" w:bottom="1797" w:left="70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432A3C-0DF4-4EB3-984E-FABBDF787D8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CE637CDE-9AAB-4615-98F2-032128270BA5}"/>
  </w:font>
  <w:font w:name="仿宋_GB2312">
    <w:altName w:val="仿宋"/>
    <w:panose1 w:val="02010609030101010101"/>
    <w:charset w:val="86"/>
    <w:family w:val="modern"/>
    <w:pitch w:val="default"/>
    <w:sig w:usb0="00000000" w:usb1="00000000" w:usb2="00000010" w:usb3="00000000" w:csb0="00040000" w:csb1="00000000"/>
    <w:embedRegular r:id="rId3" w:fontKey="{827B3595-BD9D-4B4A-B57E-55E6C5667E5A}"/>
  </w:font>
  <w:font w:name="仿宋">
    <w:panose1 w:val="02010609060101010101"/>
    <w:charset w:val="86"/>
    <w:family w:val="auto"/>
    <w:pitch w:val="default"/>
    <w:sig w:usb0="800002BF" w:usb1="38CF7CFA" w:usb2="00000016" w:usb3="00000000" w:csb0="00040001" w:csb1="00000000"/>
    <w:embedRegular r:id="rId4" w:fontKey="{8DF44EC2-F6AF-4600-A847-0BB9EA4A2623}"/>
  </w:font>
  <w:font w:name="楷体_GB2312">
    <w:altName w:val="楷体"/>
    <w:panose1 w:val="02010609030101010101"/>
    <w:charset w:val="86"/>
    <w:family w:val="modern"/>
    <w:pitch w:val="default"/>
    <w:sig w:usb0="00000000" w:usb1="00000000" w:usb2="00000010" w:usb3="00000000" w:csb0="00040000" w:csb1="00000000"/>
    <w:embedRegular r:id="rId5" w:fontKey="{B1C9CFE2-A86D-4725-BDFF-706921B5B556}"/>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972551"/>
    <w:multiLevelType w:val="singleLevel"/>
    <w:tmpl w:val="1E972551"/>
    <w:lvl w:ilvl="0" w:tentative="0">
      <w:start w:val="3"/>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CB9484C"/>
    <w:rsid w:val="0D824E94"/>
    <w:rsid w:val="0E6F37D9"/>
    <w:rsid w:val="0F5D2E55"/>
    <w:rsid w:val="112936A0"/>
    <w:rsid w:val="1250416D"/>
    <w:rsid w:val="12CD0AEB"/>
    <w:rsid w:val="12DA0535"/>
    <w:rsid w:val="13B82E0D"/>
    <w:rsid w:val="141D039C"/>
    <w:rsid w:val="14C173FE"/>
    <w:rsid w:val="156F0CA4"/>
    <w:rsid w:val="17432B85"/>
    <w:rsid w:val="1909264A"/>
    <w:rsid w:val="198119BE"/>
    <w:rsid w:val="1B78482C"/>
    <w:rsid w:val="1C6D1D31"/>
    <w:rsid w:val="1D654F62"/>
    <w:rsid w:val="1F4201E6"/>
    <w:rsid w:val="1FB82A75"/>
    <w:rsid w:val="204B1966"/>
    <w:rsid w:val="205A7194"/>
    <w:rsid w:val="210F4887"/>
    <w:rsid w:val="21506021"/>
    <w:rsid w:val="21594BE0"/>
    <w:rsid w:val="21707BAF"/>
    <w:rsid w:val="22273516"/>
    <w:rsid w:val="2233056C"/>
    <w:rsid w:val="23513756"/>
    <w:rsid w:val="250F1490"/>
    <w:rsid w:val="2562175E"/>
    <w:rsid w:val="272C6EB9"/>
    <w:rsid w:val="278D41A3"/>
    <w:rsid w:val="292A0545"/>
    <w:rsid w:val="2B26350E"/>
    <w:rsid w:val="2B5C1C56"/>
    <w:rsid w:val="2B980AD9"/>
    <w:rsid w:val="2BCF3D4E"/>
    <w:rsid w:val="2C196BE9"/>
    <w:rsid w:val="2C53536D"/>
    <w:rsid w:val="2D452523"/>
    <w:rsid w:val="2D550DF7"/>
    <w:rsid w:val="2DBA0562"/>
    <w:rsid w:val="31352995"/>
    <w:rsid w:val="319B5923"/>
    <w:rsid w:val="32A96D1A"/>
    <w:rsid w:val="33A51F6D"/>
    <w:rsid w:val="34032DB0"/>
    <w:rsid w:val="34B82D6F"/>
    <w:rsid w:val="373703E1"/>
    <w:rsid w:val="37580FE7"/>
    <w:rsid w:val="396616D2"/>
    <w:rsid w:val="39A71DAE"/>
    <w:rsid w:val="3C217470"/>
    <w:rsid w:val="3CAD7649"/>
    <w:rsid w:val="3D8C4411"/>
    <w:rsid w:val="40465DD0"/>
    <w:rsid w:val="406E1E2F"/>
    <w:rsid w:val="40CC1D5D"/>
    <w:rsid w:val="416268DB"/>
    <w:rsid w:val="41862194"/>
    <w:rsid w:val="452F6292"/>
    <w:rsid w:val="458E5AD9"/>
    <w:rsid w:val="46852DE9"/>
    <w:rsid w:val="46B21C2E"/>
    <w:rsid w:val="47AF499B"/>
    <w:rsid w:val="484D612A"/>
    <w:rsid w:val="48A9072C"/>
    <w:rsid w:val="4BA32D85"/>
    <w:rsid w:val="4D903B41"/>
    <w:rsid w:val="4DA8126D"/>
    <w:rsid w:val="4DD72226"/>
    <w:rsid w:val="4EA300AE"/>
    <w:rsid w:val="50622DD8"/>
    <w:rsid w:val="51C77E42"/>
    <w:rsid w:val="54B1376D"/>
    <w:rsid w:val="55CA0F67"/>
    <w:rsid w:val="56311F34"/>
    <w:rsid w:val="564548F7"/>
    <w:rsid w:val="565305B1"/>
    <w:rsid w:val="56C73340"/>
    <w:rsid w:val="59441D15"/>
    <w:rsid w:val="5A3206F2"/>
    <w:rsid w:val="5B6F258B"/>
    <w:rsid w:val="5FE76832"/>
    <w:rsid w:val="61EB392B"/>
    <w:rsid w:val="61EF1B1B"/>
    <w:rsid w:val="621A3658"/>
    <w:rsid w:val="62B62979"/>
    <w:rsid w:val="631B56C3"/>
    <w:rsid w:val="64252B6E"/>
    <w:rsid w:val="651520BC"/>
    <w:rsid w:val="65DE73C5"/>
    <w:rsid w:val="661A6258"/>
    <w:rsid w:val="68F80526"/>
    <w:rsid w:val="699B4DAD"/>
    <w:rsid w:val="6A136FDE"/>
    <w:rsid w:val="6A752B54"/>
    <w:rsid w:val="6CE81FA7"/>
    <w:rsid w:val="6EA6456E"/>
    <w:rsid w:val="701029A4"/>
    <w:rsid w:val="70BD1A04"/>
    <w:rsid w:val="70D50A94"/>
    <w:rsid w:val="733552F4"/>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3430</Words>
  <Characters>3940</Characters>
  <Lines>16</Lines>
  <Paragraphs>4</Paragraphs>
  <TotalTime>0</TotalTime>
  <ScaleCrop>false</ScaleCrop>
  <LinksUpToDate>false</LinksUpToDate>
  <CharactersWithSpaces>4016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2023-06-08T03:52:01Z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2C2B1E33EB5A43F09A17393C6590B243</vt:lpwstr>
  </property>
</Properties>
</file>