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高山学区</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4"/>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三、支出决算表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四、财政拨款收入支出决算总表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五、一般公共预算财政拨款支出决算表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八、政府性基金预算财政拨款收入支出决算表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九、国有资本经营预算财政拨款支出决算表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bookmarkStart w:id="20" w:name="_GoBack"/>
      <w:bookmarkEnd w:id="20"/>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4" w:name="bookmark3"/>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实施小学义务教育，促进基础教育发展，小学学历教育</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学区由</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所中心小学，</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所村小，其中</w:t>
      </w:r>
      <w:r>
        <w:rPr>
          <w:rFonts w:hint="eastAsia" w:ascii="仿宋_GB2312" w:hAnsi="仿宋_GB2312" w:eastAsia="仿宋_GB2312" w:cs="仿宋_GB2312"/>
          <w:color w:val="000000"/>
          <w:spacing w:val="0"/>
          <w:w w:val="100"/>
          <w:position w:val="0"/>
          <w:sz w:val="32"/>
          <w:szCs w:val="32"/>
          <w:lang w:val="en-US" w:eastAsia="zh-CN"/>
        </w:rPr>
        <w:t>2所完全小学，为岔巴学校、洒勒小学、1所教学点，为布楞沟小学</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所幼儿园，</w:t>
      </w:r>
      <w:r>
        <w:rPr>
          <w:rFonts w:hint="eastAsia" w:ascii="仿宋_GB2312" w:hAnsi="仿宋_GB2312" w:eastAsia="仿宋_GB2312" w:cs="仿宋_GB2312"/>
          <w:color w:val="000000"/>
          <w:spacing w:val="0"/>
          <w:w w:val="100"/>
          <w:position w:val="0"/>
          <w:sz w:val="32"/>
          <w:szCs w:val="32"/>
          <w:lang w:eastAsia="zh-CN"/>
        </w:rPr>
        <w:t>高山幼儿园、岔巴幼儿园、洒勒幼儿园、布楞沟幼儿园，</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pacing w:val="0"/>
          <w:w w:val="100"/>
          <w:position w:val="0"/>
          <w:sz w:val="32"/>
          <w:szCs w:val="32"/>
        </w:rPr>
        <w:t>个机构。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w:t>
      </w:r>
      <w:r>
        <w:rPr>
          <w:rFonts w:hint="eastAsia" w:ascii="黑体" w:hAnsi="黑体" w:eastAsia="黑体" w:cs="黑体"/>
          <w:b/>
          <w:bCs/>
          <w:i w:val="0"/>
          <w:iCs w:val="0"/>
          <w:smallCaps w:val="0"/>
          <w:strike w:val="0"/>
          <w:color w:val="000000"/>
          <w:spacing w:val="0"/>
          <w:w w:val="100"/>
          <w:position w:val="0"/>
          <w:sz w:val="32"/>
          <w:szCs w:val="32"/>
        </w:rPr>
        <w:t>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本部门</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val="zh-TW" w:eastAsia="zh-CN"/>
        </w:rPr>
        <w:t>年</w:t>
      </w:r>
      <w:r>
        <w:rPr>
          <w:rFonts w:hint="eastAsia" w:ascii="仿宋_GB2312" w:hAnsi="仿宋_GB2312" w:eastAsia="仿宋_GB2312" w:cs="仿宋_GB2312"/>
          <w:color w:val="000000"/>
          <w:spacing w:val="0"/>
          <w:w w:val="100"/>
          <w:position w:val="0"/>
          <w:sz w:val="32"/>
          <w:szCs w:val="32"/>
          <w:lang w:val="zh-TW" w:eastAsia="zh-TW"/>
        </w:rPr>
        <w:t>度收入总计6,300,252.05</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，支出总计6,307,162.61</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。与</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lang w:val="zh-TW" w:eastAsia="zh-TW"/>
        </w:rPr>
        <w:t>年决算数相比，收入</w:t>
      </w:r>
      <w:r>
        <w:rPr>
          <w:rFonts w:hint="eastAsia" w:ascii="仿宋_GB2312" w:hAnsi="仿宋_GB2312" w:eastAsia="仿宋_GB2312" w:cs="仿宋_GB2312"/>
          <w:color w:val="000000"/>
          <w:spacing w:val="0"/>
          <w:w w:val="100"/>
          <w:position w:val="0"/>
          <w:sz w:val="32"/>
          <w:szCs w:val="32"/>
          <w:lang w:val="zh-TW" w:eastAsia="zh-CN"/>
        </w:rPr>
        <w:t>增加</w:t>
      </w:r>
      <w:r>
        <w:rPr>
          <w:rFonts w:hint="eastAsia" w:ascii="仿宋_GB2312" w:hAnsi="仿宋_GB2312" w:eastAsia="仿宋_GB2312" w:cs="仿宋_GB2312"/>
          <w:color w:val="000000"/>
          <w:spacing w:val="0"/>
          <w:w w:val="100"/>
          <w:position w:val="0"/>
          <w:sz w:val="32"/>
          <w:szCs w:val="32"/>
          <w:lang w:val="en-US" w:eastAsia="zh-CN"/>
        </w:rPr>
        <w:t>251927.53</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w:t>
      </w:r>
      <w:r>
        <w:rPr>
          <w:rFonts w:hint="eastAsia" w:ascii="仿宋_GB2312" w:hAnsi="仿宋_GB2312" w:eastAsia="仿宋_GB2312" w:cs="仿宋_GB2312"/>
          <w:color w:val="000000"/>
          <w:spacing w:val="0"/>
          <w:w w:val="100"/>
          <w:position w:val="0"/>
          <w:sz w:val="32"/>
          <w:szCs w:val="32"/>
          <w:lang w:val="zh-TW" w:eastAsia="zh-CN"/>
        </w:rPr>
        <w:t>增加</w:t>
      </w:r>
      <w:r>
        <w:rPr>
          <w:rFonts w:hint="eastAsia" w:ascii="仿宋_GB2312" w:hAnsi="仿宋_GB2312" w:eastAsia="仿宋_GB2312" w:cs="仿宋_GB2312"/>
          <w:color w:val="000000"/>
          <w:spacing w:val="0"/>
          <w:w w:val="100"/>
          <w:position w:val="0"/>
          <w:sz w:val="32"/>
          <w:szCs w:val="32"/>
          <w:lang w:val="en-US" w:eastAsia="zh-CN"/>
        </w:rPr>
        <w:t>0.4</w:t>
      </w:r>
      <w:r>
        <w:rPr>
          <w:rFonts w:hint="eastAsia" w:ascii="仿宋_GB2312" w:hAnsi="仿宋_GB2312" w:eastAsia="仿宋_GB2312" w:cs="仿宋_GB2312"/>
          <w:color w:val="000000"/>
          <w:spacing w:val="0"/>
          <w:w w:val="100"/>
          <w:position w:val="0"/>
          <w:sz w:val="32"/>
          <w:szCs w:val="32"/>
          <w:lang w:val="zh-TW" w:eastAsia="zh-TW"/>
        </w:rPr>
        <w:t>%，支出</w:t>
      </w:r>
      <w:r>
        <w:rPr>
          <w:rFonts w:hint="eastAsia" w:ascii="仿宋_GB2312" w:hAnsi="仿宋_GB2312" w:eastAsia="仿宋_GB2312" w:cs="仿宋_GB2312"/>
          <w:color w:val="000000"/>
          <w:spacing w:val="0"/>
          <w:w w:val="100"/>
          <w:position w:val="0"/>
          <w:sz w:val="32"/>
          <w:szCs w:val="32"/>
          <w:lang w:val="zh-TW" w:eastAsia="zh-CN"/>
        </w:rPr>
        <w:t>增加</w:t>
      </w:r>
      <w:r>
        <w:rPr>
          <w:rFonts w:hint="eastAsia" w:ascii="仿宋_GB2312" w:hAnsi="仿宋_GB2312" w:eastAsia="仿宋_GB2312" w:cs="仿宋_GB2312"/>
          <w:color w:val="000000"/>
          <w:spacing w:val="0"/>
          <w:w w:val="100"/>
          <w:position w:val="0"/>
          <w:sz w:val="32"/>
          <w:szCs w:val="32"/>
          <w:lang w:val="en-US" w:eastAsia="zh-CN"/>
        </w:rPr>
        <w:t>240478.25</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w:t>
      </w:r>
      <w:r>
        <w:rPr>
          <w:rFonts w:hint="eastAsia" w:ascii="仿宋_GB2312" w:hAnsi="仿宋_GB2312" w:eastAsia="仿宋_GB2312" w:cs="仿宋_GB2312"/>
          <w:color w:val="000000"/>
          <w:spacing w:val="0"/>
          <w:w w:val="100"/>
          <w:position w:val="0"/>
          <w:sz w:val="32"/>
          <w:szCs w:val="32"/>
          <w:lang w:val="zh-TW" w:eastAsia="zh-CN"/>
        </w:rPr>
        <w:t>增加</w:t>
      </w:r>
      <w:r>
        <w:rPr>
          <w:rFonts w:hint="eastAsia" w:ascii="仿宋_GB2312" w:hAnsi="仿宋_GB2312" w:eastAsia="仿宋_GB2312" w:cs="仿宋_GB2312"/>
          <w:color w:val="000000"/>
          <w:spacing w:val="0"/>
          <w:w w:val="100"/>
          <w:position w:val="0"/>
          <w:sz w:val="32"/>
          <w:szCs w:val="32"/>
          <w:lang w:val="en-US" w:eastAsia="zh-CN"/>
        </w:rPr>
        <w:t>0.4</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本部门</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val="zh-TW" w:eastAsia="zh-CN"/>
        </w:rPr>
        <w:t>年</w:t>
      </w:r>
      <w:r>
        <w:rPr>
          <w:rFonts w:hint="eastAsia" w:ascii="仿宋_GB2312" w:hAnsi="仿宋_GB2312" w:eastAsia="仿宋_GB2312" w:cs="仿宋_GB2312"/>
          <w:color w:val="000000"/>
          <w:spacing w:val="0"/>
          <w:w w:val="100"/>
          <w:position w:val="0"/>
          <w:sz w:val="32"/>
          <w:szCs w:val="32"/>
          <w:lang w:val="zh-TW" w:eastAsia="zh-TW"/>
        </w:rPr>
        <w:t>度收入合计6,300,252.05</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，其中：财政拨款收入6,299,252.05</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，占</w:t>
      </w:r>
      <w:r>
        <w:rPr>
          <w:rFonts w:hint="eastAsia" w:ascii="仿宋_GB2312" w:hAnsi="仿宋_GB2312" w:eastAsia="仿宋_GB2312" w:cs="仿宋_GB2312"/>
          <w:color w:val="000000"/>
          <w:spacing w:val="0"/>
          <w:w w:val="100"/>
          <w:position w:val="0"/>
          <w:sz w:val="32"/>
          <w:szCs w:val="32"/>
          <w:lang w:val="en-US" w:eastAsia="zh-CN"/>
        </w:rPr>
        <w:t>99.99</w:t>
      </w:r>
      <w:r>
        <w:rPr>
          <w:rFonts w:hint="eastAsia" w:ascii="仿宋_GB2312" w:hAnsi="仿宋_GB2312" w:eastAsia="仿宋_GB2312" w:cs="仿宋_GB2312"/>
          <w:color w:val="000000"/>
          <w:spacing w:val="0"/>
          <w:w w:val="100"/>
          <w:position w:val="0"/>
          <w:sz w:val="32"/>
          <w:szCs w:val="32"/>
          <w:lang w:val="zh-TW" w:eastAsia="zh-TW"/>
        </w:rPr>
        <w:t>%；其他收入</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，占</w:t>
      </w:r>
      <w:r>
        <w:rPr>
          <w:rFonts w:hint="eastAsia" w:ascii="仿宋_GB2312" w:hAnsi="仿宋_GB2312" w:eastAsia="仿宋_GB2312" w:cs="仿宋_GB2312"/>
          <w:color w:val="000000"/>
          <w:spacing w:val="0"/>
          <w:w w:val="100"/>
          <w:position w:val="0"/>
          <w:sz w:val="32"/>
          <w:szCs w:val="32"/>
          <w:lang w:val="en-US" w:eastAsia="zh-CN"/>
        </w:rPr>
        <w:t>0.01</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本部门</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val="zh-TW" w:eastAsia="zh-CN"/>
        </w:rPr>
        <w:t>年</w:t>
      </w:r>
      <w:r>
        <w:rPr>
          <w:rFonts w:hint="eastAsia" w:ascii="仿宋_GB2312" w:hAnsi="仿宋_GB2312" w:eastAsia="仿宋_GB2312" w:cs="仿宋_GB2312"/>
          <w:color w:val="000000"/>
          <w:spacing w:val="0"/>
          <w:w w:val="100"/>
          <w:position w:val="0"/>
          <w:sz w:val="32"/>
          <w:szCs w:val="32"/>
          <w:lang w:val="zh-TW" w:eastAsia="zh-TW"/>
        </w:rPr>
        <w:t>度支出合计6,307,162.61</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，其中：基本支出6,307,162.61</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本部门</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val="zh-TW" w:eastAsia="zh-CN"/>
        </w:rPr>
        <w:t>年</w:t>
      </w:r>
      <w:r>
        <w:rPr>
          <w:rFonts w:hint="eastAsia" w:ascii="仿宋_GB2312" w:hAnsi="仿宋_GB2312" w:eastAsia="仿宋_GB2312" w:cs="仿宋_GB2312"/>
          <w:color w:val="000000"/>
          <w:spacing w:val="0"/>
          <w:w w:val="100"/>
          <w:position w:val="0"/>
          <w:sz w:val="32"/>
          <w:szCs w:val="32"/>
          <w:lang w:val="zh-TW" w:eastAsia="zh-TW"/>
        </w:rPr>
        <w:t>度年末结转和结余</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，较上年</w:t>
      </w:r>
      <w:r>
        <w:rPr>
          <w:rFonts w:hint="eastAsia" w:ascii="仿宋_GB2312" w:hAnsi="仿宋_GB2312" w:eastAsia="仿宋_GB2312" w:cs="仿宋_GB2312"/>
          <w:color w:val="000000"/>
          <w:spacing w:val="0"/>
          <w:w w:val="100"/>
          <w:position w:val="0"/>
          <w:sz w:val="32"/>
          <w:szCs w:val="32"/>
          <w:lang w:val="zh-TW" w:eastAsia="zh-CN"/>
        </w:rPr>
        <w:t>减少</w:t>
      </w:r>
      <w:r>
        <w:rPr>
          <w:rFonts w:hint="eastAsia" w:ascii="仿宋_GB2312" w:hAnsi="仿宋_GB2312" w:eastAsia="仿宋_GB2312" w:cs="仿宋_GB2312"/>
          <w:color w:val="000000"/>
          <w:spacing w:val="0"/>
          <w:w w:val="100"/>
          <w:position w:val="0"/>
          <w:sz w:val="32"/>
          <w:szCs w:val="32"/>
          <w:lang w:val="en-US" w:eastAsia="zh-CN"/>
        </w:rPr>
        <w:t>6910.56</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，主要原因是</w:t>
      </w:r>
      <w:r>
        <w:rPr>
          <w:rFonts w:hint="eastAsia" w:ascii="仿宋_GB2312" w:hAnsi="仿宋_GB2312" w:eastAsia="仿宋_GB2312" w:cs="仿宋_GB2312"/>
          <w:color w:val="000000"/>
          <w:spacing w:val="0"/>
          <w:w w:val="100"/>
          <w:position w:val="0"/>
          <w:sz w:val="32"/>
          <w:szCs w:val="32"/>
          <w:lang w:val="en-US" w:eastAsia="zh-CN"/>
        </w:rPr>
        <w:t>2021年末未及时支出各项经费</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_GB2312" w:hAnsi="仿宋_GB2312" w:eastAsia="仿宋_GB2312" w:cs="仿宋_GB2312"/>
          <w:color w:val="000000"/>
          <w:spacing w:val="0"/>
          <w:w w:val="100"/>
          <w:position w:val="0"/>
          <w:sz w:val="32"/>
          <w:szCs w:val="32"/>
          <w:lang w:val="zh-TW" w:eastAsia="zh-TW"/>
        </w:rPr>
        <w:t>6,300,252.05</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元，与2020年决算数相比，收入增加251927.53元，增长0.4%，支出增加240478.25元，增长0.4%。主要原因是</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720" w:leftChars="0" w:right="0" w:rightChars="0"/>
        <w:jc w:val="left"/>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en-US" w:eastAsia="zh-CN"/>
        </w:rPr>
        <w:t>本部门2021年度财政拨款收入6,299,252.05元，较上年决算数增加250927.53元，增加0.4%。</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本部门2021年度财政拨款支出</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元，较上年决算数增加240478.25，增加0.4%。主要原因是</w:t>
      </w:r>
      <w:r>
        <w:rPr>
          <w:rFonts w:hint="eastAsia" w:ascii="仿宋_GB2312" w:hAnsi="仿宋_GB2312" w:eastAsia="仿宋_GB2312" w:cs="仿宋_GB2312"/>
          <w:color w:val="000000"/>
          <w:spacing w:val="0"/>
          <w:w w:val="100"/>
          <w:position w:val="0"/>
          <w:sz w:val="32"/>
          <w:szCs w:val="32"/>
          <w:lang w:val="zh-TW" w:eastAsia="zh-CN"/>
        </w:rPr>
        <w:t>教师工资提高及学生营养餐标准提高</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本部门2021年度财政拨款支出主要用于以下方面：教育支出5663618.72元，占89.8%；社会保障与就业支出598890.84元，占9.5%。其他支出44653.05元，占0.7。较年初预算数增加0元，增长0%。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zh-TW" w:eastAsia="zh-TW"/>
        </w:rPr>
        <w:t>本部门（本单位）</w:t>
      </w:r>
      <w:r>
        <w:rPr>
          <w:rFonts w:hint="eastAsia" w:ascii="仿宋_GB2312" w:hAnsi="仿宋_GB2312" w:eastAsia="仿宋_GB2312" w:cs="仿宋_GB2312"/>
          <w:color w:val="000000"/>
          <w:spacing w:val="0"/>
          <w:w w:val="100"/>
          <w:position w:val="0"/>
          <w:sz w:val="32"/>
          <w:szCs w:val="32"/>
          <w:lang w:val="zh-TW" w:eastAsia="zh-CN"/>
        </w:rPr>
        <w:t>2021</w:t>
      </w:r>
      <w:r>
        <w:rPr>
          <w:rFonts w:hint="eastAsia" w:ascii="仿宋_GB2312" w:hAnsi="仿宋_GB2312" w:eastAsia="仿宋_GB2312" w:cs="仿宋_GB2312"/>
          <w:color w:val="000000"/>
          <w:spacing w:val="0"/>
          <w:w w:val="100"/>
          <w:position w:val="0"/>
          <w:sz w:val="32"/>
          <w:szCs w:val="32"/>
          <w:lang w:val="zh-TW" w:eastAsia="zh-TW"/>
        </w:rPr>
        <w:t>年度收入合计</w:t>
      </w:r>
      <w:r>
        <w:rPr>
          <w:rFonts w:hint="eastAsia" w:ascii="仿宋_GB2312" w:hAnsi="仿宋_GB2312" w:eastAsia="仿宋_GB2312" w:cs="仿宋_GB2312"/>
          <w:color w:val="000000"/>
          <w:spacing w:val="0"/>
          <w:w w:val="100"/>
          <w:position w:val="0"/>
          <w:sz w:val="32"/>
          <w:szCs w:val="32"/>
          <w:lang w:val="en-US" w:eastAsia="zh-CN"/>
        </w:rPr>
        <w:t>6,299,252.05</w:t>
      </w:r>
      <w:r>
        <w:rPr>
          <w:rFonts w:hint="eastAsia" w:ascii="仿宋_GB2312" w:hAnsi="仿宋_GB2312" w:eastAsia="仿宋_GB2312" w:cs="仿宋_GB2312"/>
          <w:color w:val="000000"/>
          <w:spacing w:val="0"/>
          <w:w w:val="100"/>
          <w:position w:val="0"/>
          <w:sz w:val="32"/>
          <w:szCs w:val="32"/>
          <w:lang w:val="zh-TW" w:eastAsia="zh-TW"/>
        </w:rPr>
        <w:t>元，其中：财政拨款收入</w:t>
      </w:r>
      <w:r>
        <w:rPr>
          <w:rFonts w:hint="eastAsia" w:ascii="仿宋_GB2312" w:hAnsi="仿宋_GB2312" w:eastAsia="仿宋_GB2312" w:cs="仿宋_GB2312"/>
          <w:color w:val="000000"/>
          <w:spacing w:val="0"/>
          <w:w w:val="100"/>
          <w:position w:val="0"/>
          <w:sz w:val="32"/>
          <w:szCs w:val="32"/>
          <w:lang w:val="en-US" w:eastAsia="zh-CN"/>
        </w:rPr>
        <w:t>6,299,252.05</w:t>
      </w:r>
      <w:r>
        <w:rPr>
          <w:rFonts w:hint="eastAsia" w:ascii="仿宋_GB2312" w:hAnsi="仿宋_GB2312" w:eastAsia="仿宋_GB2312" w:cs="仿宋_GB2312"/>
          <w:color w:val="000000"/>
          <w:spacing w:val="0"/>
          <w:w w:val="100"/>
          <w:position w:val="0"/>
          <w:sz w:val="32"/>
          <w:szCs w:val="32"/>
          <w:lang w:val="zh-TW" w:eastAsia="zh-TW"/>
        </w:rPr>
        <w:t>元，占</w:t>
      </w:r>
      <w:r>
        <w:rPr>
          <w:rFonts w:hint="eastAsia" w:ascii="仿宋_GB2312" w:hAnsi="仿宋_GB2312" w:eastAsia="仿宋_GB2312" w:cs="仿宋_GB2312"/>
          <w:color w:val="000000"/>
          <w:spacing w:val="0"/>
          <w:w w:val="100"/>
          <w:position w:val="0"/>
          <w:sz w:val="32"/>
          <w:szCs w:val="32"/>
          <w:lang w:val="en-US" w:eastAsia="zh-CN"/>
        </w:rPr>
        <w:t>99.99</w:t>
      </w:r>
      <w:r>
        <w:rPr>
          <w:rFonts w:hint="eastAsia" w:ascii="仿宋_GB2312" w:hAnsi="仿宋_GB2312" w:eastAsia="仿宋_GB2312" w:cs="仿宋_GB2312"/>
          <w:color w:val="000000"/>
          <w:spacing w:val="0"/>
          <w:w w:val="100"/>
          <w:position w:val="0"/>
          <w:sz w:val="32"/>
          <w:szCs w:val="32"/>
          <w:lang w:val="zh-TW" w:eastAsia="zh-TW"/>
        </w:rPr>
        <w:t>%;其他收入</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lang w:val="zh-TW" w:eastAsia="zh-TW"/>
        </w:rPr>
        <w:t>元，占</w:t>
      </w:r>
      <w:r>
        <w:rPr>
          <w:rFonts w:hint="eastAsia" w:ascii="仿宋_GB2312" w:hAnsi="仿宋_GB2312" w:eastAsia="仿宋_GB2312" w:cs="仿宋_GB2312"/>
          <w:color w:val="000000"/>
          <w:spacing w:val="0"/>
          <w:w w:val="100"/>
          <w:position w:val="0"/>
          <w:sz w:val="32"/>
          <w:szCs w:val="32"/>
          <w:lang w:val="en-US" w:eastAsia="zh-CN"/>
        </w:rPr>
        <w:t>0.01</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本部门（本单位）2021年度支出合计</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元，其中：基本支出</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元，占100%。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本部门（本单位）2021年度财政拨款收入</w:t>
      </w:r>
      <w:r>
        <w:rPr>
          <w:rFonts w:hint="eastAsia" w:ascii="仿宋_GB2312" w:hAnsi="仿宋_GB2312" w:eastAsia="仿宋_GB2312" w:cs="仿宋_GB2312"/>
          <w:color w:val="000000"/>
          <w:spacing w:val="0"/>
          <w:w w:val="100"/>
          <w:position w:val="0"/>
          <w:sz w:val="32"/>
          <w:szCs w:val="32"/>
          <w:lang w:val="zh-TW" w:eastAsia="zh-TW"/>
        </w:rPr>
        <w:t>6,299,252.05</w:t>
      </w:r>
      <w:r>
        <w:rPr>
          <w:rFonts w:hint="eastAsia" w:ascii="仿宋_GB2312" w:hAnsi="仿宋_GB2312" w:eastAsia="仿宋_GB2312" w:cs="仿宋_GB2312"/>
          <w:color w:val="000000"/>
          <w:spacing w:val="0"/>
          <w:w w:val="100"/>
          <w:position w:val="0"/>
          <w:sz w:val="32"/>
          <w:szCs w:val="32"/>
          <w:lang w:val="en-US" w:eastAsia="zh-CN"/>
        </w:rPr>
        <w:t>元，较上年决算数增加4.14元，增长260927.53%。主要原因是</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en-US" w:eastAsia="zh-CN"/>
        </w:rPr>
        <w:t>。较年初预算数增加0元，增长0%。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本部门（本单位）2021年度财政拨款支出6307162.61元，较上年决算数增加251927.53元，增长0.4%。主要原因是</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en-US" w:eastAsia="zh-CN"/>
        </w:rPr>
        <w:t>。较年初预算数增加0元，增长0%。</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630.72万元，占本年支出的 100%，较上年决算数增加25.19万元，增长0.4%。主要原因：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en-US" w:eastAsia="zh-CN"/>
        </w:rPr>
        <w:t>。较年初预算数增加0元，增长0%，较年初预算数减少0元，降低0%”。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教育支出5663618.72元，占89.8%；较年初预算数增加0元，增长0%。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社会保障与就业支出598890.84元，占9.5%。较年初预算数增加0元，增长0%。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其他支出44653.05元，占0.7。较年初预算数增加0元，增长0%。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本部门（本单位）2021年度一般公共财政拨款基本支出</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其中：人员经费5533336.04元，较上年增加179522.74元，主要原因是增人增资等。人员经费用途主要包括基本工资、津贴补贴、奖金、社会保障缴费、住房公积金，生活补助等。公用经费773,826.57元，较上年增加70955.51元，主要原因是营养餐标准提高，少年宫项目部分资金拨入，公用经费用途主要包括：办公费、印刷费、咨询费、手续费、劳务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333333"/>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2021年本部门（本单位）“三公”经费财政拨款支出为0。</w:t>
      </w:r>
    </w:p>
    <w:p>
      <w:pPr>
        <w:pStyle w:val="2"/>
        <w:widowControl/>
        <w:spacing w:line="600" w:lineRule="exact"/>
        <w:ind w:left="959" w:leftChars="266" w:hanging="321"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r>
        <w:rPr>
          <w:rFonts w:hint="eastAsia" w:ascii="仿宋_GB2312" w:hAnsi="仿宋_GB2312" w:cs="仿宋_GB2312"/>
          <w:b/>
          <w:bCs/>
          <w:color w:val="333333"/>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2021年本部门（本单位）“三公”经费财政拨款支出决算为0</w:t>
      </w:r>
    </w:p>
    <w:p>
      <w:pPr>
        <w:pStyle w:val="14"/>
        <w:keepNext w:val="0"/>
        <w:keepLines w:val="0"/>
        <w:pageBreakBefore w:val="0"/>
        <w:widowControl w:val="0"/>
        <w:numPr>
          <w:ilvl w:val="0"/>
          <w:numId w:val="1"/>
        </w:numPr>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2"/>
        <w:widowControl/>
        <w:shd w:val="clear" w:color="auto" w:fill="auto"/>
        <w:spacing w:line="600" w:lineRule="exact"/>
        <w:ind w:left="958" w:leftChars="399" w:firstLine="0" w:firstLineChars="0"/>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2021年本部门（本单位）“三公”经费财政拨款支出决算实物量为0</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（1）“三公”经费支出情况</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2021年本部门（本单位）“三公”经费支出为0</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会议费支出情况</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2021年本部门（本单位）会议费支出为0</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培训费支出情况</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2021年本部门（本单位）培训费支出为0</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其他对部门（单位）影响较大的支出情况</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2021年本部门（本单位）无其他对部门影响较大的支出</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八、</w:t>
      </w:r>
      <w:r>
        <w:rPr>
          <w:rFonts w:hint="eastAsia" w:ascii="仿宋_GB2312" w:hAnsi="仿宋_GB2312" w:eastAsia="仿宋_GB2312" w:cs="仿宋_GB2312"/>
          <w:b/>
          <w:bCs/>
          <w:color w:val="000000"/>
          <w:spacing w:val="0"/>
          <w:w w:val="100"/>
          <w:position w:val="0"/>
          <w:sz w:val="32"/>
          <w:szCs w:val="32"/>
        </w:rPr>
        <w:t>机关运行经费支出情况说明</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东乡县高山学区2021年机关运行经费支出为0</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九、国有资产占用情况说明</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leftChars="300" w:right="0" w:rightChars="0"/>
        <w:jc w:val="left"/>
        <w:textAlignment w:val="auto"/>
        <w:rPr>
          <w:rFonts w:hint="eastAsia" w:ascii="仿宋" w:hAnsi="仿宋" w:eastAsia="仿宋" w:cs="仿宋"/>
          <w:color w:val="000000" w:themeColor="text1"/>
          <w:szCs w:val="32"/>
          <w:lang w:eastAsia="zh-CN"/>
          <w14:textFill>
            <w14:solidFill>
              <w14:schemeClr w14:val="tx1"/>
            </w14:solidFill>
          </w14:textFill>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w:t>
      </w:r>
      <w:r>
        <w:rPr>
          <w:rFonts w:hint="eastAsia" w:ascii="仿宋" w:hAnsi="仿宋" w:eastAsia="仿宋" w:cs="仿宋"/>
          <w:color w:val="000000" w:themeColor="text1"/>
          <w:szCs w:val="32"/>
          <w:lang w:eastAsia="zh-CN"/>
          <w14:textFill>
            <w14:solidFill>
              <w14:schemeClr w14:val="tx1"/>
            </w14:solidFill>
          </w14:textFill>
        </w:rPr>
        <w:t>无占用国有资产情况</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leftChars="300"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2021年本部门（本单位）无占用国有资产情况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十、政府采购支岀情况说明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27905</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27905</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办公耗材</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十一、政府性基金预算财政拨款收支决算情况说明</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leftChars="3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w:t>
      </w:r>
      <w:r>
        <w:rPr>
          <w:rFonts w:hint="eastAsia" w:ascii="仿宋" w:hAnsi="仿宋" w:eastAsia="仿宋" w:cs="仿宋"/>
          <w:color w:val="000000" w:themeColor="text1"/>
          <w:szCs w:val="32"/>
          <w:lang w:eastAsia="zh-CN"/>
          <w14:textFill>
            <w14:solidFill>
              <w14:schemeClr w14:val="tx1"/>
            </w14:solidFill>
          </w14:textFill>
        </w:rPr>
        <w:t>无</w:t>
      </w:r>
      <w:r>
        <w:rPr>
          <w:rFonts w:hint="eastAsia" w:ascii="仿宋_GB2312" w:hAnsi="仿宋_GB2312" w:eastAsia="仿宋_GB2312" w:cs="仿宋_GB2312"/>
          <w:color w:val="000000"/>
          <w:spacing w:val="0"/>
          <w:w w:val="100"/>
          <w:position w:val="0"/>
          <w:sz w:val="32"/>
          <w:szCs w:val="32"/>
        </w:rPr>
        <w:t>政府性基金预算财政拨款收支</w:t>
      </w:r>
      <w:r>
        <w:rPr>
          <w:rFonts w:hint="eastAsia" w:ascii="仿宋_GB2312" w:hAnsi="仿宋_GB2312" w:eastAsia="仿宋_GB2312" w:cs="仿宋_GB2312"/>
          <w:color w:val="000000"/>
          <w:spacing w:val="0"/>
          <w:w w:val="100"/>
          <w:position w:val="0"/>
          <w:sz w:val="32"/>
          <w:szCs w:val="32"/>
          <w:lang w:eastAsia="zh-CN"/>
        </w:rPr>
        <w:t>决算情况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十一、国有资本经营预算财政拨款支出情况说明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w:t>
      </w:r>
      <w:r>
        <w:rPr>
          <w:rFonts w:hint="eastAsia" w:ascii="仿宋" w:hAnsi="仿宋" w:eastAsia="仿宋" w:cs="仿宋"/>
          <w:color w:val="000000" w:themeColor="text1"/>
          <w:szCs w:val="32"/>
          <w:lang w:eastAsia="zh-CN"/>
          <w14:textFill>
            <w14:solidFill>
              <w14:schemeClr w14:val="tx1"/>
            </w14:solidFill>
          </w14:textFill>
        </w:rPr>
        <w:t>无</w:t>
      </w:r>
      <w:r>
        <w:rPr>
          <w:rFonts w:hint="eastAsia" w:ascii="仿宋_GB2312" w:hAnsi="仿宋_GB2312" w:eastAsia="仿宋_GB2312" w:cs="仿宋_GB2312"/>
          <w:color w:val="000000"/>
          <w:spacing w:val="0"/>
          <w:w w:val="100"/>
          <w:position w:val="0"/>
          <w:sz w:val="32"/>
          <w:szCs w:val="32"/>
        </w:rPr>
        <w:t>国有资本经营预算财政拨款支</w:t>
      </w:r>
      <w:r>
        <w:rPr>
          <w:rFonts w:hint="eastAsia" w:ascii="仿宋_GB2312" w:hAnsi="仿宋_GB2312" w:eastAsia="仿宋_GB2312" w:cs="仿宋_GB2312"/>
          <w:b/>
          <w:bCs/>
          <w:color w:val="000000"/>
          <w:spacing w:val="0"/>
          <w:w w:val="100"/>
          <w:position w:val="0"/>
          <w:sz w:val="32"/>
          <w:szCs w:val="32"/>
          <w:lang w:eastAsia="zh-CN"/>
        </w:rPr>
        <w:t>出情况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十二、预算绩效情况说明</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leftChars="3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w:t>
      </w:r>
      <w:r>
        <w:rPr>
          <w:rFonts w:hint="eastAsia" w:ascii="仿宋" w:hAnsi="仿宋" w:eastAsia="仿宋" w:cs="仿宋"/>
          <w:color w:val="000000" w:themeColor="text1"/>
          <w:szCs w:val="32"/>
          <w:lang w:eastAsia="zh-CN"/>
          <w14:textFill>
            <w14:solidFill>
              <w14:schemeClr w14:val="tx1"/>
            </w14:solidFill>
          </w14:textFill>
        </w:rPr>
        <w:t>无</w:t>
      </w:r>
      <w:r>
        <w:rPr>
          <w:rFonts w:hint="eastAsia" w:ascii="仿宋_GB2312" w:hAnsi="仿宋_GB2312" w:eastAsia="仿宋_GB2312" w:cs="仿宋_GB2312"/>
          <w:color w:val="000000"/>
          <w:spacing w:val="0"/>
          <w:w w:val="100"/>
          <w:position w:val="0"/>
          <w:sz w:val="32"/>
          <w:szCs w:val="32"/>
        </w:rPr>
        <w:t>预算绩效</w:t>
      </w:r>
      <w:r>
        <w:rPr>
          <w:rFonts w:hint="eastAsia" w:ascii="仿宋_GB2312" w:hAnsi="仿宋_GB2312" w:eastAsia="仿宋_GB2312" w:cs="仿宋_GB2312"/>
          <w:color w:val="000000"/>
          <w:spacing w:val="0"/>
          <w:w w:val="100"/>
          <w:position w:val="0"/>
          <w:sz w:val="32"/>
          <w:szCs w:val="32"/>
          <w:lang w:eastAsia="zh-CN"/>
        </w:rPr>
        <w:t>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2021年度收入总计***元，支出总计***元，与2020年决算数相比，收入增加***元，增长***%，支出增加***元，增长***%。主要原因是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（应根据实际情况补充原因，如果是减少，则应改为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财政拨款收入***元，占***%;上级补助收入***元，占***%;事业收入***元，占***%；经营收入***元，占***%；附属部门（本单位）上缴收入***元，占***%；其他收入***元，占***%。（应根据实际情况补充，若某一项收入为零，将其删除，不用表述）。</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年度支出合计***元，其中：基本支出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元，占***%；项目支出***元，占***%;上缴上级支出*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元，占***%；经营支出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元，占***%；对附属部门（本单位）补助支出***元，占***%。（应根据实际情况补充，若某一项支岀为零，将其删除，不用表述）。</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元，较上年决算数增加***元，增长***%。主要原因是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（根据实际情况补充原因，例如：年中追加安排基础设施建设专项经费支出预算****元等）。</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年度财政拨款支出***元，较上年决算数增加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（例如：减少的原因是：部分支出年初未申请财政拨款预算，而是按规定通过使用以前年度财政拨款结转和结余资金解决等）</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***万元，占本年支出的 ***%，较上年决算数增加*** 万元，增长***%。主要原因：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国防支出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教育支出***元，占***%,较年初预算数增加***元，主</w:t>
      </w:r>
    </w:p>
    <w:p>
      <w:pPr>
        <w:pStyle w:val="22"/>
        <w:keepNext w:val="0"/>
        <w:keepLines w:val="0"/>
        <w:pageBreakBefore w:val="0"/>
        <w:widowControl w:val="0"/>
        <w:shd w:val="clear" w:color="auto" w:fill="auto"/>
        <w:tabs>
          <w:tab w:val="left" w:leader="dot" w:pos="2146"/>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w:t>
      </w:r>
    </w:p>
    <w:p>
      <w:pPr>
        <w:pStyle w:val="22"/>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w:t>
      </w:r>
    </w:p>
    <w:p>
      <w:pPr>
        <w:pStyle w:val="22"/>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元。其中：人员经费***元，较上年增加***元，主要原因是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（根据实际情况补充原因，如：增人增资等。如果是减少，则应改为"较上年减少***元，主要原因是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”）。人员经费用途主要包括……（根据实际情况补充原因，如：基本工资、津贴补贴、奖金、社会保障缴费等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公用经费***元，较上年增加***元，主要原因是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（根据实际情况补充原因，如：物价上涨等。如果是减少，则应改为“较上年减少***元，主要原因是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（根据实际情况补充原因，如：办公费、印刷费、咨询费、手续费等）。</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辆；国内公务接待***批次，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人，其中：国内外事接待***批次，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年度本部门（本单位）人均接待费***元，车均购置费***元，车均维护费***元。</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4"/>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元、政府釆购服务支出***元。主要用于釆购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（根据实际釆购情况补充说明）。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2C65AE-5F36-461F-B6D2-79E2A131AC4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B37E8EFF-6787-4502-93B9-A1A1035CEC17}"/>
  </w:font>
  <w:font w:name="Consolas">
    <w:panose1 w:val="020B0609020204030204"/>
    <w:charset w:val="00"/>
    <w:family w:val="auto"/>
    <w:pitch w:val="default"/>
    <w:sig w:usb0="E10002FF" w:usb1="4000FCFF" w:usb2="00000009" w:usb3="00000000" w:csb0="6000019F" w:csb1="DFD70000"/>
  </w:font>
  <w:font w:name="方正小标宋_GBK">
    <w:altName w:val="微软雅黑"/>
    <w:panose1 w:val="03000509000000000000"/>
    <w:charset w:val="86"/>
    <w:family w:val="auto"/>
    <w:pitch w:val="default"/>
    <w:sig w:usb0="00000000" w:usb1="00000000" w:usb2="00000000" w:usb3="00000000" w:csb0="00040000" w:csb1="00000000"/>
    <w:embedRegular r:id="rId3" w:fontKey="{9C78F10C-4FD7-442A-8ADF-9F0C46A3D86D}"/>
  </w:font>
  <w:font w:name="方正小标宋简体">
    <w:panose1 w:val="02000000000000000000"/>
    <w:charset w:val="86"/>
    <w:family w:val="auto"/>
    <w:pitch w:val="default"/>
    <w:sig w:usb0="00000001" w:usb1="08000000" w:usb2="00000000" w:usb3="00000000" w:csb0="00040000" w:csb1="00000000"/>
    <w:embedRegular r:id="rId4" w:fontKey="{C1F65783-F47A-4A12-B498-FE3638250DD2}"/>
  </w:font>
  <w:font w:name="楷体_GB2312">
    <w:altName w:val="楷体"/>
    <w:panose1 w:val="02010609030101010101"/>
    <w:charset w:val="86"/>
    <w:family w:val="auto"/>
    <w:pitch w:val="default"/>
    <w:sig w:usb0="00000000" w:usb1="00000000" w:usb2="00000000" w:usb3="00000000" w:csb0="00040000" w:csb1="00000000"/>
    <w:embedRegular r:id="rId5" w:fontKey="{A0A1211F-BB42-48F5-BBF7-F65735484A16}"/>
  </w:font>
  <w:font w:name="仿宋">
    <w:panose1 w:val="02010609060101010101"/>
    <w:charset w:val="86"/>
    <w:family w:val="auto"/>
    <w:pitch w:val="default"/>
    <w:sig w:usb0="800002BF" w:usb1="38CF7CFA" w:usb2="00000016" w:usb3="00000000" w:csb0="00040001" w:csb1="00000000"/>
    <w:embedRegular r:id="rId6" w:fontKey="{CB8D7257-9EEF-4BE7-8BA8-134539C4FB22}"/>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B017D1"/>
    <w:multiLevelType w:val="singleLevel"/>
    <w:tmpl w:val="EBB017D1"/>
    <w:lvl w:ilvl="0" w:tentative="0">
      <w:start w:val="3"/>
      <w:numFmt w:val="chineseCounting"/>
      <w:suff w:val="noth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TrueTypeFonts/>
  <w:saveSubsetFonts/>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ljMjUxMGQxY2NkYjBjM2FhMWQzNzJiOGRmOTY3OTIifQ=="/>
  </w:docVars>
  <w:rsids>
    <w:rsidRoot w:val="00000000"/>
    <w:rsid w:val="00BF5C1B"/>
    <w:rsid w:val="033905F3"/>
    <w:rsid w:val="0511788F"/>
    <w:rsid w:val="05EA3D5F"/>
    <w:rsid w:val="060146E2"/>
    <w:rsid w:val="061F2581"/>
    <w:rsid w:val="06AA1511"/>
    <w:rsid w:val="09751BF2"/>
    <w:rsid w:val="098D610D"/>
    <w:rsid w:val="0A4C6688"/>
    <w:rsid w:val="0A5E3C0A"/>
    <w:rsid w:val="0A90741C"/>
    <w:rsid w:val="0C13405E"/>
    <w:rsid w:val="0D0B2281"/>
    <w:rsid w:val="0DCB7662"/>
    <w:rsid w:val="0FE827F6"/>
    <w:rsid w:val="118C5FB5"/>
    <w:rsid w:val="12AA36D7"/>
    <w:rsid w:val="130B404C"/>
    <w:rsid w:val="133A3DAC"/>
    <w:rsid w:val="14FC37FB"/>
    <w:rsid w:val="15FD020C"/>
    <w:rsid w:val="1706734A"/>
    <w:rsid w:val="1739327C"/>
    <w:rsid w:val="17862702"/>
    <w:rsid w:val="1980089F"/>
    <w:rsid w:val="19BA4320"/>
    <w:rsid w:val="1B205130"/>
    <w:rsid w:val="1B395581"/>
    <w:rsid w:val="1B622567"/>
    <w:rsid w:val="1BFA3F10"/>
    <w:rsid w:val="1E2E1230"/>
    <w:rsid w:val="1E712589"/>
    <w:rsid w:val="1EB421E7"/>
    <w:rsid w:val="1F523B54"/>
    <w:rsid w:val="1F861F05"/>
    <w:rsid w:val="215E44A7"/>
    <w:rsid w:val="227F528A"/>
    <w:rsid w:val="25534842"/>
    <w:rsid w:val="25716796"/>
    <w:rsid w:val="25FD0C5D"/>
    <w:rsid w:val="27A01BC0"/>
    <w:rsid w:val="293A3B15"/>
    <w:rsid w:val="29C05E6C"/>
    <w:rsid w:val="2ACA38C6"/>
    <w:rsid w:val="2D7F27F1"/>
    <w:rsid w:val="2F990904"/>
    <w:rsid w:val="3103349F"/>
    <w:rsid w:val="336472E3"/>
    <w:rsid w:val="343A7C93"/>
    <w:rsid w:val="35DE1EEB"/>
    <w:rsid w:val="366D6646"/>
    <w:rsid w:val="396458BD"/>
    <w:rsid w:val="39A84565"/>
    <w:rsid w:val="39F46F0A"/>
    <w:rsid w:val="3A7E79C0"/>
    <w:rsid w:val="3ABD5DEE"/>
    <w:rsid w:val="3BD710AD"/>
    <w:rsid w:val="3C5D7B44"/>
    <w:rsid w:val="3D431059"/>
    <w:rsid w:val="3E1C54F7"/>
    <w:rsid w:val="3E62271C"/>
    <w:rsid w:val="3EA83301"/>
    <w:rsid w:val="406D649F"/>
    <w:rsid w:val="41670196"/>
    <w:rsid w:val="41D413E0"/>
    <w:rsid w:val="42736B67"/>
    <w:rsid w:val="43D445BB"/>
    <w:rsid w:val="43E9763D"/>
    <w:rsid w:val="484E49E0"/>
    <w:rsid w:val="4928616D"/>
    <w:rsid w:val="4A942144"/>
    <w:rsid w:val="4B4202B4"/>
    <w:rsid w:val="4B60103E"/>
    <w:rsid w:val="4BC91887"/>
    <w:rsid w:val="4C583BC9"/>
    <w:rsid w:val="4D174E86"/>
    <w:rsid w:val="4E4A5284"/>
    <w:rsid w:val="4F1428B3"/>
    <w:rsid w:val="4F2B13C2"/>
    <w:rsid w:val="52A97D6A"/>
    <w:rsid w:val="537062B7"/>
    <w:rsid w:val="54C141FB"/>
    <w:rsid w:val="57D535F7"/>
    <w:rsid w:val="57E073CC"/>
    <w:rsid w:val="58606FC9"/>
    <w:rsid w:val="58806626"/>
    <w:rsid w:val="596F6D36"/>
    <w:rsid w:val="5A9B5B2B"/>
    <w:rsid w:val="5ABD72ED"/>
    <w:rsid w:val="5B4E5A55"/>
    <w:rsid w:val="5BDE5F4A"/>
    <w:rsid w:val="5DFC12F4"/>
    <w:rsid w:val="60D720E0"/>
    <w:rsid w:val="617C404C"/>
    <w:rsid w:val="62922058"/>
    <w:rsid w:val="63A4104A"/>
    <w:rsid w:val="63BB053E"/>
    <w:rsid w:val="653130D0"/>
    <w:rsid w:val="669D080F"/>
    <w:rsid w:val="671D6430"/>
    <w:rsid w:val="672F5A87"/>
    <w:rsid w:val="68C20E9A"/>
    <w:rsid w:val="6B2D5D6A"/>
    <w:rsid w:val="6B8871B5"/>
    <w:rsid w:val="6F8814A6"/>
    <w:rsid w:val="7047394B"/>
    <w:rsid w:val="720E4E8D"/>
    <w:rsid w:val="726D3C91"/>
    <w:rsid w:val="745D61E5"/>
    <w:rsid w:val="74A93BD2"/>
    <w:rsid w:val="77D77AA7"/>
    <w:rsid w:val="785A5C57"/>
    <w:rsid w:val="794C38BE"/>
    <w:rsid w:val="7ADB71B2"/>
    <w:rsid w:val="7C584EE5"/>
    <w:rsid w:val="7CF44998"/>
    <w:rsid w:val="7E7C45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8822</Words>
  <Characters>9957</Characters>
  <TotalTime>0</TotalTime>
  <ScaleCrop>false</ScaleCrop>
  <LinksUpToDate>false</LinksUpToDate>
  <CharactersWithSpaces>10013</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2023-06-08T02:21:32Z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4087B4B44F224B7CB004D802A0D93BFB</vt:lpwstr>
  </property>
</Properties>
</file>