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东乡县城管局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6" w:name="bookmark24"/>
      <w:r>
        <w:rPr>
          <w:rFonts w:hint="eastAsia" w:ascii="仿宋_GB2312" w:hAnsi="仿宋_GB2312" w:eastAsia="仿宋_GB2312" w:cs="仿宋_GB2312"/>
          <w:color w:val="000000"/>
          <w:spacing w:val="0"/>
          <w:w w:val="100"/>
          <w:position w:val="0"/>
          <w:sz w:val="32"/>
          <w:szCs w:val="32"/>
        </w:rPr>
        <w:t>（一）宣传、贯彻国家及省有关法律、法规和规章，研究拟订有关市容环境卫生等地方规范性文件，制定城市容貌标准，并负责督促实施。</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（二）行使县城市容和环境卫生管理方面法律、法规、规章规定的行政处罚权。</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（三）行使城市绿化管理方面法律、法规、规章规定的行政处罚权。</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(四）行使市政管理方面法律法规、规章规定的行政处罚权，负责市政设施的维护及维修。</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（五）行使环境保护管理方面的法律、法规、规章规定的对下列违法行为的行政处罚权：</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1、在人口集中地区焚烧有害烟尘和恶臭气体的物质的；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2、城市饮食服务业的经营者未采取有效污染防治措施，致使排放的油烟对附近居民环境造成污染的；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不按规定驻贮存、运输、处置城市生活垃圾的；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4、未按规定随意堆放、倾倒工业固体废物的；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5、施工单位不及时清运、处置建筑垃圾的，运输过程中泄露、遗撒固体废物的。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（六）行使公安交通管理方面法律、法规、规章规定的对侵占人行道和公共广场的行政处罚权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（七）负责县城域建设性、经营性临时占道工程渣土、户外广告的管理工作。督促相关部门做好拆迁现场和施工现场的文明施工管理；检查、督促全县城的门前“三包”工作。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（八）负责县城城区防汛排水工作。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（九）承办东乡县委县政府交办的其他事项。</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东乡县市政局设</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lang w:val="zh-TW" w:eastAsia="zh-TW"/>
        </w:rPr>
        <w:t>个职能股（</w:t>
      </w:r>
      <w:r>
        <w:rPr>
          <w:rFonts w:hint="eastAsia" w:ascii="仿宋_GB2312" w:hAnsi="仿宋_GB2312" w:eastAsia="仿宋_GB2312" w:cs="仿宋_GB2312"/>
          <w:color w:val="000000"/>
          <w:spacing w:val="0"/>
          <w:w w:val="100"/>
          <w:position w:val="0"/>
          <w:sz w:val="32"/>
          <w:szCs w:val="32"/>
          <w:lang w:val="en-US" w:eastAsia="zh-CN"/>
        </w:rPr>
        <w:t>队</w:t>
      </w:r>
      <w:r>
        <w:rPr>
          <w:rFonts w:hint="eastAsia" w:ascii="仿宋_GB2312" w:hAnsi="仿宋_GB2312" w:eastAsia="仿宋_GB2312" w:cs="仿宋_GB2312"/>
          <w:color w:val="000000"/>
          <w:spacing w:val="0"/>
          <w:w w:val="100"/>
          <w:position w:val="0"/>
          <w:sz w:val="32"/>
          <w:szCs w:val="32"/>
          <w:lang w:val="zh-TW" w:eastAsia="zh-CN"/>
        </w:rPr>
        <w:t>、</w:t>
      </w:r>
      <w:r>
        <w:rPr>
          <w:rFonts w:hint="eastAsia" w:ascii="仿宋_GB2312" w:hAnsi="仿宋_GB2312" w:eastAsia="仿宋_GB2312" w:cs="仿宋_GB2312"/>
          <w:color w:val="000000"/>
          <w:spacing w:val="0"/>
          <w:w w:val="100"/>
          <w:position w:val="0"/>
          <w:sz w:val="32"/>
          <w:szCs w:val="32"/>
          <w:lang w:val="zh-TW" w:eastAsia="zh-TW"/>
        </w:rPr>
        <w:t>室）。</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CN"/>
        </w:rPr>
        <w:t>（一）</w:t>
      </w:r>
      <w:r>
        <w:rPr>
          <w:rFonts w:hint="eastAsia" w:ascii="仿宋_GB2312" w:hAnsi="仿宋_GB2312" w:eastAsia="仿宋_GB2312" w:cs="仿宋_GB2312"/>
          <w:color w:val="000000"/>
          <w:spacing w:val="0"/>
          <w:w w:val="100"/>
          <w:position w:val="0"/>
          <w:sz w:val="32"/>
          <w:szCs w:val="32"/>
          <w:lang w:val="zh-TW" w:eastAsia="zh-TW"/>
        </w:rPr>
        <w:t>办公室</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负责制定全年工作计划、各项工作制度和管理制度，起草有关文件报告；组织机关岗位责任制目标考核；承办文秘、会务、接待、档案、信访、提案、议案办理及保密保卫等工作；负责单位工作用车执法用车的调度管理；负责检查指导市容环卫行业的安全生产等工作；负责编制年度财务计划，负责本机关及所属单位的财务管理、专项资金管理、固定资产管理、处罚票据管理；负责组织、人事、宣传、机构编制、劳资管理工作；负责职工思想政治教育和精神文明建设、党政党风廉政建设、行风建设；按时完成局领导交办的其他事项。</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CN"/>
        </w:rPr>
        <w:t>（二）</w:t>
      </w:r>
      <w:r>
        <w:rPr>
          <w:rFonts w:hint="eastAsia" w:ascii="仿宋_GB2312" w:hAnsi="仿宋_GB2312" w:eastAsia="仿宋_GB2312" w:cs="仿宋_GB2312"/>
          <w:color w:val="000000"/>
          <w:spacing w:val="0"/>
          <w:w w:val="100"/>
          <w:position w:val="0"/>
          <w:sz w:val="32"/>
          <w:szCs w:val="32"/>
          <w:lang w:val="zh-TW" w:eastAsia="zh-TW"/>
        </w:rPr>
        <w:t>市场管理股</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负责管理城区各市场秩序工作，为维持各项商贸活动正常有序开展提供管理保障；负责管理南园市场的统一规划，安排摊点的数量、位置；指导、监督、检查县辖区被各小城镇市场管理工作。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CN"/>
        </w:rPr>
        <w:t>（三）</w:t>
      </w:r>
      <w:r>
        <w:rPr>
          <w:rFonts w:hint="eastAsia" w:ascii="仿宋_GB2312" w:hAnsi="仿宋_GB2312" w:eastAsia="仿宋_GB2312" w:cs="仿宋_GB2312"/>
          <w:color w:val="000000"/>
          <w:spacing w:val="0"/>
          <w:w w:val="100"/>
          <w:position w:val="0"/>
          <w:sz w:val="32"/>
          <w:szCs w:val="32"/>
          <w:lang w:val="zh-TW" w:eastAsia="zh-TW"/>
        </w:rPr>
        <w:t>市政设施维修股</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负责县城各类市政设施的维修管护，确保县城各类市政设施功能的正常发挥。</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CN"/>
        </w:rPr>
        <w:t>（四）</w:t>
      </w:r>
      <w:r>
        <w:rPr>
          <w:rFonts w:hint="eastAsia" w:ascii="仿宋_GB2312" w:hAnsi="仿宋_GB2312" w:eastAsia="仿宋_GB2312" w:cs="仿宋_GB2312"/>
          <w:color w:val="000000"/>
          <w:spacing w:val="0"/>
          <w:w w:val="100"/>
          <w:position w:val="0"/>
          <w:sz w:val="32"/>
          <w:szCs w:val="32"/>
          <w:lang w:val="zh-TW" w:eastAsia="zh-TW"/>
        </w:rPr>
        <w:t>环卫股</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负责搞好全县垃圾点的堆放工作，组织清运队及时清运；保持垃圾点周围环境卫生整洁干净，每日垃圾要做到日产清理，及时清运到垃圾填埋场进行无害化填埋；规范管理县城公厕，做到窗明、地净、无异味；按时完成局领导交办的其他各项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CN"/>
        </w:rPr>
      </w:pPr>
      <w:r>
        <w:rPr>
          <w:rFonts w:hint="eastAsia" w:ascii="仿宋_GB2312" w:hAnsi="仿宋_GB2312" w:eastAsia="仿宋_GB2312" w:cs="仿宋_GB2312"/>
          <w:color w:val="000000"/>
          <w:spacing w:val="0"/>
          <w:w w:val="100"/>
          <w:position w:val="0"/>
          <w:sz w:val="32"/>
          <w:szCs w:val="32"/>
          <w:lang w:val="zh-TW" w:eastAsia="zh-CN"/>
        </w:rPr>
        <w:t>（</w:t>
      </w:r>
      <w:r>
        <w:rPr>
          <w:rFonts w:hint="eastAsia" w:ascii="仿宋_GB2312" w:hAnsi="仿宋_GB2312" w:eastAsia="仿宋_GB2312" w:cs="仿宋_GB2312"/>
          <w:color w:val="000000"/>
          <w:spacing w:val="0"/>
          <w:w w:val="100"/>
          <w:position w:val="0"/>
          <w:sz w:val="32"/>
          <w:szCs w:val="32"/>
          <w:lang w:val="en-US" w:eastAsia="zh-CN"/>
        </w:rPr>
        <w:t>五</w:t>
      </w:r>
      <w:r>
        <w:rPr>
          <w:rFonts w:hint="eastAsia" w:ascii="仿宋_GB2312" w:hAnsi="仿宋_GB2312" w:eastAsia="仿宋_GB2312" w:cs="仿宋_GB2312"/>
          <w:color w:val="000000"/>
          <w:spacing w:val="0"/>
          <w:w w:val="100"/>
          <w:position w:val="0"/>
          <w:sz w:val="32"/>
          <w:szCs w:val="32"/>
          <w:lang w:val="zh-TW" w:eastAsia="zh-CN"/>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县城市容综合执法大队、达板镇、那勒寺镇、龙泉镇</w:t>
      </w:r>
      <w:r>
        <w:rPr>
          <w:rFonts w:hint="eastAsia" w:ascii="仿宋_GB2312" w:hAnsi="仿宋_GB2312" w:eastAsia="仿宋_GB2312" w:cs="仿宋_GB2312"/>
          <w:color w:val="000000"/>
          <w:spacing w:val="0"/>
          <w:w w:val="100"/>
          <w:position w:val="0"/>
          <w:sz w:val="32"/>
          <w:szCs w:val="32"/>
          <w:lang w:val="en-US" w:eastAsia="zh-CN"/>
        </w:rPr>
        <w:t>、河滩镇执法中队</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负责辖区内重大活动、重要工作的城市管理执法保障，做好相关事件处置工作；参与辖区内部门联动。负责辖区内城镇管理执法工作、环境卫生及政府交办的相关工作。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val="en-US" w:eastAsia="zh-CN"/>
        </w:rPr>
        <w:t>2021年度收入总计116905845.19元，支出总计116905845.19元，与2020年决算数相比，收入增加15318192.89元，增长15%，支出增加15318192.89元，增长15%。主要原因是主要原因是各类项目及债券资金增加。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eastAsia="zh-CN"/>
        </w:rPr>
      </w:pPr>
      <w:r>
        <w:rPr>
          <w:rFonts w:hint="eastAsia" w:ascii="黑体" w:hAnsi="黑体" w:eastAsia="黑体" w:cs="黑体"/>
          <w:b/>
          <w:bCs/>
          <w:i w:val="0"/>
          <w:iCs w:val="0"/>
          <w:smallCaps w:val="0"/>
          <w:strike w:val="0"/>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116905845.19</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116905845.19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%；附属部门（本单位）上缴收入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lang w:val="zh-TW" w:eastAsia="zh-TW"/>
        </w:rPr>
        <w:t>本单位</w:t>
      </w:r>
      <w:r>
        <w:rPr>
          <w:rFonts w:hint="eastAsia" w:ascii="仿宋_GB2312" w:hAnsi="仿宋_GB2312" w:eastAsia="仿宋_GB2312" w:cs="仿宋_GB2312"/>
          <w:color w:val="000000"/>
          <w:spacing w:val="0"/>
          <w:w w:val="100"/>
          <w:position w:val="0"/>
          <w:sz w:val="32"/>
          <w:szCs w:val="32"/>
          <w:lang w:val="zh-TW" w:eastAsia="zh-CN"/>
        </w:rPr>
        <w:t>2021</w:t>
      </w:r>
      <w:r>
        <w:rPr>
          <w:rFonts w:hint="eastAsia" w:ascii="仿宋_GB2312" w:hAnsi="仿宋_GB2312" w:eastAsia="仿宋_GB2312" w:cs="仿宋_GB2312"/>
          <w:color w:val="000000"/>
          <w:spacing w:val="0"/>
          <w:w w:val="100"/>
          <w:position w:val="0"/>
          <w:sz w:val="32"/>
          <w:szCs w:val="32"/>
          <w:lang w:val="zh-TW" w:eastAsia="zh-TW"/>
        </w:rPr>
        <w:t>年度支出合计117826778.22元，其中：基本支出</w:t>
      </w:r>
      <w:r>
        <w:rPr>
          <w:rFonts w:hint="eastAsia" w:ascii="仿宋_GB2312" w:hAnsi="仿宋_GB2312" w:eastAsia="仿宋_GB2312" w:cs="仿宋_GB2312"/>
          <w:color w:val="000000"/>
          <w:spacing w:val="0"/>
          <w:w w:val="100"/>
          <w:position w:val="0"/>
          <w:sz w:val="32"/>
          <w:szCs w:val="32"/>
          <w:lang w:val="en-US" w:eastAsia="en-US"/>
        </w:rPr>
        <w:t>23977548.45</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20.34</w:t>
      </w:r>
      <w:r>
        <w:rPr>
          <w:rFonts w:hint="eastAsia" w:ascii="仿宋_GB2312" w:hAnsi="仿宋_GB2312" w:eastAsia="仿宋_GB2312" w:cs="仿宋_GB2312"/>
          <w:color w:val="000000"/>
          <w:spacing w:val="0"/>
          <w:w w:val="100"/>
          <w:position w:val="0"/>
          <w:sz w:val="32"/>
          <w:szCs w:val="32"/>
          <w:lang w:val="zh-TW" w:eastAsia="zh-TW"/>
        </w:rPr>
        <w:t>%；项目支出93849229.77元，占</w:t>
      </w:r>
      <w:r>
        <w:rPr>
          <w:rFonts w:hint="eastAsia" w:ascii="仿宋_GB2312" w:hAnsi="仿宋_GB2312" w:eastAsia="仿宋_GB2312" w:cs="仿宋_GB2312"/>
          <w:color w:val="000000"/>
          <w:spacing w:val="0"/>
          <w:w w:val="100"/>
          <w:position w:val="0"/>
          <w:sz w:val="32"/>
          <w:szCs w:val="32"/>
          <w:lang w:val="en-US" w:eastAsia="zh-CN"/>
        </w:rPr>
        <w:t>79.66</w:t>
      </w:r>
      <w:r>
        <w:rPr>
          <w:rFonts w:hint="eastAsia" w:ascii="仿宋_GB2312" w:hAnsi="仿宋_GB2312" w:eastAsia="仿宋_GB2312" w:cs="仿宋_GB2312"/>
          <w:color w:val="000000"/>
          <w:spacing w:val="0"/>
          <w:w w:val="100"/>
          <w:position w:val="0"/>
          <w:sz w:val="32"/>
          <w:szCs w:val="32"/>
          <w:lang w:val="zh-TW" w:eastAsia="zh-TW"/>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TW"/>
        </w:rPr>
        <w:t>%；经营支出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TW"/>
        </w:rPr>
        <w:t>%；对附属部门（本单位）补助支出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年末结转和结余1779416.04</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，较上年</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减少920932.26</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结余项目前期费资金。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116905845.19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15318192.89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15.1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主要原因是主要原因是项目资金及债券资金增加。</w:t>
      </w:r>
      <w:r>
        <w:rPr>
          <w:rFonts w:hint="eastAsia" w:ascii="仿宋_GB2312" w:hAnsi="仿宋_GB2312" w:eastAsia="仿宋_GB2312" w:cs="仿宋_GB2312"/>
          <w:b/>
          <w:bCs/>
          <w:color w:val="000000"/>
          <w:spacing w:val="0"/>
          <w:w w:val="100"/>
          <w:position w:val="0"/>
          <w:sz w:val="32"/>
          <w:szCs w:val="32"/>
        </w:rPr>
        <w:t>较年初预算数增加</w:t>
      </w:r>
      <w:r>
        <w:rPr>
          <w:rFonts w:hint="eastAsia" w:ascii="仿宋_GB2312" w:hAnsi="仿宋_GB2312" w:eastAsia="仿宋_GB2312" w:cs="仿宋_GB2312"/>
          <w:b/>
          <w:bCs/>
          <w:color w:val="000000"/>
          <w:spacing w:val="0"/>
          <w:w w:val="100"/>
          <w:position w:val="0"/>
          <w:sz w:val="32"/>
          <w:szCs w:val="32"/>
          <w:lang w:val="en-US" w:eastAsia="zh-CN"/>
        </w:rPr>
        <w:t>94496640.19</w:t>
      </w:r>
      <w:r>
        <w:rPr>
          <w:rFonts w:hint="eastAsia" w:ascii="仿宋_GB2312" w:hAnsi="仿宋_GB2312" w:eastAsia="仿宋_GB2312" w:cs="仿宋_GB2312"/>
          <w:b/>
          <w:bCs/>
          <w:color w:val="000000"/>
          <w:spacing w:val="0"/>
          <w:w w:val="100"/>
          <w:position w:val="0"/>
          <w:sz w:val="32"/>
          <w:szCs w:val="32"/>
        </w:rPr>
        <w:t>元，增长</w:t>
      </w:r>
      <w:r>
        <w:rPr>
          <w:rFonts w:hint="eastAsia" w:ascii="仿宋_GB2312" w:hAnsi="仿宋_GB2312" w:eastAsia="仿宋_GB2312" w:cs="仿宋_GB2312"/>
          <w:b/>
          <w:bCs/>
          <w:color w:val="000000"/>
          <w:spacing w:val="0"/>
          <w:w w:val="100"/>
          <w:position w:val="0"/>
          <w:sz w:val="32"/>
          <w:szCs w:val="32"/>
          <w:lang w:val="en-US" w:eastAsia="zh-CN"/>
        </w:rPr>
        <w:t>80.8</w:t>
      </w:r>
      <w:r>
        <w:rPr>
          <w:rFonts w:hint="eastAsia" w:ascii="仿宋_GB2312" w:hAnsi="仿宋_GB2312" w:eastAsia="仿宋_GB2312" w:cs="仿宋_GB2312"/>
          <w:b/>
          <w:bCs/>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主要原因是</w:t>
      </w:r>
      <w:r>
        <w:rPr>
          <w:rFonts w:hint="eastAsia" w:ascii="仿宋_GB2312" w:hAnsi="仿宋_GB2312" w:eastAsia="仿宋_GB2312" w:cs="仿宋_GB2312"/>
          <w:b/>
          <w:bCs/>
          <w:color w:val="000000"/>
          <w:spacing w:val="0"/>
          <w:w w:val="100"/>
          <w:position w:val="0"/>
          <w:sz w:val="32"/>
          <w:szCs w:val="32"/>
          <w:lang w:val="en-US" w:eastAsia="zh-CN"/>
        </w:rPr>
        <w:t>项目资金及</w:t>
      </w:r>
      <w:r>
        <w:rPr>
          <w:rFonts w:hint="eastAsia" w:ascii="仿宋_GB2312" w:hAnsi="仿宋_GB2312" w:eastAsia="仿宋_GB2312" w:cs="仿宋_GB2312"/>
          <w:color w:val="000000"/>
          <w:spacing w:val="0"/>
          <w:w w:val="100"/>
          <w:position w:val="0"/>
          <w:sz w:val="32"/>
          <w:szCs w:val="32"/>
          <w:lang w:val="en-US" w:eastAsia="zh-CN"/>
        </w:rPr>
        <w:t>债券资金和</w:t>
      </w:r>
      <w:r>
        <w:rPr>
          <w:rFonts w:hint="eastAsia" w:ascii="仿宋_GB2312" w:hAnsi="仿宋_GB2312" w:eastAsia="仿宋_GB2312" w:cs="仿宋_GB2312"/>
          <w:color w:val="000000"/>
          <w:spacing w:val="0"/>
          <w:w w:val="100"/>
          <w:position w:val="0"/>
          <w:sz w:val="32"/>
          <w:szCs w:val="32"/>
          <w:lang w:eastAsia="zh-CN"/>
        </w:rPr>
        <w:t>城乡社区增加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117826778.22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18939474.99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项目资金及债券资金增加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较年初预算数增加94496640.19元，增长80.8%，主要原因是项目资金及债券资金和城乡社区增加。</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2021 年度一般公共预算财政拨款支出116905845.19元，占本年支出的 100%，较上年决算数增加18939474.99万元，增长19.2%。主要原因：项目资金及债券资金增加，</w:t>
      </w:r>
      <w:r>
        <w:rPr>
          <w:rFonts w:hint="eastAsia" w:ascii="仿宋_GB2312" w:hAnsi="仿宋_GB2312" w:eastAsia="仿宋_GB2312" w:cs="仿宋_GB2312"/>
          <w:b/>
          <w:bCs/>
          <w:color w:val="000000"/>
          <w:spacing w:val="0"/>
          <w:w w:val="100"/>
          <w:position w:val="0"/>
          <w:sz w:val="32"/>
          <w:szCs w:val="32"/>
        </w:rPr>
        <w:t>较年初预算数增加</w:t>
      </w:r>
      <w:r>
        <w:rPr>
          <w:rFonts w:hint="eastAsia" w:ascii="仿宋_GB2312" w:hAnsi="仿宋_GB2312" w:eastAsia="仿宋_GB2312" w:cs="仿宋_GB2312"/>
          <w:b/>
          <w:bCs/>
          <w:color w:val="000000"/>
          <w:spacing w:val="0"/>
          <w:w w:val="100"/>
          <w:position w:val="0"/>
          <w:sz w:val="32"/>
          <w:szCs w:val="32"/>
          <w:lang w:val="en-US" w:eastAsia="zh-CN"/>
        </w:rPr>
        <w:t>94496640.19</w:t>
      </w:r>
      <w:r>
        <w:rPr>
          <w:rFonts w:hint="eastAsia" w:ascii="仿宋_GB2312" w:hAnsi="仿宋_GB2312" w:eastAsia="仿宋_GB2312" w:cs="仿宋_GB2312"/>
          <w:b/>
          <w:bCs/>
          <w:color w:val="000000"/>
          <w:spacing w:val="0"/>
          <w:w w:val="100"/>
          <w:position w:val="0"/>
          <w:sz w:val="32"/>
          <w:szCs w:val="32"/>
        </w:rPr>
        <w:t>元，增长</w:t>
      </w:r>
      <w:r>
        <w:rPr>
          <w:rFonts w:hint="eastAsia" w:ascii="仿宋_GB2312" w:hAnsi="仿宋_GB2312" w:eastAsia="仿宋_GB2312" w:cs="仿宋_GB2312"/>
          <w:b/>
          <w:bCs/>
          <w:color w:val="000000"/>
          <w:spacing w:val="0"/>
          <w:w w:val="100"/>
          <w:position w:val="0"/>
          <w:sz w:val="32"/>
          <w:szCs w:val="32"/>
          <w:lang w:val="en-US" w:eastAsia="zh-CN"/>
        </w:rPr>
        <w:t>80.8</w:t>
      </w:r>
      <w:r>
        <w:rPr>
          <w:rFonts w:hint="eastAsia" w:ascii="仿宋_GB2312" w:hAnsi="仿宋_GB2312" w:eastAsia="仿宋_GB2312" w:cs="仿宋_GB2312"/>
          <w:b/>
          <w:bCs/>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主要原因是</w:t>
      </w:r>
      <w:r>
        <w:rPr>
          <w:rFonts w:hint="eastAsia" w:ascii="仿宋_GB2312" w:hAnsi="仿宋_GB2312" w:eastAsia="仿宋_GB2312" w:cs="仿宋_GB2312"/>
          <w:b/>
          <w:bCs/>
          <w:color w:val="000000"/>
          <w:spacing w:val="0"/>
          <w:w w:val="100"/>
          <w:position w:val="0"/>
          <w:sz w:val="32"/>
          <w:szCs w:val="32"/>
          <w:lang w:val="en-US" w:eastAsia="zh-CN"/>
        </w:rPr>
        <w:t>项目资金及</w:t>
      </w:r>
      <w:r>
        <w:rPr>
          <w:rFonts w:hint="eastAsia" w:ascii="仿宋_GB2312" w:hAnsi="仿宋_GB2312" w:eastAsia="仿宋_GB2312" w:cs="仿宋_GB2312"/>
          <w:color w:val="000000"/>
          <w:spacing w:val="0"/>
          <w:w w:val="100"/>
          <w:position w:val="0"/>
          <w:sz w:val="32"/>
          <w:szCs w:val="32"/>
          <w:lang w:val="en-US" w:eastAsia="zh-CN"/>
        </w:rPr>
        <w:t>债券资金和</w:t>
      </w:r>
      <w:r>
        <w:rPr>
          <w:rFonts w:hint="eastAsia" w:ascii="仿宋_GB2312" w:hAnsi="仿宋_GB2312" w:eastAsia="仿宋_GB2312" w:cs="仿宋_GB2312"/>
          <w:color w:val="000000"/>
          <w:spacing w:val="0"/>
          <w:w w:val="100"/>
          <w:position w:val="0"/>
          <w:sz w:val="32"/>
          <w:szCs w:val="32"/>
          <w:lang w:eastAsia="zh-CN"/>
        </w:rPr>
        <w:t>城乡社区增加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80292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0.07</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val="en-US" w:eastAsia="zh-CN" w:bidi="en-US"/>
        </w:rPr>
        <w:t>3211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基本支出增加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教育支出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科学技术支出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22"/>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9995443.16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0.85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9918689.16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基本支出增加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卫生健康支出385812元，占</w:t>
      </w:r>
      <w:r>
        <w:rPr>
          <w:rFonts w:hint="eastAsia" w:ascii="仿宋_GB2312" w:hAnsi="仿宋_GB2312" w:eastAsia="仿宋_GB2312" w:cs="仿宋_GB2312"/>
          <w:color w:val="000000"/>
          <w:spacing w:val="0"/>
          <w:w w:val="100"/>
          <w:position w:val="0"/>
          <w:sz w:val="32"/>
          <w:szCs w:val="32"/>
          <w:lang w:val="en-US" w:eastAsia="zh-CN"/>
        </w:rPr>
        <w:t>0.03</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385812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基本支出增加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城乡社区支出30760341.64元，占</w:t>
      </w:r>
      <w:r>
        <w:rPr>
          <w:rFonts w:hint="eastAsia" w:ascii="仿宋_GB2312" w:hAnsi="仿宋_GB2312" w:eastAsia="仿宋_GB2312" w:cs="仿宋_GB2312"/>
          <w:color w:val="000000"/>
          <w:spacing w:val="0"/>
          <w:w w:val="100"/>
          <w:position w:val="0"/>
          <w:sz w:val="32"/>
          <w:szCs w:val="32"/>
          <w:lang w:val="en-US" w:eastAsia="zh-CN"/>
        </w:rPr>
        <w:t>26.3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8504971.6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基本支出增加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rPr>
        <w:t>农林水支出48346860元，占</w:t>
      </w:r>
      <w:r>
        <w:rPr>
          <w:rFonts w:hint="eastAsia" w:ascii="仿宋_GB2312" w:hAnsi="仿宋_GB2312" w:eastAsia="仿宋_GB2312" w:cs="仿宋_GB2312"/>
          <w:color w:val="000000"/>
          <w:spacing w:val="0"/>
          <w:w w:val="100"/>
          <w:position w:val="0"/>
          <w:sz w:val="32"/>
          <w:szCs w:val="32"/>
          <w:lang w:val="en-US" w:eastAsia="zh-CN"/>
        </w:rPr>
        <w:t>41.4</w:t>
      </w:r>
      <w:r>
        <w:rPr>
          <w:rFonts w:hint="eastAsia" w:ascii="仿宋_GB2312" w:hAnsi="仿宋_GB2312" w:eastAsia="仿宋_GB2312" w:cs="仿宋_GB2312"/>
          <w:color w:val="000000"/>
          <w:spacing w:val="0"/>
          <w:w w:val="100"/>
          <w:position w:val="0"/>
          <w:sz w:val="32"/>
          <w:szCs w:val="32"/>
        </w:rPr>
        <w:t>%,较年初预算数增加48346860元，主要原因是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项目资金增加</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其他支出28258029.42元，占</w:t>
      </w:r>
      <w:r>
        <w:rPr>
          <w:rFonts w:hint="eastAsia" w:ascii="仿宋_GB2312" w:hAnsi="仿宋_GB2312" w:eastAsia="仿宋_GB2312" w:cs="仿宋_GB2312"/>
          <w:color w:val="000000"/>
          <w:spacing w:val="0"/>
          <w:w w:val="100"/>
          <w:position w:val="0"/>
          <w:sz w:val="32"/>
          <w:szCs w:val="32"/>
          <w:lang w:val="en-US" w:eastAsia="zh-CN"/>
        </w:rPr>
        <w:t>24.2</w:t>
      </w:r>
      <w:r>
        <w:rPr>
          <w:rFonts w:hint="eastAsia" w:ascii="仿宋_GB2312" w:hAnsi="仿宋_GB2312" w:eastAsia="仿宋_GB2312" w:cs="仿宋_GB2312"/>
          <w:color w:val="000000"/>
          <w:spacing w:val="0"/>
          <w:w w:val="100"/>
          <w:position w:val="0"/>
          <w:sz w:val="32"/>
          <w:szCs w:val="32"/>
        </w:rPr>
        <w:t>%,较年初预算数增加28258029.42元，主要原因是</w:t>
      </w:r>
      <w:r>
        <w:rPr>
          <w:rFonts w:hint="eastAsia" w:ascii="仿宋_GB2312" w:hAnsi="仿宋_GB2312" w:eastAsia="仿宋_GB2312" w:cs="仿宋_GB2312"/>
          <w:color w:val="000000"/>
          <w:spacing w:val="0"/>
          <w:w w:val="100"/>
          <w:position w:val="0"/>
          <w:sz w:val="32"/>
          <w:szCs w:val="32"/>
          <w:lang w:val="en-US" w:eastAsia="zh-CN"/>
        </w:rPr>
        <w:t>项目资金增加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116905845.19</w:t>
      </w:r>
      <w:r>
        <w:rPr>
          <w:rFonts w:hint="eastAsia" w:ascii="仿宋_GB2312" w:hAnsi="仿宋_GB2312" w:eastAsia="仿宋_GB2312" w:cs="仿宋_GB2312"/>
          <w:color w:val="000000"/>
          <w:spacing w:val="0"/>
          <w:w w:val="100"/>
          <w:position w:val="0"/>
          <w:sz w:val="32"/>
          <w:szCs w:val="32"/>
        </w:rPr>
        <w:t>元。其中：人员经费8524373.16元，较上年</w:t>
      </w:r>
      <w:r>
        <w:rPr>
          <w:rFonts w:hint="eastAsia" w:ascii="仿宋_GB2312" w:hAnsi="仿宋_GB2312" w:eastAsia="仿宋_GB2312" w:cs="仿宋_GB2312"/>
          <w:color w:val="000000"/>
          <w:spacing w:val="0"/>
          <w:w w:val="100"/>
          <w:position w:val="0"/>
          <w:sz w:val="32"/>
          <w:szCs w:val="32"/>
          <w:lang w:val="en-US" w:eastAsia="zh-CN"/>
        </w:rPr>
        <w:t>减少798998.18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对个人家庭补助减少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公用经费15453175.29元，较上年</w:t>
      </w:r>
      <w:r>
        <w:rPr>
          <w:rFonts w:hint="eastAsia" w:ascii="仿宋_GB2312" w:hAnsi="仿宋_GB2312" w:eastAsia="仿宋_GB2312" w:cs="仿宋_GB2312"/>
          <w:color w:val="000000"/>
          <w:spacing w:val="0"/>
          <w:w w:val="100"/>
          <w:position w:val="0"/>
          <w:sz w:val="32"/>
          <w:szCs w:val="32"/>
          <w:lang w:val="en-US" w:eastAsia="zh-CN"/>
        </w:rPr>
        <w:t>减少1636026.6</w:t>
      </w:r>
      <w:r>
        <w:rPr>
          <w:rFonts w:hint="eastAsia" w:ascii="仿宋_GB2312" w:hAnsi="仿宋_GB2312" w:eastAsia="仿宋_GB2312" w:cs="仿宋_GB2312"/>
          <w:color w:val="000000"/>
          <w:spacing w:val="0"/>
          <w:w w:val="100"/>
          <w:position w:val="0"/>
          <w:sz w:val="32"/>
          <w:szCs w:val="32"/>
        </w:rPr>
        <w:t>元，主要原因是公务用车运行维护费，公用经费用途主要包括办公费、印刷费、咨询费、手续费等。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en-US" w:bidi="en-US"/>
        </w:rPr>
        <w:t>319133.37</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en-US" w:bidi="en-US"/>
        </w:rPr>
        <w:t>319133.37</w:t>
      </w:r>
      <w:r>
        <w:rPr>
          <w:rFonts w:hint="eastAsia" w:ascii="仿宋_GB2312" w:hAnsi="仿宋_GB2312" w:eastAsia="仿宋_GB2312" w:cs="仿宋_GB2312"/>
          <w:color w:val="000000"/>
          <w:spacing w:val="0"/>
          <w:w w:val="100"/>
          <w:position w:val="0"/>
          <w:sz w:val="32"/>
          <w:szCs w:val="32"/>
        </w:rPr>
        <w:t>元，主要原因是公务用车运行维护费，较上年支出数</w:t>
      </w:r>
      <w:r>
        <w:rPr>
          <w:rFonts w:hint="eastAsia" w:ascii="仿宋_GB2312" w:hAnsi="仿宋_GB2312" w:eastAsia="仿宋_GB2312" w:cs="仿宋_GB2312"/>
          <w:color w:val="000000"/>
          <w:spacing w:val="0"/>
          <w:w w:val="100"/>
          <w:position w:val="0"/>
          <w:sz w:val="32"/>
          <w:szCs w:val="32"/>
          <w:lang w:val="en-US" w:eastAsia="zh-CN"/>
        </w:rPr>
        <w:t>减少160253.07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公务用车运行维护费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en-US" w:bidi="en-US"/>
        </w:rPr>
        <w:t>319133.37</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val="en-US" w:eastAsia="en-US" w:bidi="en-US"/>
        </w:rPr>
        <w:t>319133.37</w:t>
      </w:r>
      <w:r>
        <w:rPr>
          <w:rFonts w:hint="eastAsia" w:ascii="仿宋_GB2312" w:hAnsi="仿宋_GB2312" w:eastAsia="仿宋_GB2312" w:cs="仿宋_GB2312"/>
          <w:color w:val="000000"/>
          <w:spacing w:val="0"/>
          <w:w w:val="100"/>
          <w:position w:val="0"/>
          <w:sz w:val="32"/>
          <w:szCs w:val="32"/>
        </w:rPr>
        <w:t>元，主要原因是公务用车运行维护费，较上年支岀数</w:t>
      </w:r>
      <w:r>
        <w:rPr>
          <w:rFonts w:hint="eastAsia" w:ascii="仿宋_GB2312" w:hAnsi="仿宋_GB2312" w:eastAsia="仿宋_GB2312" w:cs="仿宋_GB2312"/>
          <w:color w:val="000000"/>
          <w:spacing w:val="0"/>
          <w:w w:val="100"/>
          <w:position w:val="0"/>
          <w:sz w:val="32"/>
          <w:szCs w:val="32"/>
          <w:lang w:val="en-US" w:eastAsia="zh-CN"/>
        </w:rPr>
        <w:t>减少160253.07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公务用车运行维护费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319133.37</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市容市貌提升垃圾车运险费增加</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319133.37</w:t>
      </w:r>
      <w:r>
        <w:rPr>
          <w:rFonts w:hint="eastAsia" w:ascii="仿宋_GB2312" w:hAnsi="仿宋_GB2312" w:eastAsia="仿宋_GB2312" w:cs="仿宋_GB2312"/>
          <w:color w:val="000000"/>
          <w:spacing w:val="0"/>
          <w:w w:val="100"/>
          <w:position w:val="0"/>
          <w:sz w:val="32"/>
          <w:szCs w:val="32"/>
        </w:rPr>
        <w:t>元，较上年支出数</w:t>
      </w:r>
      <w:r>
        <w:rPr>
          <w:rFonts w:hint="eastAsia" w:ascii="仿宋_GB2312" w:hAnsi="仿宋_GB2312" w:eastAsia="仿宋_GB2312" w:cs="仿宋_GB2312"/>
          <w:color w:val="000000"/>
          <w:spacing w:val="0"/>
          <w:w w:val="100"/>
          <w:position w:val="0"/>
          <w:sz w:val="32"/>
          <w:szCs w:val="32"/>
          <w:lang w:val="en-US" w:eastAsia="zh-CN"/>
        </w:rPr>
        <w:t>减少160253.07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公务用车运行维护费。</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2021年本部门（本单位）机关运行经费支出15453175.29元，机关运行经费主要用于开支开支办公费、劳务费、公务用车运行维护费。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减少1636026.6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减少0.96</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eastAsia="zh-CN"/>
        </w:rPr>
        <w:t>委托业务费及办公费和劳务费增加。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eastAsia="仿宋_GB2312"/>
          <w:sz w:val="30"/>
          <w:szCs w:val="30"/>
          <w:lang w:val="en-US" w:eastAsia="zh-CN"/>
        </w:rPr>
        <w:t>13</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13</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年本部门（本单位）政府采购支出合计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元，其中：政府釆购货物支出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元、政府采购工程支出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元、政府釆购服务支出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元。</w:t>
      </w:r>
      <w:bookmarkStart w:id="20" w:name="_GoBack"/>
      <w:bookmarkEnd w:id="20"/>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年度政府性基金预算财政拨款收入28258029.42元，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28258029.42</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其他地方自行试点项目收益专项债券收入安排的支出。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spacing w:line="620" w:lineRule="exact"/>
        <w:ind w:firstLine="640" w:firstLineChars="2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bookmarkStart w:id="18" w:name="bookmark32"/>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根据财政预算绩效管理要求，我部门组织对</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21</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年</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度一般公共预算项目支出开展绩效评价。共涉及资金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7880万</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。共组织对</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县城给排水管网（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2500万元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县城给排水管网（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4880万元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级县城维护及建设费（500万元）3</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个项目开展了重点绩效评价。其中，对</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县城给排水管网（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2500万元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县城给排水管网（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4880万元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级县城维护及建设费（500万元）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项目委托</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甘肃中盛致远会计事务所</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评估有限公司</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第三方机构开展绩效评价。</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第三方机构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对本单位涉及的3个项目</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开展绩效评价</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实际情况，</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县城给排水管网（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2500万元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绩效评价结果为91分，评价级次为优秀；</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县城给排水管网（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4880万元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绩效评价结果为91分，评价级次为优秀；县城维护及建设费（500万元）绩效评价结果为93分，评价级次为优秀；</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spacing w:line="500" w:lineRule="exact"/>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其中</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县城给排水管网（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2500万元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为专项债券资金支出，</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对照《临夏州州级预算绩效评价指标体系》，2021年度东乡族自治县城市管理综合执法局县城给排水管网改扩建工程项目目标明确，管理基本到位，资金使用规范，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但在项目产出方面，项目存在延期情况</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，评价小组评价其绩效综合得分为</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91</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分，评价级次为“优”。</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TE5Y2M3NGVjYWY3NjdlZmQ4ZmZhZWJlZTYzNGIxYjgifQ=="/>
  </w:docVars>
  <w:rsids>
    <w:rsidRoot w:val="00000000"/>
    <w:rsid w:val="0511788F"/>
    <w:rsid w:val="06AA1511"/>
    <w:rsid w:val="0A4C6688"/>
    <w:rsid w:val="1739327C"/>
    <w:rsid w:val="19BA4320"/>
    <w:rsid w:val="1B205130"/>
    <w:rsid w:val="1E712589"/>
    <w:rsid w:val="1F523B54"/>
    <w:rsid w:val="25FD0C5D"/>
    <w:rsid w:val="29C05E6C"/>
    <w:rsid w:val="2BA63978"/>
    <w:rsid w:val="2F990904"/>
    <w:rsid w:val="39F46F0A"/>
    <w:rsid w:val="3ABD5DEE"/>
    <w:rsid w:val="3BD710AD"/>
    <w:rsid w:val="41670196"/>
    <w:rsid w:val="42736B67"/>
    <w:rsid w:val="43D445BB"/>
    <w:rsid w:val="462D194E"/>
    <w:rsid w:val="4A4879CC"/>
    <w:rsid w:val="4B60103E"/>
    <w:rsid w:val="4F1428B3"/>
    <w:rsid w:val="50DE2EB8"/>
    <w:rsid w:val="537062B7"/>
    <w:rsid w:val="57D535F7"/>
    <w:rsid w:val="58806626"/>
    <w:rsid w:val="60D720E0"/>
    <w:rsid w:val="62922058"/>
    <w:rsid w:val="6BDD7403"/>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6416</Words>
  <Characters>7134</Characters>
  <TotalTime>3</TotalTime>
  <ScaleCrop>false</ScaleCrop>
  <LinksUpToDate>false</LinksUpToDate>
  <CharactersWithSpaces>7176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秋天的落叶</cp:lastModifiedBy>
  <cp:lastPrinted>2022-08-31T08:40:00Z</cp:lastPrinted>
  <dcterms:modified xsi:type="dcterms:W3CDTF">2022-09-18T04:22:51Z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6E5D3002CA3240FF9A6BF53119F2D2FE</vt:lpwstr>
  </property>
</Properties>
</file>