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东乡县乡村振兴局</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部门职责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第一条  根据中共临夏州委办公室、临夏州人民政府办公室《关于批转东乡族自治县机构改革方案的通知》（州委办发〔2019〕9号）和中共东乡县委办公室、东乡县人民政府办公室《关于贯彻落实&lt;东乡族自治县机构改革方案&gt;的实施意见》（县委办发〔2019〕13号），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第二条  东乡族自治县乡村振兴局（简称乡村振兴局）是县政府工作部门，为正科级。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第三条  东乡族自治县脱贫攻坚领导小组办公室（简称县脱贫办）设在乡村振兴局，接受县脱贫攻坚领导小组的直接领导，承担县脱贫领导小组具体工作，组织开展扶贫领域重大问题的政策研究，协调督促有关方面落实县脱贫攻坚领导小组决定事项、工作部署和要求等。负责处理县脱贫攻坚领导小组办公室日常事务。乡村振兴局的内设机构根据工作需要承担县脱贫攻坚领导小组办公室相关工作，接受县脱贫攻坚领导小组办公室的统筹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第四条  乡村振兴局是贯彻党中央、国务院、省州及县委关于扶贫开发工作的方针政策和决策部署，在履行职责过程中加强党对扶贫工作的集中统一领导。主要职责是：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（一）认真贯彻执行党中央、国务院和省、州、县党委政府关于扶贫开发工作的方针、政策、措施，当好县委、县人民政府在扶贫开发工作中的参谋助手。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（二）认真贯彻落实中央、省、州和县委、县政府关于精准扶贫精准脱贫工作的政策措施，研究拟定本县脱贫攻坚有关政策，提出本地区相应的实施办法，为县委、县政府决策提供依据。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（三）牵头组织脱贫攻坚的重要会议和重大活动，为扶贫开发工作提供政策、法规等方面的服务。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（四）制定扶贫开发中长期规划，编制扶贫开发年度计划，提出实施规划、计划的具体措施并组织落实；负责协调拨付财政扶贫资金及报账工作。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（五）负责扶贫项目论证、筛选、审查和汇总上报；负责对各项扶贫建设项目进展、资金使用情况跟踪检查。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（六）配合审计、纪检监察部门加强对扶贫资金的落实和使用情况进行审计、监督和检查。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（七）加强对全县扶贫开发的调查研究，及时了解存在的困难和问题，提出有针对性的措施和办法，为县委、县政府决策提供依据。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八）负责制定全县科技扶贫规划、计划；负责全县贫困乡村干部和农民适用技术能手的培训，搞好新技术、新产品和新成果的推广应用，负责搞好全县贫困状况的监测统计，并及时向县委、县政府和上级业务部门通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（九）负责全县社会帮扶工作，加强对扶贫工作的宣传、协调，衔接省州有关部门及全县党政机关帮扶工作。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（十）加强机关党的建设和干部队伍建设，指导全县扶贫、农业综合开发等工作，建立上下一致，运转协调、廉洁高效的扶贫工作机制。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（十二）承办县委、县政府及上级部门交办的其他工作。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第五条  职能调整。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划入原县委农村工作办公室有关脱贫攻坚帮扶工作职责，增加管理全县帮扶工作力量和驻村帮扶工作职责，承担县脱贫帮扶工作协调领导小组办公室日常事务。乡村振兴局在脱贫攻坚帮扶方面的主要职责是：负责全县脱贫攻坚帮扶工作的统筹协调、指导服务和督查考核；负责全县驻村帮扶工作队的督查、考核、培训和表彰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下设股室4个，分别是办公室（信息股）、帮扶办、计划统计股、社会帮扶股；另下属事业单位2个，分别是光伏扶贫工作服务中心及扶贫信息中心。</w:t>
      </w: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hint="eastAsia" w:ascii="仿宋_GB2312" w:hAnsi="黑体" w:eastAsia="仿宋_GB2312"/>
          <w:b/>
          <w:sz w:val="52"/>
          <w:szCs w:val="52"/>
          <w:highlight w:val="none"/>
        </w:rPr>
      </w:pPr>
    </w:p>
    <w:p>
      <w:pPr>
        <w:spacing w:line="640" w:lineRule="exact"/>
        <w:jc w:val="center"/>
        <w:rPr>
          <w:rFonts w:ascii="仿宋_GB2312" w:hAnsi="黑体" w:eastAsia="仿宋_GB2312"/>
          <w:b/>
          <w:sz w:val="44"/>
          <w:szCs w:val="44"/>
          <w:highlight w:val="none"/>
        </w:rPr>
      </w:pPr>
      <w:r>
        <w:rPr>
          <w:rFonts w:hint="eastAsia" w:ascii="仿宋_GB2312" w:hAnsi="黑体" w:eastAsia="仿宋_GB2312"/>
          <w:b/>
          <w:sz w:val="52"/>
          <w:szCs w:val="52"/>
          <w:highlight w:val="none"/>
        </w:rPr>
        <w:t>第二部分  2022年部门预算表格</w:t>
      </w:r>
    </w:p>
    <w:p>
      <w:pPr>
        <w:rPr>
          <w:highlight w:val="none"/>
        </w:rPr>
      </w:pPr>
    </w:p>
    <w:p>
      <w:pPr>
        <w:spacing w:line="640" w:lineRule="exact"/>
        <w:rPr>
          <w:rFonts w:ascii="黑体" w:hAnsi="黑体" w:eastAsia="黑体"/>
          <w:sz w:val="32"/>
          <w:szCs w:val="3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2022年预算收入816121209.4元，比上年预算</w:t>
      </w:r>
      <w:r>
        <w:rPr>
          <w:rFonts w:hint="eastAsia" w:ascii="仿宋_GB2312" w:hAnsi="黑体" w:eastAsia="仿宋_GB2312"/>
          <w:sz w:val="32"/>
          <w:szCs w:val="32"/>
          <w:highlight w:val="none"/>
          <w:lang w:val="en-US" w:eastAsia="zh-CN"/>
        </w:rPr>
        <w:t>增加</w:t>
      </w:r>
      <w:r>
        <w:rPr>
          <w:rFonts w:hint="eastAsia" w:ascii="仿宋_GB2312" w:hAnsi="黑体" w:eastAsia="仿宋_GB2312"/>
          <w:sz w:val="32"/>
          <w:szCs w:val="32"/>
          <w:highlight w:val="none"/>
        </w:rPr>
        <w:t>368960367.4元，其中：一般公共预算财政拨款收入816121209.4元，政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816121209.4</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增加80.64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财政衔接推进乡村振兴补助资金增加。</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82414.68</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82414.68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增加71.16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主要原因是人员变动。</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667558.91元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增加16.16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主要原因是人员变动。</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黑体" w:eastAsia="仿宋_GB2312"/>
          <w:sz w:val="32"/>
          <w:szCs w:val="32"/>
          <w:highlight w:val="none"/>
        </w:rPr>
        <w:t>卫生健康支出274759.71</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主要原因是卫生健康支出列入单位预算。</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lang w:val="en-US" w:eastAsia="zh-CN"/>
        </w:rPr>
        <w:t>农林水支出814601988.00元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增加86.56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财政衔接推进乡村振兴补助资金增加。</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lang w:val="en-US" w:eastAsia="zh-CN"/>
        </w:rPr>
        <w:t>住房保障支出494488.08元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主要原因是住房保障支出列入单位预算。</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numPr>
          <w:ilvl w:val="0"/>
          <w:numId w:val="1"/>
        </w:numPr>
        <w:spacing w:line="640" w:lineRule="exact"/>
        <w:ind w:left="0" w:leftChars="0" w:firstLine="420" w:firstLineChars="0"/>
        <w:rPr>
          <w:rFonts w:ascii="仿宋_GB2312" w:hAnsi="黑体" w:eastAsia="仿宋_GB2312"/>
          <w:sz w:val="32"/>
          <w:szCs w:val="32"/>
          <w:highlight w:val="none"/>
        </w:rPr>
      </w:pPr>
      <w:r>
        <w:rPr>
          <w:rFonts w:hint="eastAsia" w:ascii="楷体_GB2312" w:hAnsi="黑体" w:eastAsia="楷体_GB2312"/>
          <w:b/>
          <w:sz w:val="32"/>
          <w:szCs w:val="32"/>
          <w:highlight w:val="none"/>
        </w:rPr>
        <w:t>一般公共服务支出</w:t>
      </w:r>
      <w:r>
        <w:rPr>
          <w:rFonts w:hint="eastAsia" w:ascii="楷体_GB2312" w:hAnsi="黑体" w:eastAsia="楷体_GB2312"/>
          <w:b/>
          <w:sz w:val="32"/>
          <w:szCs w:val="32"/>
          <w:highlight w:val="none"/>
          <w:lang w:eastAsia="zh-CN"/>
        </w:rPr>
        <w:t>（类）</w:t>
      </w:r>
      <w:r>
        <w:rPr>
          <w:rFonts w:hint="eastAsia" w:ascii="仿宋_GB2312" w:hAnsi="黑体" w:eastAsia="仿宋_GB2312"/>
          <w:sz w:val="32"/>
          <w:szCs w:val="32"/>
          <w:highlight w:val="none"/>
        </w:rPr>
        <w:t>2022年预算支出82414.68元，比上年预算数</w:t>
      </w:r>
      <w:r>
        <w:rPr>
          <w:rFonts w:hint="eastAsia" w:ascii="仿宋_GB2312" w:hAnsi="宋体" w:eastAsia="仿宋_GB2312"/>
          <w:sz w:val="32"/>
          <w:szCs w:val="32"/>
          <w:highlight w:val="none"/>
          <w:lang w:val="en-US" w:eastAsia="zh-CN"/>
        </w:rPr>
        <w:t>增加71.16</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主要原因是人员变动。</w:t>
      </w:r>
    </w:p>
    <w:p>
      <w:pPr>
        <w:numPr>
          <w:numId w:val="0"/>
        </w:numPr>
        <w:spacing w:line="640" w:lineRule="exact"/>
        <w:ind w:left="420" w:leftChars="0" w:firstLine="321" w:firstLineChars="100"/>
        <w:rPr>
          <w:rFonts w:ascii="仿宋_GB2312" w:hAnsi="黑体" w:eastAsia="仿宋_GB2312"/>
          <w:sz w:val="32"/>
          <w:szCs w:val="32"/>
          <w:highlight w:val="none"/>
        </w:rPr>
      </w:pPr>
      <w:r>
        <w:rPr>
          <w:rFonts w:hint="eastAsia" w:ascii="仿宋_GB2312" w:hAnsi="宋体" w:eastAsia="仿宋_GB2312"/>
          <w:b/>
          <w:bCs/>
          <w:sz w:val="32"/>
          <w:szCs w:val="32"/>
          <w:highlight w:val="none"/>
          <w:lang w:eastAsia="zh-CN"/>
        </w:rPr>
        <w:t>群众团体事务支出（款）</w:t>
      </w:r>
      <w:r>
        <w:rPr>
          <w:rFonts w:hint="eastAsia" w:ascii="仿宋_GB2312" w:hAnsi="宋体" w:eastAsia="仿宋_GB2312"/>
          <w:sz w:val="32"/>
          <w:szCs w:val="32"/>
          <w:highlight w:val="none"/>
          <w:lang w:val="en-US" w:eastAsia="zh-CN"/>
        </w:rPr>
        <w:t>82414.68</w:t>
      </w:r>
      <w:r>
        <w:rPr>
          <w:rFonts w:hint="eastAsia" w:ascii="仿宋_GB2312" w:hAnsi="宋体" w:eastAsia="仿宋_GB2312"/>
          <w:sz w:val="32"/>
          <w:szCs w:val="32"/>
          <w:highlight w:val="none"/>
          <w:lang w:eastAsia="zh-CN"/>
        </w:rPr>
        <w:t>元，其中：工会事务支出</w:t>
      </w:r>
      <w:r>
        <w:rPr>
          <w:rFonts w:hint="eastAsia" w:ascii="仿宋_GB2312" w:hAnsi="黑体" w:eastAsia="仿宋_GB2312"/>
          <w:sz w:val="32"/>
          <w:szCs w:val="32"/>
          <w:highlight w:val="none"/>
        </w:rPr>
        <w:t>82414.68元，比上年预算数</w:t>
      </w:r>
      <w:r>
        <w:rPr>
          <w:rFonts w:hint="eastAsia" w:ascii="仿宋_GB2312" w:hAnsi="宋体" w:eastAsia="仿宋_GB2312"/>
          <w:sz w:val="32"/>
          <w:szCs w:val="32"/>
          <w:highlight w:val="none"/>
          <w:lang w:val="en-US" w:eastAsia="zh-CN"/>
        </w:rPr>
        <w:t>增加71.16</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主要原因是人员变动。</w:t>
      </w:r>
    </w:p>
    <w:p>
      <w:pPr>
        <w:numPr>
          <w:ilvl w:val="0"/>
          <w:numId w:val="1"/>
        </w:numPr>
        <w:spacing w:line="640" w:lineRule="exact"/>
        <w:ind w:left="0" w:leftChars="0" w:firstLine="420" w:firstLineChars="0"/>
        <w:rPr>
          <w:rFonts w:hint="eastAsia" w:ascii="仿宋_GB2312" w:hAnsi="宋体" w:eastAsia="仿宋_GB2312"/>
          <w:sz w:val="32"/>
          <w:szCs w:val="32"/>
          <w:highlight w:val="none"/>
        </w:rPr>
      </w:pPr>
      <w:r>
        <w:rPr>
          <w:rFonts w:hint="eastAsia" w:ascii="仿宋_GB2312" w:hAnsi="黑体" w:eastAsia="仿宋_GB2312"/>
          <w:b/>
          <w:sz w:val="32"/>
          <w:szCs w:val="32"/>
          <w:highlight w:val="none"/>
        </w:rPr>
        <w:t>社会保障和就业支出</w:t>
      </w:r>
      <w:r>
        <w:rPr>
          <w:rFonts w:hint="eastAsia" w:ascii="仿宋_GB2312" w:hAnsi="黑体" w:eastAsia="仿宋_GB2312"/>
          <w:sz w:val="32"/>
          <w:szCs w:val="32"/>
          <w:highlight w:val="none"/>
        </w:rPr>
        <w:t>2022年预算支出667558.91元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增加16.16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，主要原因是人员变动。</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 </w:t>
      </w:r>
      <w:r>
        <w:rPr>
          <w:rFonts w:hint="eastAsia" w:ascii="仿宋_GB2312" w:hAnsi="黑体" w:eastAsia="仿宋_GB2312"/>
          <w:b/>
          <w:bCs/>
          <w:sz w:val="32"/>
          <w:szCs w:val="32"/>
          <w:highlight w:val="none"/>
          <w:lang w:val="en-US" w:eastAsia="zh-CN"/>
        </w:rPr>
        <w:t>机关事业单位基本养老保险缴费支出</w:t>
      </w:r>
      <w:r>
        <w:rPr>
          <w:rFonts w:hint="eastAsia" w:ascii="仿宋_GB2312" w:hAnsi="黑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659317.44元，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14.7%，主要原因人员变动；</w:t>
      </w:r>
    </w:p>
    <w:p>
      <w:pPr>
        <w:spacing w:line="640" w:lineRule="exact"/>
        <w:ind w:firstLine="643" w:firstLineChars="200"/>
        <w:rPr>
          <w:rFonts w:hint="default" w:ascii="仿宋_GB2312" w:hAnsi="宋体" w:eastAsia="仿宋_GB2312"/>
          <w:sz w:val="32"/>
          <w:szCs w:val="32"/>
          <w:highlight w:val="none"/>
          <w:lang w:val="en-US"/>
        </w:rPr>
      </w:pPr>
      <w:r>
        <w:rPr>
          <w:rFonts w:hint="eastAsia" w:ascii="仿宋_GB2312" w:hAnsi="黑体" w:eastAsia="仿宋_GB2312"/>
          <w:b/>
          <w:bCs/>
          <w:sz w:val="32"/>
          <w:szCs w:val="32"/>
          <w:highlight w:val="none"/>
          <w:lang w:val="en-US" w:eastAsia="zh-CN"/>
        </w:rPr>
        <w:t>财政对其他社会保险基金的补助支出</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val="en-US" w:eastAsia="zh-CN"/>
        </w:rPr>
        <w:t>3801.22元，其中：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sz w:val="32"/>
          <w:szCs w:val="32"/>
          <w:highlight w:val="none"/>
          <w:lang w:val="en-US" w:eastAsia="zh-CN"/>
        </w:rPr>
        <w:tab/>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highlight w:val="none"/>
          <w:lang w:val="en-US" w:eastAsia="zh-CN"/>
        </w:rPr>
        <w:t>8241.47元，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numPr>
          <w:ilvl w:val="0"/>
          <w:numId w:val="1"/>
        </w:numPr>
        <w:spacing w:line="640" w:lineRule="exact"/>
        <w:ind w:left="0" w:leftChars="0" w:firstLine="420" w:firstLineChars="0"/>
        <w:rPr>
          <w:rFonts w:hint="eastAsia" w:ascii="仿宋_GB2312" w:hAnsi="宋体" w:eastAsia="仿宋_GB2312"/>
          <w:sz w:val="32"/>
          <w:szCs w:val="32"/>
          <w:highlight w:val="none"/>
        </w:rPr>
      </w:pPr>
      <w:r>
        <w:rPr>
          <w:rFonts w:hint="eastAsia" w:ascii="仿宋_GB2312" w:hAnsi="黑体" w:eastAsia="仿宋_GB2312"/>
          <w:b/>
          <w:bCs/>
          <w:sz w:val="32"/>
          <w:szCs w:val="32"/>
          <w:highlight w:val="none"/>
        </w:rPr>
        <w:t>卫生健康支出</w:t>
      </w:r>
      <w:r>
        <w:rPr>
          <w:rFonts w:hint="eastAsia" w:ascii="仿宋_GB2312" w:hAnsi="黑体" w:eastAsia="仿宋_GB2312"/>
          <w:sz w:val="32"/>
          <w:szCs w:val="32"/>
          <w:highlight w:val="none"/>
        </w:rPr>
        <w:t>2022年预算支出274759.71</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主要原因是上年度未列入预算。</w:t>
      </w:r>
    </w:p>
    <w:p>
      <w:pPr>
        <w:numPr>
          <w:numId w:val="0"/>
        </w:numPr>
        <w:spacing w:line="640" w:lineRule="exact"/>
        <w:ind w:left="420" w:leftChars="0"/>
        <w:rPr>
          <w:rFonts w:hint="default" w:ascii="仿宋_GB2312" w:hAnsi="宋体" w:eastAsia="仿宋_GB2312"/>
          <w:sz w:val="32"/>
          <w:szCs w:val="32"/>
          <w:highlight w:val="none"/>
          <w:lang w:val="en-US"/>
        </w:rPr>
      </w:pPr>
      <w:r>
        <w:rPr>
          <w:rFonts w:hint="eastAsia" w:ascii="仿宋_GB2312" w:hAnsi="宋体" w:eastAsia="仿宋_GB2312"/>
          <w:sz w:val="32"/>
          <w:szCs w:val="32"/>
          <w:highlight w:val="none"/>
          <w:lang w:val="en-US" w:eastAsia="zh-CN"/>
        </w:rPr>
        <w:t xml:space="preserve"> </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eastAsia="zh-CN"/>
        </w:rPr>
        <w:t>274759.71元，其中：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支出274759.71元，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numPr>
          <w:ilvl w:val="0"/>
          <w:numId w:val="1"/>
        </w:numPr>
        <w:spacing w:line="640" w:lineRule="exact"/>
        <w:ind w:left="0" w:leftChars="0" w:firstLine="420" w:firstLineChars="0"/>
        <w:rPr>
          <w:rFonts w:hint="eastAsia" w:ascii="仿宋_GB2312" w:hAnsi="宋体" w:eastAsia="仿宋_GB2312"/>
          <w:sz w:val="32"/>
          <w:szCs w:val="32"/>
          <w:highlight w:val="none"/>
        </w:rPr>
      </w:pPr>
      <w:r>
        <w:rPr>
          <w:rFonts w:hint="eastAsia" w:ascii="仿宋_GB2312" w:hAnsi="黑体" w:eastAsia="仿宋_GB2312"/>
          <w:b/>
          <w:bCs/>
          <w:sz w:val="32"/>
          <w:szCs w:val="32"/>
          <w:highlight w:val="none"/>
          <w:lang w:val="en-US" w:eastAsia="zh-CN"/>
        </w:rPr>
        <w:t>农林水支出</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814601988.00元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增加86.56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w:t>
      </w:r>
      <w:r>
        <w:rPr>
          <w:rFonts w:hint="eastAsia" w:ascii="仿宋_GB2312" w:hAnsi="宋体" w:eastAsia="仿宋_GB2312"/>
          <w:sz w:val="32"/>
          <w:szCs w:val="32"/>
          <w:highlight w:val="none"/>
          <w:lang w:val="en-US" w:eastAsia="zh-CN"/>
        </w:rPr>
        <w:t>财政衔接推进乡村振兴补助资金增加。</w:t>
      </w:r>
    </w:p>
    <w:p>
      <w:pPr>
        <w:numPr>
          <w:numId w:val="0"/>
        </w:numPr>
        <w:spacing w:line="640" w:lineRule="exact"/>
        <w:ind w:left="420" w:leftChars="0"/>
        <w:rPr>
          <w:rFonts w:hint="eastAsia" w:ascii="仿宋_GB2312" w:hAnsi="宋体" w:eastAsia="仿宋_GB2312"/>
          <w:b w:val="0"/>
          <w:bCs w:val="0"/>
          <w:sz w:val="32"/>
          <w:szCs w:val="32"/>
          <w:highlight w:val="none"/>
          <w:lang w:eastAsia="zh-CN"/>
        </w:rPr>
      </w:pPr>
      <w:r>
        <w:rPr>
          <w:rFonts w:hint="eastAsia" w:ascii="仿宋_GB2312" w:hAnsi="宋体" w:eastAsia="仿宋_GB2312"/>
          <w:b/>
          <w:bCs/>
          <w:sz w:val="32"/>
          <w:szCs w:val="32"/>
          <w:highlight w:val="none"/>
        </w:rPr>
        <w:t>巩固脱贫衔接乡村振兴</w:t>
      </w:r>
      <w:r>
        <w:rPr>
          <w:rFonts w:hint="eastAsia" w:ascii="仿宋_GB2312" w:hAnsi="宋体" w:eastAsia="仿宋_GB2312"/>
          <w:b/>
          <w:bCs/>
          <w:sz w:val="32"/>
          <w:szCs w:val="32"/>
          <w:highlight w:val="none"/>
          <w:lang w:eastAsia="zh-CN"/>
        </w:rPr>
        <w:t>（款）</w:t>
      </w:r>
      <w:r>
        <w:rPr>
          <w:rFonts w:hint="eastAsia" w:ascii="仿宋_GB2312" w:hAnsi="宋体" w:eastAsia="仿宋_GB2312"/>
          <w:b w:val="0"/>
          <w:bCs w:val="0"/>
          <w:sz w:val="32"/>
          <w:szCs w:val="32"/>
          <w:highlight w:val="none"/>
          <w:lang w:eastAsia="zh-CN"/>
        </w:rPr>
        <w:t>814601988.00元，</w:t>
      </w:r>
      <w:r>
        <w:rPr>
          <w:rFonts w:hint="eastAsia" w:ascii="仿宋_GB2312" w:hAnsi="宋体" w:eastAsia="仿宋_GB2312"/>
          <w:sz w:val="32"/>
          <w:szCs w:val="32"/>
          <w:highlight w:val="none"/>
          <w:lang w:val="en-US" w:eastAsia="zh-CN"/>
        </w:rPr>
        <w:t>其中：行政运行7792988.00元、其他巩固脱贫衔接乡村振兴支出806809000.00元。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增加86.56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财政衔接推进乡村振兴补助资金增加。</w:t>
      </w:r>
    </w:p>
    <w:p>
      <w:pPr>
        <w:numPr>
          <w:ilvl w:val="0"/>
          <w:numId w:val="1"/>
        </w:numPr>
        <w:spacing w:line="640" w:lineRule="exact"/>
        <w:ind w:left="0" w:leftChars="0" w:firstLine="420" w:firstLineChars="0"/>
        <w:rPr>
          <w:rFonts w:hint="eastAsia" w:ascii="仿宋_GB2312" w:hAnsi="宋体" w:eastAsia="仿宋_GB2312"/>
          <w:sz w:val="32"/>
          <w:szCs w:val="32"/>
          <w:highlight w:val="none"/>
        </w:rPr>
      </w:pPr>
      <w:r>
        <w:rPr>
          <w:rFonts w:hint="eastAsia" w:ascii="仿宋_GB2312" w:hAnsi="黑体" w:eastAsia="仿宋_GB2312"/>
          <w:b/>
          <w:bCs/>
          <w:sz w:val="32"/>
          <w:szCs w:val="32"/>
          <w:highlight w:val="none"/>
          <w:lang w:val="en-US" w:eastAsia="zh-CN"/>
        </w:rPr>
        <w:t>住房保障支出</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494488.08元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主要原因是上年度未列入预算。</w:t>
      </w:r>
    </w:p>
    <w:p>
      <w:pPr>
        <w:numPr>
          <w:numId w:val="0"/>
        </w:numPr>
        <w:spacing w:line="640" w:lineRule="exact"/>
        <w:ind w:left="420" w:leftChars="0"/>
        <w:rPr>
          <w:rFonts w:hint="default" w:ascii="仿宋_GB2312" w:hAnsi="宋体" w:eastAsia="仿宋_GB2312"/>
          <w:b/>
          <w:bCs/>
          <w:sz w:val="32"/>
          <w:szCs w:val="32"/>
          <w:highlight w:val="none"/>
          <w:lang w:val="en-US"/>
        </w:rPr>
      </w:pPr>
      <w:r>
        <w:rPr>
          <w:rFonts w:hint="eastAsia" w:ascii="仿宋_GB2312" w:hAnsi="宋体" w:eastAsia="仿宋_GB2312"/>
          <w:b/>
          <w:bCs/>
          <w:sz w:val="32"/>
          <w:szCs w:val="32"/>
          <w:highlight w:val="none"/>
          <w:lang w:val="en-US" w:eastAsia="zh-CN"/>
        </w:rPr>
        <w:t xml:space="preserve"> 住房公积金（款）</w:t>
      </w:r>
      <w:r>
        <w:rPr>
          <w:rFonts w:hint="eastAsia" w:ascii="仿宋_GB2312" w:hAnsi="黑体" w:eastAsia="仿宋_GB2312"/>
          <w:sz w:val="32"/>
          <w:szCs w:val="32"/>
          <w:highlight w:val="none"/>
          <w:lang w:val="en-US" w:eastAsia="zh-CN"/>
        </w:rPr>
        <w:t>494488.08元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主要原因是上年度未列入预算。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keepNext w:val="0"/>
        <w:keepLines w:val="0"/>
        <w:widowControl/>
        <w:suppressLineNumbers w:val="0"/>
        <w:ind w:firstLine="640" w:firstLineChars="200"/>
        <w:jc w:val="left"/>
        <w:rPr>
          <w:b w:val="0"/>
          <w:bCs w:val="0"/>
          <w:highlight w:val="none"/>
        </w:rPr>
      </w:pPr>
      <w:r>
        <w:rPr>
          <w:rFonts w:hint="eastAsia" w:ascii="仿宋_GB2312" w:hAnsi="黑体" w:eastAsia="仿宋_GB2312"/>
          <w:b w:val="0"/>
          <w:bCs w:val="0"/>
          <w:sz w:val="32"/>
          <w:szCs w:val="32"/>
          <w:highlight w:val="none"/>
        </w:rPr>
        <w:t>2022年一般公共预算基本支出7350109.38元，</w:t>
      </w:r>
      <w:r>
        <w:rPr>
          <w:rFonts w:hint="eastAsia" w:ascii="仿宋_GB2312" w:hAnsi="黑体" w:eastAsia="仿宋_GB2312"/>
          <w:b w:val="0"/>
          <w:bCs w:val="0"/>
          <w:sz w:val="32"/>
          <w:szCs w:val="32"/>
          <w:highlight w:val="none"/>
          <w:lang w:eastAsia="zh-CN"/>
        </w:rPr>
        <w:t>增加</w:t>
      </w:r>
      <w:r>
        <w:rPr>
          <w:rFonts w:hint="eastAsia" w:ascii="仿宋_GB2312" w:hAnsi="黑体" w:eastAsia="仿宋_GB2312"/>
          <w:b w:val="0"/>
          <w:bCs w:val="0"/>
          <w:sz w:val="32"/>
          <w:szCs w:val="32"/>
          <w:highlight w:val="none"/>
          <w:lang w:val="en-US" w:eastAsia="zh-CN"/>
        </w:rPr>
        <w:t>2105669.38元。</w:t>
      </w:r>
      <w:r>
        <w:rPr>
          <w:rFonts w:hint="eastAsia" w:ascii="仿宋_GB2312" w:hAnsi="黑体" w:eastAsia="仿宋_GB2312"/>
          <w:b w:val="0"/>
          <w:bCs w:val="0"/>
          <w:sz w:val="32"/>
          <w:szCs w:val="32"/>
          <w:highlight w:val="none"/>
        </w:rPr>
        <w:t>其中：人员经费2105669.38元</w:t>
      </w:r>
      <w:r>
        <w:rPr>
          <w:rFonts w:hint="eastAsia" w:ascii="仿宋_GB2312" w:hAnsi="黑体" w:eastAsia="仿宋_GB2312"/>
          <w:b w:val="0"/>
          <w:bCs w:val="0"/>
          <w:sz w:val="32"/>
          <w:szCs w:val="32"/>
          <w:highlight w:val="none"/>
          <w:lang w:eastAsia="zh-CN"/>
        </w:rPr>
        <w:t>，</w:t>
      </w:r>
      <w:r>
        <w:rPr>
          <w:rFonts w:ascii="仿宋" w:hAnsi="仿宋" w:eastAsia="仿宋" w:cs="仿宋"/>
          <w:b w:val="0"/>
          <w:bCs w:val="0"/>
          <w:color w:val="000000"/>
          <w:kern w:val="0"/>
          <w:sz w:val="30"/>
          <w:szCs w:val="30"/>
          <w:lang w:val="en-US" w:eastAsia="zh-CN" w:bidi="ar"/>
        </w:rPr>
        <w:t>单位运转经费</w:t>
      </w:r>
      <w:r>
        <w:rPr>
          <w:rFonts w:hint="eastAsia" w:ascii="仿宋" w:hAnsi="仿宋" w:eastAsia="仿宋" w:cs="仿宋"/>
          <w:b w:val="0"/>
          <w:bCs w:val="0"/>
          <w:color w:val="000000"/>
          <w:kern w:val="0"/>
          <w:sz w:val="30"/>
          <w:szCs w:val="30"/>
          <w:lang w:val="en-US" w:eastAsia="zh-CN" w:bidi="ar"/>
        </w:rPr>
        <w:t>364000.00元</w:t>
      </w:r>
      <w:r>
        <w:rPr>
          <w:rFonts w:hint="eastAsia" w:ascii="仿宋_GB2312" w:hAnsi="黑体" w:eastAsia="仿宋_GB2312"/>
          <w:b w:val="0"/>
          <w:bCs w:val="0"/>
          <w:sz w:val="32"/>
          <w:szCs w:val="32"/>
          <w:highlight w:val="none"/>
        </w:rPr>
        <w:t>，比上年预算数</w:t>
      </w:r>
      <w:r>
        <w:rPr>
          <w:rFonts w:hint="eastAsia" w:ascii="仿宋_GB2312" w:hAnsi="宋体" w:eastAsia="仿宋_GB2312"/>
          <w:b w:val="0"/>
          <w:bCs w:val="0"/>
          <w:sz w:val="32"/>
          <w:szCs w:val="32"/>
          <w:highlight w:val="none"/>
          <w:lang w:val="en-US" w:eastAsia="zh-CN"/>
        </w:rPr>
        <w:t>增加40.15</w:t>
      </w:r>
      <w:r>
        <w:rPr>
          <w:rFonts w:hint="eastAsia" w:ascii="仿宋_GB2312" w:hAnsi="宋体" w:eastAsia="仿宋_GB2312"/>
          <w:b w:val="0"/>
          <w:bCs w:val="0"/>
          <w:sz w:val="32"/>
          <w:szCs w:val="32"/>
          <w:highlight w:val="none"/>
        </w:rPr>
        <w:t>%</w:t>
      </w:r>
      <w:r>
        <w:rPr>
          <w:rFonts w:hint="eastAsia" w:ascii="仿宋_GB2312" w:hAnsi="黑体" w:eastAsia="仿宋_GB2312"/>
          <w:b w:val="0"/>
          <w:bCs w:val="0"/>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364000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元。政府采购预算33327094.24元，比上年预算数增加</w:t>
      </w:r>
      <w:r>
        <w:rPr>
          <w:rFonts w:hint="eastAsia" w:ascii="仿宋_GB2312" w:hAnsi="黑体" w:eastAsia="仿宋_GB2312"/>
          <w:sz w:val="32"/>
          <w:szCs w:val="32"/>
          <w:highlight w:val="none"/>
          <w:lang w:val="en-US" w:eastAsia="zh-CN"/>
        </w:rPr>
        <w:t>33187.094.24</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23705.07</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印刷品采购增加</w:t>
      </w:r>
      <w:r>
        <w:rPr>
          <w:rFonts w:hint="eastAsia" w:ascii="仿宋_GB2312" w:hAnsi="黑体" w:eastAsia="仿宋_GB2312"/>
          <w:sz w:val="32"/>
          <w:szCs w:val="32"/>
          <w:highlight w:val="none"/>
        </w:rPr>
        <w:t>，其中：政府采购货物预算31027094.24元，政府采购服务预算2300000元。</w:t>
      </w:r>
      <w:bookmarkStart w:id="0" w:name="_GoBack"/>
      <w:bookmarkEnd w:id="0"/>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3D2DC"/>
    <w:multiLevelType w:val="singleLevel"/>
    <w:tmpl w:val="B043D2DC"/>
    <w:lvl w:ilvl="0" w:tentative="0">
      <w:start w:val="1"/>
      <w:numFmt w:val="chineseCounting"/>
      <w:suff w:val="nothing"/>
      <w:lvlText w:val="（%1）"/>
      <w:lvlJc w:val="left"/>
      <w:pPr>
        <w:ind w:left="0" w:firstLine="42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zIwMTczZmFmZDZkOWRmOTA3YjYwZjIwNDBjMzg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7961C6"/>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06E4953"/>
    <w:rsid w:val="31352995"/>
    <w:rsid w:val="32A96D1A"/>
    <w:rsid w:val="34032DB0"/>
    <w:rsid w:val="34B82D6F"/>
    <w:rsid w:val="373703E1"/>
    <w:rsid w:val="37580FE7"/>
    <w:rsid w:val="396616D2"/>
    <w:rsid w:val="39A71DAE"/>
    <w:rsid w:val="3D8C4411"/>
    <w:rsid w:val="40465DD0"/>
    <w:rsid w:val="40CC1D5D"/>
    <w:rsid w:val="416268DB"/>
    <w:rsid w:val="423E1FD9"/>
    <w:rsid w:val="452F6292"/>
    <w:rsid w:val="47AF499B"/>
    <w:rsid w:val="484D612A"/>
    <w:rsid w:val="48A9072C"/>
    <w:rsid w:val="4B290535"/>
    <w:rsid w:val="4D903B41"/>
    <w:rsid w:val="4DA8126D"/>
    <w:rsid w:val="4DD72226"/>
    <w:rsid w:val="4EA300AE"/>
    <w:rsid w:val="50622DD8"/>
    <w:rsid w:val="508B62C7"/>
    <w:rsid w:val="51C77E42"/>
    <w:rsid w:val="54B1376D"/>
    <w:rsid w:val="56311F34"/>
    <w:rsid w:val="564548F7"/>
    <w:rsid w:val="565305B1"/>
    <w:rsid w:val="56C73340"/>
    <w:rsid w:val="59441D15"/>
    <w:rsid w:val="5A3206F2"/>
    <w:rsid w:val="5BE650B6"/>
    <w:rsid w:val="61EF1B1B"/>
    <w:rsid w:val="621A3658"/>
    <w:rsid w:val="62B62979"/>
    <w:rsid w:val="64252B6E"/>
    <w:rsid w:val="651520BC"/>
    <w:rsid w:val="661A6258"/>
    <w:rsid w:val="6A136FDE"/>
    <w:rsid w:val="6A752B54"/>
    <w:rsid w:val="6EA6456E"/>
    <w:rsid w:val="74517818"/>
    <w:rsid w:val="75840CDB"/>
    <w:rsid w:val="75FA50B5"/>
    <w:rsid w:val="77781E83"/>
    <w:rsid w:val="77915102"/>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3602</Words>
  <Characters>4066</Characters>
  <Lines>16</Lines>
  <Paragraphs>4</Paragraphs>
  <TotalTime>1</TotalTime>
  <ScaleCrop>false</ScaleCrop>
  <LinksUpToDate>false</LinksUpToDate>
  <CharactersWithSpaces>4128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Really</cp:lastModifiedBy>
  <cp:lastPrinted>2022-04-13T10:13:00Z</cp:lastPrinted>
  <dcterms:modified xsi:type="dcterms:W3CDTF">2023-06-08T08:01:47Z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655655E3C90F4677BEC36B1F7DE9BB42_13</vt:lpwstr>
  </property>
</Properties>
</file>