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val="en-US" w:eastAsia="zh-CN"/>
        </w:rPr>
        <w:t>东乡族自治县汪集学校</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00" w:firstLineChars="200"/>
        <w:jc w:val="left"/>
        <w:textAlignment w:val="auto"/>
        <w:rPr>
          <w:rFonts w:hint="eastAsia" w:ascii="仿宋_GB2312" w:hAnsi="仿宋_GB2312" w:eastAsia="仿宋_GB2312" w:cs="仿宋_GB2312"/>
          <w:b/>
          <w:bCs/>
          <w:color w:val="000000"/>
          <w:spacing w:val="0"/>
          <w:w w:val="100"/>
          <w:position w:val="0"/>
          <w:sz w:val="32"/>
          <w:szCs w:val="32"/>
          <w:highlight w:val="none"/>
        </w:rPr>
      </w:pPr>
      <w:r>
        <w:rPr>
          <w:rFonts w:hint="eastAsia" w:ascii="仿宋" w:hAnsi="仿宋" w:eastAsia="仿宋" w:cs="仿宋"/>
          <w:b w:val="0"/>
          <w:i w:val="0"/>
          <w:caps w:val="0"/>
          <w:color w:val="333333"/>
          <w:spacing w:val="0"/>
          <w:kern w:val="0"/>
          <w:sz w:val="30"/>
          <w:szCs w:val="30"/>
          <w:highlight w:val="none"/>
          <w:shd w:val="clear" w:fill="FFFFFF"/>
          <w:lang w:val="en-US" w:eastAsia="zh-CN" w:bidi="ar"/>
        </w:rPr>
        <w:t>1、宣传贯彻执行党和国家的教育方针、政策、法律法规等，坚持依法治教、依法治学，贯彻执行县教育局的行政规章制度。</w:t>
      </w:r>
      <w:r>
        <w:rPr>
          <w:rFonts w:hint="eastAsia" w:ascii="仿宋" w:hAnsi="仿宋" w:eastAsia="仿宋" w:cs="仿宋"/>
          <w:b w:val="0"/>
          <w:i w:val="0"/>
          <w:caps w:val="0"/>
          <w:color w:val="333333"/>
          <w:spacing w:val="0"/>
          <w:kern w:val="0"/>
          <w:sz w:val="30"/>
          <w:szCs w:val="30"/>
          <w:highlight w:val="none"/>
          <w:shd w:val="clear" w:fill="FFFFFF"/>
          <w:lang w:val="en-US" w:eastAsia="zh-CN" w:bidi="ar"/>
        </w:rPr>
        <w:br w:type="textWrapping"/>
      </w:r>
      <w:r>
        <w:rPr>
          <w:rFonts w:hint="eastAsia" w:ascii="仿宋" w:hAnsi="仿宋" w:eastAsia="仿宋" w:cs="仿宋"/>
          <w:b w:val="0"/>
          <w:i w:val="0"/>
          <w:caps w:val="0"/>
          <w:color w:val="333333"/>
          <w:spacing w:val="0"/>
          <w:kern w:val="0"/>
          <w:sz w:val="30"/>
          <w:szCs w:val="30"/>
          <w:highlight w:val="none"/>
          <w:shd w:val="clear" w:fill="FFFFFF"/>
          <w:lang w:val="en-US" w:eastAsia="zh-CN" w:bidi="ar"/>
        </w:rPr>
        <w:t>       2、配合县、乡人民政府制定符合党的教育方针和国家教育法律法规以及本校实际的教育发展规划和学校布局调整规划,并抓好组织实施和落实工作。</w:t>
      </w:r>
      <w:r>
        <w:rPr>
          <w:rFonts w:hint="eastAsia" w:ascii="仿宋" w:hAnsi="仿宋" w:eastAsia="仿宋" w:cs="仿宋"/>
          <w:b w:val="0"/>
          <w:i w:val="0"/>
          <w:caps w:val="0"/>
          <w:color w:val="333333"/>
          <w:spacing w:val="0"/>
          <w:kern w:val="0"/>
          <w:sz w:val="30"/>
          <w:szCs w:val="30"/>
          <w:highlight w:val="none"/>
          <w:shd w:val="clear" w:fill="FFFFFF"/>
          <w:lang w:val="en-US" w:eastAsia="zh-CN" w:bidi="ar"/>
        </w:rPr>
        <w:br w:type="textWrapping"/>
      </w:r>
      <w:r>
        <w:rPr>
          <w:rFonts w:hint="eastAsia" w:ascii="仿宋" w:hAnsi="仿宋" w:eastAsia="仿宋" w:cs="仿宋"/>
          <w:b w:val="0"/>
          <w:i w:val="0"/>
          <w:caps w:val="0"/>
          <w:color w:val="333333"/>
          <w:spacing w:val="0"/>
          <w:kern w:val="0"/>
          <w:sz w:val="30"/>
          <w:szCs w:val="30"/>
          <w:highlight w:val="none"/>
          <w:shd w:val="clear" w:fill="FFFFFF"/>
          <w:lang w:val="en-US" w:eastAsia="zh-CN" w:bidi="ar"/>
        </w:rPr>
        <w:t>       3、配合各级人民政府依法动员、组织适龄儿童少年入学，严格控制辍学。负责抓所在镇的成人教育工作，抓好扫盲和巩固工作，推进普及义务教育。</w:t>
      </w:r>
      <w:r>
        <w:rPr>
          <w:rFonts w:hint="eastAsia" w:ascii="仿宋" w:hAnsi="仿宋" w:eastAsia="仿宋" w:cs="仿宋"/>
          <w:b w:val="0"/>
          <w:i w:val="0"/>
          <w:caps w:val="0"/>
          <w:color w:val="333333"/>
          <w:spacing w:val="0"/>
          <w:kern w:val="0"/>
          <w:sz w:val="30"/>
          <w:szCs w:val="30"/>
          <w:highlight w:val="none"/>
          <w:shd w:val="clear" w:fill="FFFFFF"/>
          <w:lang w:val="en-US" w:eastAsia="zh-CN" w:bidi="ar"/>
        </w:rPr>
        <w:br w:type="textWrapping"/>
      </w:r>
      <w:r>
        <w:rPr>
          <w:rFonts w:hint="eastAsia" w:ascii="仿宋" w:hAnsi="仿宋" w:eastAsia="仿宋" w:cs="仿宋"/>
          <w:b w:val="0"/>
          <w:i w:val="0"/>
          <w:caps w:val="0"/>
          <w:color w:val="333333"/>
          <w:spacing w:val="0"/>
          <w:kern w:val="0"/>
          <w:sz w:val="30"/>
          <w:szCs w:val="30"/>
          <w:highlight w:val="none"/>
          <w:shd w:val="clear" w:fill="FFFFFF"/>
          <w:lang w:val="en-US" w:eastAsia="zh-CN" w:bidi="ar"/>
        </w:rPr>
        <w:t>       4、组织开展本校的教育教学科研和教育教学改革，科研兴教，科研兴校。负责对本校教育教学业务的具体管理，负责教育教学管理及教研教改工作，全力推进素质教育实施。</w:t>
      </w:r>
      <w:r>
        <w:rPr>
          <w:rFonts w:hint="eastAsia" w:ascii="仿宋" w:hAnsi="仿宋" w:eastAsia="仿宋" w:cs="仿宋"/>
          <w:b w:val="0"/>
          <w:i w:val="0"/>
          <w:caps w:val="0"/>
          <w:color w:val="333333"/>
          <w:spacing w:val="0"/>
          <w:kern w:val="0"/>
          <w:sz w:val="30"/>
          <w:szCs w:val="30"/>
          <w:highlight w:val="none"/>
          <w:shd w:val="clear" w:fill="FFFFFF"/>
          <w:lang w:val="en-US" w:eastAsia="zh-CN" w:bidi="ar"/>
        </w:rPr>
        <w:br w:type="textWrapping"/>
      </w:r>
      <w:r>
        <w:rPr>
          <w:rFonts w:hint="eastAsia" w:ascii="仿宋" w:hAnsi="仿宋" w:eastAsia="仿宋" w:cs="仿宋"/>
          <w:b w:val="0"/>
          <w:i w:val="0"/>
          <w:caps w:val="0"/>
          <w:color w:val="333333"/>
          <w:spacing w:val="0"/>
          <w:kern w:val="0"/>
          <w:sz w:val="30"/>
          <w:szCs w:val="30"/>
          <w:highlight w:val="none"/>
          <w:shd w:val="clear" w:fill="FFFFFF"/>
          <w:lang w:val="en-US" w:eastAsia="zh-CN" w:bidi="ar"/>
        </w:rPr>
        <w:t>        5、按照教师的职数、编制和管理权限，负责本校教师人事管理、继续教育、考核考评等工作。</w:t>
      </w:r>
      <w:r>
        <w:rPr>
          <w:rFonts w:hint="eastAsia" w:ascii="仿宋" w:hAnsi="仿宋" w:eastAsia="仿宋" w:cs="仿宋"/>
          <w:b w:val="0"/>
          <w:i w:val="0"/>
          <w:caps w:val="0"/>
          <w:color w:val="333333"/>
          <w:spacing w:val="0"/>
          <w:kern w:val="0"/>
          <w:sz w:val="30"/>
          <w:szCs w:val="30"/>
          <w:highlight w:val="none"/>
          <w:shd w:val="clear" w:fill="FFFFFF"/>
          <w:lang w:val="en-US" w:eastAsia="zh-CN" w:bidi="ar"/>
        </w:rPr>
        <w:br w:type="textWrapping"/>
      </w:r>
      <w:r>
        <w:rPr>
          <w:rFonts w:hint="eastAsia" w:ascii="仿宋" w:hAnsi="仿宋" w:eastAsia="仿宋" w:cs="仿宋"/>
          <w:b w:val="0"/>
          <w:i w:val="0"/>
          <w:caps w:val="0"/>
          <w:color w:val="333333"/>
          <w:spacing w:val="0"/>
          <w:kern w:val="0"/>
          <w:sz w:val="30"/>
          <w:szCs w:val="30"/>
          <w:highlight w:val="none"/>
          <w:shd w:val="clear" w:fill="FFFFFF"/>
          <w:lang w:val="en-US" w:eastAsia="zh-CN" w:bidi="ar"/>
        </w:rPr>
        <w:t>        6、指导、管理、检查、评价本校的教育教学工作，提高办学质量和办学效益。按照义务教育课程计划，开齐课程，开足课时，认真实施中小学的教育教学管理，全面推进素质教育，全面提高教育教学质量。</w:t>
      </w: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00" w:firstLineChars="200"/>
        <w:jc w:val="left"/>
        <w:textAlignment w:val="auto"/>
        <w:rPr>
          <w:rFonts w:hint="eastAsia" w:ascii="仿宋" w:hAnsi="仿宋" w:eastAsia="仿宋" w:cs="仿宋"/>
          <w:b w:val="0"/>
          <w:i w:val="0"/>
          <w:caps w:val="0"/>
          <w:color w:val="333333"/>
          <w:spacing w:val="0"/>
          <w:kern w:val="0"/>
          <w:sz w:val="30"/>
          <w:szCs w:val="30"/>
          <w:highlight w:val="none"/>
          <w:shd w:val="clear" w:fill="FFFFFF"/>
          <w:lang w:val="en-US" w:eastAsia="zh-CN" w:bidi="ar"/>
        </w:rPr>
      </w:pPr>
      <w:r>
        <w:rPr>
          <w:rFonts w:hint="eastAsia" w:ascii="仿宋" w:hAnsi="仿宋" w:eastAsia="仿宋" w:cs="仿宋"/>
          <w:b w:val="0"/>
          <w:i w:val="0"/>
          <w:caps w:val="0"/>
          <w:color w:val="333333"/>
          <w:spacing w:val="0"/>
          <w:kern w:val="0"/>
          <w:sz w:val="30"/>
          <w:szCs w:val="30"/>
          <w:highlight w:val="none"/>
          <w:shd w:val="clear" w:fill="FFFFFF"/>
          <w:lang w:val="en-US" w:eastAsia="zh-CN" w:bidi="ar"/>
        </w:rPr>
        <w:t>本部门由1所中心小学，为汪集学校，9所村小，其中1所完全小学，为瓦子岭小学，8所教学点，为高家小学、前进小学、何家小学、包家小学、池沟小学、沙黑池小学、盐沟小学、李家沟教学点，10所幼儿园，为高家幼儿园、李家沟幼儿园、包家幼儿园、池沟幼儿园、马家幼儿园、盐沟幼儿园、沙黑池幼儿园、瓦子岭幼儿园、何家幼儿园、汪集幼儿园，共计20个机构。</w:t>
      </w:r>
    </w:p>
    <w:p>
      <w:pPr>
        <w:spacing w:line="840" w:lineRule="exact"/>
        <w:ind w:left="1767"/>
        <w:rPr>
          <w:rFonts w:ascii="仿宋_GB2312" w:hAnsi="黑体" w:eastAsia="仿宋_GB2312"/>
          <w:b/>
          <w:sz w:val="44"/>
          <w:szCs w:val="44"/>
          <w:highlight w:val="none"/>
        </w:rPr>
      </w:pP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rPr>
        <w:t>2022年预算收入15298072.83元，其中：一般公共预算财政拨款收入15298072.83元，政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15298072.83</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无增减的主要原因是：上年未单独做预算。</w:t>
      </w:r>
      <w:r>
        <w:rPr>
          <w:rFonts w:hint="eastAsia" w:ascii="仿宋_GB2312" w:hAnsi="宋体" w:eastAsia="仿宋_GB2312"/>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106432.00</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106432.00</w:t>
      </w:r>
      <w:r>
        <w:rPr>
          <w:rFonts w:hint="eastAsia" w:ascii="仿宋_GB2312" w:hAnsi="宋体" w:eastAsia="仿宋_GB2312"/>
          <w:sz w:val="32"/>
          <w:szCs w:val="32"/>
          <w:highlight w:val="none"/>
        </w:rPr>
        <w:t>元。</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1438866.18</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教育支出12096341.00元。</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卫生健康支出590606.85元。</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住房保障支出1065826.80元。</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15154837.83</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eastAsia" w:ascii="仿宋_GB2312" w:hAnsi="黑体" w:eastAsia="仿宋_GB2312"/>
          <w:sz w:val="32"/>
          <w:szCs w:val="32"/>
          <w:highlight w:val="none"/>
        </w:rPr>
      </w:pPr>
      <w:r>
        <w:rPr>
          <w:rFonts w:hint="eastAsia" w:ascii="楷体_GB2312" w:hAnsi="黑体" w:eastAsia="楷体_GB2312"/>
          <w:b/>
          <w:sz w:val="32"/>
          <w:szCs w:val="32"/>
          <w:highlight w:val="none"/>
        </w:rPr>
        <w:t>（一）一般公共服务支出（类）</w:t>
      </w:r>
      <w:r>
        <w:rPr>
          <w:rFonts w:hint="eastAsia" w:ascii="仿宋_GB2312" w:hAnsi="黑体" w:eastAsia="仿宋_GB2312"/>
          <w:b/>
          <w:bCs/>
          <w:sz w:val="32"/>
          <w:szCs w:val="32"/>
          <w:highlight w:val="none"/>
          <w:lang w:eastAsia="zh-CN"/>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2022年预算支出106432.00元</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工会事务</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106432.00</w:t>
      </w:r>
      <w:r>
        <w:rPr>
          <w:rFonts w:hint="eastAsia" w:ascii="仿宋_GB2312" w:hAnsi="黑体" w:eastAsia="仿宋_GB2312"/>
          <w:sz w:val="32"/>
          <w:szCs w:val="32"/>
          <w:highlight w:val="none"/>
        </w:rPr>
        <w:t>元。</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（二）教育支出（类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普通教育</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12096341.00</w:t>
      </w:r>
      <w:r>
        <w:rPr>
          <w:rFonts w:hint="eastAsia" w:ascii="仿宋_GB2312" w:hAnsi="黑体" w:eastAsia="仿宋_GB2312"/>
          <w:sz w:val="32"/>
          <w:szCs w:val="32"/>
          <w:highlight w:val="none"/>
        </w:rPr>
        <w:t>元。其中：</w:t>
      </w:r>
      <w:r>
        <w:rPr>
          <w:rFonts w:hint="eastAsia" w:ascii="仿宋_GB2312" w:hAnsi="黑体" w:eastAsia="仿宋_GB2312"/>
          <w:sz w:val="32"/>
          <w:szCs w:val="32"/>
          <w:highlight w:val="none"/>
          <w:lang w:val="en-US" w:eastAsia="zh-CN"/>
        </w:rPr>
        <w:t>小学</w:t>
      </w:r>
      <w:r>
        <w:rPr>
          <w:rFonts w:hint="eastAsia" w:ascii="仿宋_GB2312" w:hAnsi="黑体" w:eastAsia="仿宋_GB2312"/>
          <w:sz w:val="32"/>
          <w:szCs w:val="32"/>
          <w:highlight w:val="none"/>
        </w:rPr>
        <w:t>教育</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rPr>
        <w:t>（项）2022年预算支出11953106.00</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rPr>
        <w:t>其他普通教育支出</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2022年预算支出143235.00</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rPr>
        <w:t>。</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三</w:t>
      </w: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行政事业单位养老支出</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lang w:val="en-US" w:eastAsia="zh-CN"/>
        </w:rPr>
        <w:t>1421102.40</w:t>
      </w:r>
      <w:r>
        <w:rPr>
          <w:rFonts w:hint="eastAsia" w:ascii="仿宋_GB2312" w:hAnsi="黑体" w:eastAsia="仿宋_GB2312"/>
          <w:sz w:val="32"/>
          <w:szCs w:val="32"/>
          <w:highlight w:val="none"/>
        </w:rPr>
        <w:t>元。其中：机关事业单位基本养老保险缴费支出</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1421102.40</w:t>
      </w:r>
      <w:r>
        <w:rPr>
          <w:rFonts w:hint="eastAsia" w:ascii="仿宋_GB2312" w:hAnsi="黑体" w:eastAsia="仿宋_GB2312"/>
          <w:sz w:val="32"/>
          <w:szCs w:val="32"/>
          <w:highlight w:val="none"/>
          <w:lang w:val="en-US" w:eastAsia="zh-CN"/>
        </w:rPr>
        <w:t>元，</w:t>
      </w:r>
      <w:r>
        <w:rPr>
          <w:rFonts w:hint="eastAsia" w:ascii="仿宋_GB2312" w:hAnsi="黑体" w:eastAsia="仿宋_GB2312"/>
          <w:b/>
          <w:bCs/>
          <w:sz w:val="32"/>
          <w:szCs w:val="32"/>
          <w:highlight w:val="none"/>
          <w:lang w:eastAsia="zh-CN"/>
        </w:rPr>
        <w:t>财政对其他社会保险基金的补助</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lang w:val="en-US" w:eastAsia="zh-CN"/>
        </w:rPr>
        <w:t>17763.78</w:t>
      </w:r>
      <w:r>
        <w:rPr>
          <w:rFonts w:hint="eastAsia" w:ascii="仿宋_GB2312" w:hAnsi="黑体" w:eastAsia="仿宋_GB2312"/>
          <w:sz w:val="32"/>
          <w:szCs w:val="32"/>
          <w:highlight w:val="none"/>
        </w:rPr>
        <w:t>元。其中：财政对工伤保险基金的补助</w:t>
      </w:r>
      <w:r>
        <w:rPr>
          <w:rFonts w:hint="eastAsia" w:ascii="仿宋_GB2312" w:hAnsi="黑体" w:eastAsia="仿宋_GB2312"/>
          <w:b/>
          <w:bCs/>
          <w:sz w:val="32"/>
          <w:szCs w:val="32"/>
          <w:highlight w:val="none"/>
        </w:rPr>
        <w:t>（项</w:t>
      </w:r>
      <w:r>
        <w:rPr>
          <w:rFonts w:hint="eastAsia" w:ascii="仿宋_GB2312" w:hAnsi="黑体" w:eastAsia="仿宋_GB2312"/>
          <w:b/>
          <w:bCs/>
          <w:sz w:val="32"/>
          <w:szCs w:val="32"/>
          <w:highlight w:val="none"/>
          <w:lang w:eastAsia="zh-CN"/>
        </w:rPr>
        <w:t>）</w:t>
      </w:r>
      <w:r>
        <w:rPr>
          <w:rFonts w:hint="eastAsia" w:ascii="仿宋_GB2312" w:hAnsi="黑体" w:eastAsia="仿宋_GB2312"/>
          <w:sz w:val="32"/>
          <w:szCs w:val="32"/>
          <w:highlight w:val="none"/>
        </w:rPr>
        <w:t>2022年预算支出17763.78</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rPr>
        <w:t>。</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四</w:t>
      </w: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卫生健康支出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财政对基本医疗保险基金的补助</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2022年预算支出590606.85元。其中：</w:t>
      </w:r>
      <w:r>
        <w:rPr>
          <w:rFonts w:hint="eastAsia" w:ascii="仿宋_GB2312" w:hAnsi="黑体" w:eastAsia="仿宋_GB2312"/>
          <w:sz w:val="32"/>
          <w:szCs w:val="32"/>
          <w:highlight w:val="none"/>
          <w:lang w:eastAsia="zh-CN"/>
        </w:rPr>
        <w:t>财政对职工基本医疗保险基金的补助</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590606.85</w:t>
      </w:r>
      <w:r>
        <w:rPr>
          <w:rFonts w:hint="eastAsia" w:ascii="仿宋_GB2312" w:hAnsi="黑体" w:eastAsia="仿宋_GB2312"/>
          <w:sz w:val="32"/>
          <w:szCs w:val="32"/>
          <w:highlight w:val="none"/>
        </w:rPr>
        <w:t>元。</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五</w:t>
      </w:r>
      <w:r>
        <w:rPr>
          <w:rFonts w:hint="eastAsia" w:ascii="仿宋_GB2312" w:hAnsi="黑体" w:eastAsia="仿宋_GB2312"/>
          <w:b/>
          <w:sz w:val="32"/>
          <w:szCs w:val="32"/>
          <w:highlight w:val="none"/>
          <w:lang w:eastAsia="zh-CN"/>
        </w:rPr>
        <w:t>）住房保障支出（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住房改革支出</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1065826.80</w:t>
      </w:r>
      <w:r>
        <w:rPr>
          <w:rFonts w:hint="eastAsia" w:ascii="仿宋_GB2312" w:hAnsi="黑体" w:eastAsia="仿宋_GB2312"/>
          <w:sz w:val="32"/>
          <w:szCs w:val="32"/>
          <w:highlight w:val="none"/>
        </w:rPr>
        <w:t>元。其中：</w:t>
      </w:r>
      <w:r>
        <w:rPr>
          <w:rFonts w:hint="eastAsia" w:ascii="仿宋_GB2312" w:hAnsi="黑体" w:eastAsia="仿宋_GB2312"/>
          <w:sz w:val="32"/>
          <w:szCs w:val="32"/>
          <w:highlight w:val="none"/>
          <w:lang w:eastAsia="zh-CN"/>
        </w:rPr>
        <w:t>住房公积金</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1065826.80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sz w:val="32"/>
          <w:szCs w:val="32"/>
        </w:rPr>
        <w:t>2022年一般公共</w:t>
      </w:r>
      <w:r>
        <w:rPr>
          <w:rFonts w:hint="eastAsia" w:ascii="仿宋_GB2312" w:hAnsi="宋体" w:eastAsia="仿宋_GB2312"/>
          <w:sz w:val="32"/>
          <w:szCs w:val="32"/>
          <w:highlight w:val="none"/>
          <w:lang w:val="en-US" w:eastAsia="zh-CN"/>
        </w:rPr>
        <w:t>预算基本支出15154837.83元，其中：人员经费15154837.83元，单位运转经费0元，专项资金143235.000元，比上年预算数减少0%。</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w:t>
      </w:r>
      <w:r>
        <w:rPr>
          <w:rFonts w:hint="eastAsia" w:ascii="仿宋_GB2312" w:hAnsi="宋体" w:eastAsia="仿宋_GB2312"/>
          <w:sz w:val="32"/>
          <w:szCs w:val="32"/>
          <w:highlight w:val="none"/>
          <w:lang w:val="en-US" w:eastAsia="zh-CN"/>
        </w:rPr>
        <w:t>”经费预0元，比上年预算数减少0元，主要原因是无三公经费。</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楷体_GB2312" w:hAnsi="黑体" w:eastAsia="楷体_GB2312"/>
          <w:b/>
          <w:sz w:val="32"/>
          <w:szCs w:val="32"/>
        </w:rPr>
        <w:t>（一）因公出国（境）费</w:t>
      </w:r>
      <w:r>
        <w:rPr>
          <w:rFonts w:hint="eastAsia" w:ascii="仿宋_GB2312" w:hAnsi="宋体" w:eastAsia="仿宋_GB2312"/>
          <w:sz w:val="32"/>
          <w:szCs w:val="32"/>
          <w:highlight w:val="none"/>
          <w:lang w:val="en-US" w:eastAsia="zh-CN"/>
        </w:rPr>
        <w:t>0元，比上年预算数减少0元，变化情况。</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仿宋_GB2312" w:hAnsi="宋体" w:eastAsia="仿宋_GB2312"/>
          <w:sz w:val="32"/>
          <w:szCs w:val="32"/>
          <w:highlight w:val="none"/>
          <w:lang w:val="en-US" w:eastAsia="zh-CN"/>
        </w:rPr>
        <w:t>0元，变化情况。</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楷体_GB2312" w:hAnsi="黑体" w:eastAsia="楷体_GB2312"/>
          <w:b/>
          <w:sz w:val="32"/>
          <w:szCs w:val="32"/>
        </w:rPr>
        <w:t>（三）公务用车购置和运行</w:t>
      </w:r>
      <w:r>
        <w:rPr>
          <w:rFonts w:hint="eastAsia" w:ascii="仿宋_GB2312" w:hAnsi="宋体" w:eastAsia="仿宋_GB2312"/>
          <w:sz w:val="32"/>
          <w:szCs w:val="32"/>
          <w:highlight w:val="none"/>
          <w:lang w:val="en-US" w:eastAsia="zh-CN"/>
        </w:rPr>
        <w:t>0元，比上年预算数增加0元，其中：公务用车购置费0元，比变化情况；公务用车运行费0元，比上年预算数增长0元。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仿宋_GB2312" w:hAnsi="宋体" w:eastAsia="仿宋_GB2312"/>
          <w:sz w:val="32"/>
          <w:szCs w:val="32"/>
          <w:highlight w:val="none"/>
          <w:lang w:val="en-US" w:eastAsia="zh-CN"/>
        </w:rPr>
        <w:t>0元，比上年预算数减少0元，减少0%</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仿宋_GB2312" w:hAnsi="宋体" w:eastAsia="仿宋_GB2312"/>
          <w:sz w:val="32"/>
          <w:szCs w:val="32"/>
          <w:highlight w:val="none"/>
          <w:lang w:val="en-US" w:eastAsia="zh-CN"/>
        </w:rPr>
        <w:t>0元，比上年预算数减少0元，减少0%。</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sz w:val="32"/>
          <w:szCs w:val="32"/>
        </w:rPr>
        <w:t>2</w:t>
      </w:r>
      <w:r>
        <w:rPr>
          <w:rFonts w:hint="eastAsia" w:ascii="仿宋_GB2312" w:hAnsi="宋体" w:eastAsia="仿宋_GB2312"/>
          <w:sz w:val="32"/>
          <w:szCs w:val="32"/>
          <w:highlight w:val="none"/>
          <w:lang w:val="en-US" w:eastAsia="zh-CN"/>
        </w:rPr>
        <w:t>022年机关运行经费预算0元，未安排。政府采购预算0元，比上年预算数增加0元，增长0%，主要是：0，其中：政府采购货物预算0元，政府采购工程预算0元，政府采购服务预算0元。</w:t>
      </w:r>
    </w:p>
    <w:p>
      <w:pPr>
        <w:spacing w:line="640" w:lineRule="exact"/>
        <w:ind w:firstLine="640" w:firstLineChars="200"/>
        <w:rPr>
          <w:rFonts w:ascii="仿宋_GB2312" w:hAnsi="黑体" w:eastAsia="仿宋_GB2312"/>
          <w:sz w:val="32"/>
          <w:szCs w:val="32"/>
          <w:highlight w:val="none"/>
        </w:rPr>
      </w:pPr>
      <w:bookmarkStart w:id="0" w:name="_GoBack"/>
      <w:bookmarkEnd w:id="0"/>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7EA6CFD"/>
    <w:rsid w:val="0A116753"/>
    <w:rsid w:val="0B896034"/>
    <w:rsid w:val="0D824E94"/>
    <w:rsid w:val="0E6F37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8933F27"/>
    <w:rsid w:val="59441D15"/>
    <w:rsid w:val="5A3206F2"/>
    <w:rsid w:val="61EF1B1B"/>
    <w:rsid w:val="621A3658"/>
    <w:rsid w:val="62B62979"/>
    <w:rsid w:val="64252B6E"/>
    <w:rsid w:val="651520BC"/>
    <w:rsid w:val="661A6258"/>
    <w:rsid w:val="6A136FDE"/>
    <w:rsid w:val="6A752B54"/>
    <w:rsid w:val="6EA6456E"/>
    <w:rsid w:val="6FAD45A0"/>
    <w:rsid w:val="723906FB"/>
    <w:rsid w:val="74517818"/>
    <w:rsid w:val="75840CDB"/>
    <w:rsid w:val="75FA50B5"/>
    <w:rsid w:val="77781E83"/>
    <w:rsid w:val="78062181"/>
    <w:rsid w:val="78BA7C03"/>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customStyle="1" w:styleId="12">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2462</Words>
  <Characters>2750</Characters>
  <Lines>16</Lines>
  <Paragraphs>4</Paragraphs>
  <TotalTime>0</TotalTime>
  <ScaleCrop>false</ScaleCrop>
  <LinksUpToDate>false</LinksUpToDate>
  <CharactersWithSpaces>2841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2023-06-05T07:38:41Z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2C2B1E33EB5A43F09A17393C6590B243</vt:lpwstr>
  </property>
</Properties>
</file>