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东乡族自治县移民（石化）中学</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firstLine="645"/>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东乡族自治县移民（石化）中学</w:t>
      </w:r>
      <w:r>
        <w:rPr>
          <w:rFonts w:hint="eastAsia" w:ascii="仿宋_GB2312" w:hAnsi="宋体" w:eastAsia="仿宋_GB2312" w:cs="宋体"/>
          <w:kern w:val="0"/>
          <w:sz w:val="32"/>
          <w:szCs w:val="32"/>
          <w:highlight w:val="none"/>
        </w:rPr>
        <w:t>于2021年9月份新建的一所学校，由临夏州东乡县县教育局主管的财政全额拨款事业单位，实施初中学历教育，促进基础教育发展。</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东乡族自治县移民（石化）中学为财政补助单位，编制部门核定为事业单位，独立核算机构1个。统一社会信用代码是12622926MB1J719832，单位基本性质是事业单位，是一所新建学校，由东乡县人民政府举办和中石化集团公司援建的一所初级中学，单位地址在临夏州东乡县达板镇拱北摊村。事业编制人数165人，实际在职人数113人，无退休人员。学校下设四个中心部门</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1.党政服务中心主要职责:配合教育局制定符合党的教育方针和国家教育法律法规的教育发展规划并抓好组织实施和落实工作;贯彻、执行教育法律法规和政策规定,坚持依法治教、依法治学。巩固提高“两基”工作成果和整体水平,配合教育局依法动员、组织适龄儿童少年入学,严格控制辍学,推进普及九年义务教育;指导管理、检查、评价学校的教育教学工作,提高办学质量和办学效益;负责教育教学管理及教研教改工作,全力推进素质教育实施协助上级教育主管部门做好学校教师考核工作,负责教师管理继续教育、考核考评等工作;负责财务管理,筹措资金,改善办学条件等工作。</w:t>
      </w:r>
    </w:p>
    <w:p>
      <w:pPr>
        <w:spacing w:line="640" w:lineRule="exact"/>
        <w:ind w:firstLine="645"/>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2.学生成长服务中心</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主要职责:协助校长制定并实施教育、教学工作计划;检查并总结学校的数育教学工作;组织管理教学工作,指导各科教师贯彻课程标准,执行教学计划,开展各种教学、教研活动,提高教学质量;协助校长室、党支部、少先队对学生进行思想政治教育,有针对性的开展教育活动,向学生进行劳动教育,组织校外活动和家长会;组织安排学生的体育卫生和生活管理工作,抓好“两课”、“两操”(体育课、活动课、课间操、眼保健操和大课间活动)和学校体育运动会。搞好卫生保健工作,关心师生的身心健康;组织有关人员搞好招生、编班、学籍管理、考勤考绩课程表编排、资料以及资料室、图书室、实验室、电教室的有关工作;每学期末对教学工作,思想教育工作和体育卫生工作,进行一次书面总结,向校长汇报。组织教师总结教学经验,积极开展期末或学年末的评优奖励活动。</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3.教师发展服务中心</w:t>
      </w:r>
    </w:p>
    <w:p>
      <w:p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主要职责: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实施;与教导处共同负贵“教坛新秀”、“教学能手”、“学科带头人”的评选推荐工作。</w:t>
      </w:r>
    </w:p>
    <w:p>
      <w:pPr>
        <w:numPr>
          <w:ilvl w:val="0"/>
          <w:numId w:val="2"/>
        </w:numPr>
        <w:spacing w:line="640" w:lineRule="exact"/>
        <w:ind w:firstLine="645"/>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后勤服务中心</w:t>
      </w:r>
    </w:p>
    <w:p>
      <w:pPr>
        <w:numPr>
          <w:ilvl w:val="0"/>
          <w:numId w:val="0"/>
        </w:numPr>
        <w:spacing w:line="640" w:lineRule="exact"/>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lang w:val="en-US" w:eastAsia="zh-CN"/>
        </w:rPr>
        <w:t>主要职责：保障学校的后勤服务工作，确保教育教学工作的正常进行，维护维修学校水电暖工作，负责学校校园安全保障工作；负责财务管理,筹措资金,改善办学条件等工作。</w:t>
      </w: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2022年预算收入3342397.48元，其中：一般公共预算财政拨款收入3342397.48元，政</w:t>
      </w:r>
      <w:r>
        <w:rPr>
          <w:rFonts w:hint="eastAsia" w:ascii="仿宋_GB2312" w:hAnsi="宋体" w:eastAsia="仿宋_GB2312"/>
          <w:sz w:val="32"/>
          <w:szCs w:val="32"/>
          <w:highlight w:val="none"/>
        </w:rPr>
        <w:t>府性基金预算财政拨款收入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3342397.48</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因上年无单独预算共公开数不做比较难。</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20097.0</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lang w:val="en-US" w:eastAsia="zh-CN"/>
        </w:rPr>
        <w:t>20097.00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309291.37元.</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教育支出</w:t>
      </w:r>
      <w:r>
        <w:rPr>
          <w:rFonts w:hint="eastAsia" w:ascii="仿宋_GB2312" w:hAnsi="黑体" w:eastAsia="仿宋_GB2312"/>
          <w:sz w:val="32"/>
          <w:szCs w:val="32"/>
          <w:highlight w:val="none"/>
        </w:rPr>
        <w:t>2656998.00</w:t>
      </w:r>
      <w:r>
        <w:rPr>
          <w:rFonts w:hint="eastAsia" w:ascii="仿宋_GB2312" w:hAnsi="黑体" w:eastAsia="仿宋_GB2312"/>
          <w:sz w:val="32"/>
          <w:szCs w:val="32"/>
          <w:highlight w:val="none"/>
          <w:lang w:val="en-US" w:eastAsia="zh-CN"/>
        </w:rPr>
        <w:t>元。</w:t>
      </w:r>
    </w:p>
    <w:p>
      <w:pPr>
        <w:spacing w:line="6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卫生健康支出126906.39元。</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住房保障支出229104.72元。</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3141868.48</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元，对个人和家庭的补助</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val="en-US"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20097</w:t>
      </w:r>
      <w:r>
        <w:rPr>
          <w:rFonts w:hint="eastAsia" w:ascii="仿宋_GB2312" w:hAnsi="黑体" w:eastAsia="仿宋_GB2312"/>
          <w:sz w:val="32"/>
          <w:szCs w:val="32"/>
          <w:highlight w:val="none"/>
        </w:rPr>
        <w:t>元，其中：</w:t>
      </w:r>
      <w:r>
        <w:rPr>
          <w:rFonts w:hint="eastAsia" w:ascii="仿宋_GB2312" w:hAnsi="黑体" w:eastAsia="仿宋_GB2312"/>
          <w:sz w:val="32"/>
          <w:szCs w:val="32"/>
          <w:highlight w:val="none"/>
          <w:lang w:val="en-US" w:eastAsia="zh-CN"/>
        </w:rPr>
        <w:t>工会事务</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20097</w:t>
      </w:r>
      <w:r>
        <w:rPr>
          <w:rFonts w:hint="eastAsia" w:ascii="仿宋_GB2312" w:hAnsi="黑体" w:eastAsia="仿宋_GB2312"/>
          <w:sz w:val="32"/>
          <w:szCs w:val="32"/>
          <w:highlight w:val="none"/>
        </w:rPr>
        <w:t>元。</w:t>
      </w:r>
    </w:p>
    <w:p>
      <w:p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val="en-US" w:eastAsia="zh-CN"/>
        </w:rPr>
        <w:t>二</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val="en-US" w:eastAsia="zh-CN"/>
        </w:rPr>
        <w:t>教育</w:t>
      </w:r>
      <w:r>
        <w:rPr>
          <w:rFonts w:hint="eastAsia" w:ascii="楷体_GB2312" w:hAnsi="黑体" w:eastAsia="楷体_GB2312"/>
          <w:b/>
          <w:sz w:val="32"/>
          <w:szCs w:val="32"/>
          <w:highlight w:val="none"/>
        </w:rPr>
        <w:t>支出（类）</w:t>
      </w:r>
      <w:r>
        <w:rPr>
          <w:rFonts w:hint="eastAsia" w:ascii="楷体_GB2312" w:hAnsi="黑体" w:eastAsia="楷体_GB2312"/>
          <w:b/>
          <w:sz w:val="32"/>
          <w:szCs w:val="32"/>
          <w:highlight w:val="none"/>
          <w:lang w:val="en-US" w:eastAsia="zh-CN"/>
        </w:rPr>
        <w:t>普通教育</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2656998.00</w:t>
      </w:r>
      <w:r>
        <w:rPr>
          <w:rFonts w:hint="eastAsia" w:ascii="仿宋_GB2312" w:hAnsi="黑体" w:eastAsia="仿宋_GB2312"/>
          <w:sz w:val="32"/>
          <w:szCs w:val="32"/>
          <w:highlight w:val="none"/>
        </w:rPr>
        <w:t>元，比。其中：</w:t>
      </w:r>
      <w:r>
        <w:rPr>
          <w:rFonts w:hint="eastAsia" w:ascii="仿宋_GB2312" w:hAnsi="黑体" w:eastAsia="仿宋_GB2312"/>
          <w:sz w:val="32"/>
          <w:szCs w:val="32"/>
          <w:highlight w:val="none"/>
          <w:lang w:val="en-US" w:eastAsia="zh-CN"/>
        </w:rPr>
        <w:t>初中教育</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2456469.00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其他普通教育支出</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200529.00</w:t>
      </w:r>
      <w:r>
        <w:rPr>
          <w:rFonts w:hint="eastAsia" w:ascii="仿宋_GB2312" w:hAnsi="黑体" w:eastAsia="仿宋_GB2312"/>
          <w:sz w:val="32"/>
          <w:szCs w:val="32"/>
          <w:highlight w:val="none"/>
        </w:rPr>
        <w:t>元。</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三</w:t>
      </w: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）行政事业单位养老支出（款）2022年预算支出305472.96元。其中：机关事业单位基本养老保险缴费支出（项）2022年预算支出305472.96元。财政对其他社会保险基金的补助（款）2022年预算支出3818.41</w:t>
      </w:r>
      <w:r>
        <w:rPr>
          <w:rFonts w:hint="eastAsia" w:ascii="仿宋_GB2312" w:hAnsi="黑体" w:eastAsia="仿宋_GB2312"/>
          <w:sz w:val="32"/>
          <w:szCs w:val="32"/>
          <w:highlight w:val="none"/>
          <w:lang w:val="en-US" w:eastAsia="zh-CN"/>
        </w:rPr>
        <w:t>元，其中：</w:t>
      </w:r>
      <w:r>
        <w:rPr>
          <w:rFonts w:hint="eastAsia" w:ascii="仿宋_GB2312" w:hAnsi="黑体" w:eastAsia="仿宋_GB2312"/>
          <w:sz w:val="32"/>
          <w:szCs w:val="32"/>
          <w:highlight w:val="none"/>
        </w:rPr>
        <w:t>财政对其他社会保险基金的补助（项）2022年预算支出3818.41元。</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rPr>
        <w:t>）卫生健康支出（类</w:t>
      </w:r>
      <w:r>
        <w:rPr>
          <w:rFonts w:hint="eastAsia" w:ascii="仿宋_GB2312" w:hAnsi="黑体" w:eastAsia="仿宋_GB2312"/>
          <w:sz w:val="32"/>
          <w:szCs w:val="32"/>
          <w:highlight w:val="none"/>
        </w:rPr>
        <w:t>）财政对基本医疗保险基金的补助（款）2022年预算支出126906.39元。其中：财政对职工基本医疗保险基金的补助</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2022年预算支出126906.39元。</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住房保障</w:t>
      </w:r>
      <w:r>
        <w:rPr>
          <w:rFonts w:hint="eastAsia" w:ascii="仿宋_GB2312" w:hAnsi="黑体" w:eastAsia="仿宋_GB2312"/>
          <w:b/>
          <w:sz w:val="32"/>
          <w:szCs w:val="32"/>
          <w:highlight w:val="none"/>
        </w:rPr>
        <w:t>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住房改革支出</w:t>
      </w:r>
      <w:r>
        <w:rPr>
          <w:rFonts w:hint="eastAsia" w:ascii="仿宋_GB2312" w:hAnsi="黑体" w:eastAsia="仿宋_GB2312"/>
          <w:sz w:val="32"/>
          <w:szCs w:val="32"/>
          <w:highlight w:val="none"/>
        </w:rPr>
        <w:t>（款）2022年预算支出229104.72元。其中：</w:t>
      </w:r>
      <w:r>
        <w:rPr>
          <w:rFonts w:hint="eastAsia" w:ascii="仿宋_GB2312" w:hAnsi="黑体" w:eastAsia="仿宋_GB2312"/>
          <w:sz w:val="32"/>
          <w:szCs w:val="32"/>
          <w:highlight w:val="none"/>
          <w:lang w:val="en-US" w:eastAsia="zh-CN"/>
        </w:rPr>
        <w:t>住房公积金</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2022年预算支出229104.72元。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年一般公共预算基本支出</w:t>
      </w:r>
      <w:r>
        <w:rPr>
          <w:rFonts w:hint="eastAsia" w:ascii="仿宋_GB2312" w:hAnsi="黑体" w:eastAsia="仿宋_GB2312"/>
          <w:sz w:val="32"/>
          <w:szCs w:val="32"/>
          <w:highlight w:val="none"/>
          <w:lang w:val="en-US" w:eastAsia="zh-CN"/>
        </w:rPr>
        <w:t>3141868.48</w:t>
      </w:r>
      <w:r>
        <w:rPr>
          <w:rFonts w:hint="eastAsia" w:ascii="仿宋_GB2312" w:hAnsi="黑体" w:eastAsia="仿宋_GB2312"/>
          <w:sz w:val="32"/>
          <w:szCs w:val="32"/>
          <w:highlight w:val="none"/>
        </w:rPr>
        <w:t>元，其中：人员经费</w:t>
      </w:r>
      <w:r>
        <w:rPr>
          <w:rFonts w:hint="eastAsia" w:ascii="仿宋_GB2312" w:hAnsi="黑体" w:eastAsia="仿宋_GB2312"/>
          <w:sz w:val="32"/>
          <w:szCs w:val="32"/>
          <w:highlight w:val="none"/>
          <w:lang w:val="en-US" w:eastAsia="zh-CN"/>
        </w:rPr>
        <w:t>3141868.48</w:t>
      </w:r>
      <w:r>
        <w:rPr>
          <w:rFonts w:hint="eastAsia" w:ascii="仿宋_GB2312" w:hAnsi="黑体" w:eastAsia="仿宋_GB2312"/>
          <w:sz w:val="32"/>
          <w:szCs w:val="32"/>
          <w:highlight w:val="none"/>
        </w:rPr>
        <w:t>元，单位运转经费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200529.00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p>
    <w:p>
      <w:pPr>
        <w:spacing w:line="640" w:lineRule="exact"/>
        <w:ind w:firstLine="640" w:firstLineChars="200"/>
        <w:rPr>
          <w:rFonts w:hint="default" w:ascii="仿宋_GB2312" w:hAnsi="黑体" w:eastAsia="楷体_GB2312"/>
          <w:sz w:val="32"/>
          <w:szCs w:val="32"/>
          <w:highlight w:val="none"/>
          <w:lang w:val="en-US" w:eastAsia="zh-CN"/>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元，其中：政府采购货物预算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bookmarkStart w:id="0" w:name="_GoBack"/>
      <w:bookmarkEnd w:id="0"/>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6290D"/>
    <w:multiLevelType w:val="singleLevel"/>
    <w:tmpl w:val="14F6290D"/>
    <w:lvl w:ilvl="0" w:tentative="0">
      <w:start w:val="4"/>
      <w:numFmt w:val="decimal"/>
      <w:lvlText w:val="%1."/>
      <w:lvlJc w:val="left"/>
      <w:pPr>
        <w:tabs>
          <w:tab w:val="left" w:pos="312"/>
        </w:tabs>
      </w:p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12936A0"/>
    <w:rsid w:val="1250416D"/>
    <w:rsid w:val="13B82E0D"/>
    <w:rsid w:val="141D039C"/>
    <w:rsid w:val="17432B85"/>
    <w:rsid w:val="18533C79"/>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BDE4AE6"/>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3039</Words>
  <Characters>3362</Characters>
  <Lines>16</Lines>
  <Paragraphs>4</Paragraphs>
  <TotalTime>2</TotalTime>
  <ScaleCrop>false</ScaleCrop>
  <LinksUpToDate>false</LinksUpToDate>
  <CharactersWithSpaces>3416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2023-06-05T03:06:20Z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16897AB746BF4889B688FDFBDC1EFAC7</vt:lpwstr>
  </property>
</Properties>
</file>