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keepNext w:val="0"/>
        <w:keepLines w:val="0"/>
        <w:pageBreakBefore w:val="0"/>
        <w:widowControl w:val="0"/>
        <w:shd w:val="clear" w:color="auto" w:fill="auto"/>
        <w:kinsoku/>
        <w:wordWrap/>
        <w:overflowPunct/>
        <w:topLinePunct w:val="0"/>
        <w:autoSpaceDE/>
        <w:autoSpaceDN/>
        <w:bidi w:val="0"/>
        <w:adjustRightInd/>
        <w:snapToGrid/>
        <w:spacing w:before="181" w:beforeLines="50" w:after="0" w:line="240" w:lineRule="auto"/>
        <w:ind w:left="0" w:right="0" w:hanging="403"/>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0"/>
          <w:szCs w:val="30"/>
        </w:rPr>
        <w:t>附件</w:t>
      </w:r>
      <w:r>
        <w:rPr>
          <w:rFonts w:hint="eastAsia" w:ascii="仿宋_GB2312" w:hAnsi="仿宋_GB2312" w:eastAsia="仿宋_GB2312" w:cs="仿宋_GB2312"/>
          <w:color w:val="000000"/>
          <w:spacing w:val="0"/>
          <w:w w:val="100"/>
          <w:position w:val="0"/>
          <w:sz w:val="32"/>
          <w:szCs w:val="32"/>
        </w:rPr>
        <w:t>1:</w:t>
      </w:r>
    </w:p>
    <w:p>
      <w:pPr>
        <w:pStyle w:val="13"/>
        <w:keepNext w:val="0"/>
        <w:keepLines w:val="0"/>
        <w:widowControl w:val="0"/>
        <w:shd w:val="clear" w:color="auto" w:fill="auto"/>
        <w:bidi w:val="0"/>
        <w:spacing w:before="0" w:after="0" w:line="240" w:lineRule="auto"/>
        <w:ind w:left="0" w:right="0" w:hanging="400"/>
        <w:jc w:val="left"/>
        <w:rPr>
          <w:color w:val="000000"/>
          <w:spacing w:val="0"/>
          <w:w w:val="100"/>
          <w:position w:val="0"/>
          <w:sz w:val="32"/>
          <w:szCs w:val="32"/>
        </w:rPr>
      </w:pPr>
    </w:p>
    <w:p>
      <w:pPr>
        <w:bidi w:val="0"/>
        <w:jc w:val="center"/>
        <w:rPr>
          <w:rFonts w:hint="eastAsia" w:ascii="FZXiaoBiaoSong-B05" w:hAnsi="FZXiaoBiaoSong-B05" w:eastAsia="FZXiaoBiaoSong-B05" w:cs="FZXiaoBiaoSong-B05"/>
          <w:sz w:val="40"/>
          <w:szCs w:val="40"/>
        </w:rPr>
      </w:pPr>
      <w:bookmarkStart w:id="0" w:name="bookmark0"/>
      <w:bookmarkStart w:id="1" w:name="bookmark1"/>
      <w:bookmarkStart w:id="2" w:name="bookmark2"/>
      <w:r>
        <w:rPr>
          <w:rFonts w:hint="eastAsia" w:ascii="FZXiaoBiaoSong-B05" w:hAnsi="FZXiaoBiaoSong-B05" w:eastAsia="FZXiaoBiaoSong-B05" w:cs="FZXiaoBiaoSong-B05"/>
          <w:sz w:val="40"/>
          <w:szCs w:val="40"/>
          <w:lang w:val="en-US" w:eastAsia="zh-CN"/>
        </w:rPr>
        <w:t>交通运输局</w:t>
      </w:r>
      <w:r>
        <w:rPr>
          <w:rFonts w:hint="eastAsia" w:ascii="FZXiaoBiaoSong-B05" w:hAnsi="FZXiaoBiaoSong-B05" w:eastAsia="FZXiaoBiaoSong-B05" w:cs="FZXiaoBiaoSong-B05"/>
          <w:sz w:val="40"/>
          <w:szCs w:val="40"/>
        </w:rPr>
        <w:t>202</w:t>
      </w:r>
      <w:r>
        <w:rPr>
          <w:rFonts w:hint="eastAsia" w:ascii="FZXiaoBiaoSong-B05" w:hAnsi="FZXiaoBiaoSong-B05" w:eastAsia="FZXiaoBiaoSong-B05" w:cs="FZXiaoBiaoSong-B05"/>
          <w:sz w:val="40"/>
          <w:szCs w:val="40"/>
          <w:lang w:val="en-US" w:eastAsia="zh-CN"/>
        </w:rPr>
        <w:t>1</w:t>
      </w:r>
      <w:r>
        <w:rPr>
          <w:rFonts w:hint="eastAsia" w:ascii="FZXiaoBiaoSong-B05" w:hAnsi="FZXiaoBiaoSong-B05" w:eastAsia="FZXiaoBiaoSong-B05" w:cs="FZXiaoBiaoSong-B05"/>
          <w:sz w:val="40"/>
          <w:szCs w:val="40"/>
        </w:rPr>
        <w:t>年度部门决算情况说明</w:t>
      </w:r>
      <w:bookmarkEnd w:id="0"/>
      <w:bookmarkEnd w:id="1"/>
      <w:bookmarkEnd w:id="2"/>
    </w:p>
    <w:p>
      <w:pPr>
        <w:bidi w:val="0"/>
        <w:rPr>
          <w:rFonts w:hint="eastAsia" w:ascii="方正小标宋简体" w:hAnsi="方正小标宋简体" w:eastAsia="方正小标宋简体" w:cs="方正小标宋简体"/>
          <w:sz w:val="36"/>
          <w:szCs w:val="36"/>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right="0" w:firstLine="0"/>
        <w:jc w:val="center"/>
        <w:textAlignment w:val="auto"/>
        <w:rPr>
          <w:rFonts w:hint="eastAsia" w:ascii="仿宋_GB2312" w:hAnsi="仿宋_GB2312" w:eastAsia="仿宋_GB2312" w:cs="仿宋_GB2312"/>
          <w:color w:val="000000"/>
          <w:spacing w:val="0"/>
          <w:w w:val="100"/>
          <w:position w:val="0"/>
          <w:sz w:val="36"/>
          <w:szCs w:val="36"/>
        </w:rPr>
      </w:pPr>
      <w:r>
        <w:rPr>
          <w:rFonts w:hint="eastAsia" w:ascii="仿宋_GB2312" w:hAnsi="仿宋_GB2312" w:eastAsia="仿宋_GB2312" w:cs="仿宋_GB2312"/>
          <w:color w:val="000000"/>
          <w:spacing w:val="0"/>
          <w:w w:val="100"/>
          <w:position w:val="0"/>
          <w:sz w:val="36"/>
          <w:szCs w:val="36"/>
        </w:rPr>
        <w:t>目</w:t>
      </w:r>
      <w:r>
        <w:rPr>
          <w:rFonts w:hint="eastAsia" w:ascii="仿宋_GB2312" w:hAnsi="仿宋_GB2312" w:eastAsia="仿宋_GB2312" w:cs="仿宋_GB2312"/>
          <w:color w:val="000000"/>
          <w:spacing w:val="0"/>
          <w:w w:val="100"/>
          <w:position w:val="0"/>
          <w:sz w:val="36"/>
          <w:szCs w:val="36"/>
          <w:lang w:val="en-US" w:eastAsia="zh-CN"/>
        </w:rPr>
        <w:t xml:space="preserve">  </w:t>
      </w:r>
      <w:r>
        <w:rPr>
          <w:rFonts w:hint="eastAsia" w:ascii="仿宋_GB2312" w:hAnsi="仿宋_GB2312" w:eastAsia="仿宋_GB2312" w:cs="仿宋_GB2312"/>
          <w:color w:val="000000"/>
          <w:spacing w:val="0"/>
          <w:w w:val="100"/>
          <w:position w:val="0"/>
          <w:sz w:val="36"/>
          <w:szCs w:val="36"/>
        </w:rPr>
        <w:t>录</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right="0" w:firstLine="0"/>
        <w:jc w:val="center"/>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第一部分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部门</w:t>
      </w:r>
      <w:r>
        <w:rPr>
          <w:rFonts w:hint="eastAsia" w:ascii="仿宋_GB2312" w:hAnsi="仿宋_GB2312" w:eastAsia="仿宋_GB2312" w:cs="仿宋_GB2312"/>
          <w:b/>
          <w:bCs/>
          <w:color w:val="000000"/>
          <w:spacing w:val="0"/>
          <w:w w:val="100"/>
          <w:position w:val="0"/>
          <w:sz w:val="32"/>
          <w:szCs w:val="32"/>
          <w:lang w:eastAsia="zh-CN"/>
        </w:rPr>
        <w:t>（单位）</w:t>
      </w:r>
      <w:r>
        <w:rPr>
          <w:rFonts w:hint="eastAsia" w:ascii="仿宋_GB2312" w:hAnsi="仿宋_GB2312" w:eastAsia="仿宋_GB2312" w:cs="仿宋_GB2312"/>
          <w:b/>
          <w:bCs/>
          <w:color w:val="000000"/>
          <w:spacing w:val="0"/>
          <w:w w:val="100"/>
          <w:position w:val="0"/>
          <w:sz w:val="32"/>
          <w:szCs w:val="32"/>
        </w:rPr>
        <w:t>概括</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bookmarkStart w:id="3" w:name="bookmark3"/>
      <w:r>
        <w:rPr>
          <w:rFonts w:hint="eastAsia" w:ascii="仿宋_GB2312" w:hAnsi="仿宋_GB2312" w:eastAsia="仿宋_GB2312" w:cs="仿宋_GB2312"/>
          <w:color w:val="000000"/>
          <w:spacing w:val="0"/>
          <w:w w:val="100"/>
          <w:position w:val="0"/>
          <w:sz w:val="32"/>
          <w:szCs w:val="32"/>
        </w:rPr>
        <w:t>一</w:t>
      </w:r>
      <w:bookmarkEnd w:id="3"/>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部门职责</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4" w:name="bookmark4"/>
      <w:r>
        <w:rPr>
          <w:rFonts w:hint="eastAsia" w:ascii="仿宋_GB2312" w:hAnsi="仿宋_GB2312" w:eastAsia="仿宋_GB2312" w:cs="仿宋_GB2312"/>
          <w:color w:val="000000"/>
          <w:spacing w:val="0"/>
          <w:w w:val="100"/>
          <w:position w:val="0"/>
          <w:sz w:val="32"/>
          <w:szCs w:val="32"/>
        </w:rPr>
        <w:t>二</w:t>
      </w:r>
      <w:bookmarkEnd w:id="4"/>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机构设置</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第二部分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202</w:t>
      </w:r>
      <w:r>
        <w:rPr>
          <w:rFonts w:hint="eastAsia" w:ascii="仿宋_GB2312" w:hAnsi="仿宋_GB2312" w:eastAsia="仿宋_GB2312" w:cs="仿宋_GB2312"/>
          <w:b/>
          <w:bCs/>
          <w:color w:val="000000"/>
          <w:spacing w:val="0"/>
          <w:w w:val="100"/>
          <w:position w:val="0"/>
          <w:sz w:val="32"/>
          <w:szCs w:val="32"/>
          <w:lang w:val="en-US" w:eastAsia="zh-CN"/>
        </w:rPr>
        <w:t>1</w:t>
      </w:r>
      <w:r>
        <w:rPr>
          <w:rFonts w:hint="eastAsia" w:ascii="仿宋_GB2312" w:hAnsi="仿宋_GB2312" w:eastAsia="仿宋_GB2312" w:cs="仿宋_GB2312"/>
          <w:b/>
          <w:bCs/>
          <w:color w:val="000000"/>
          <w:spacing w:val="0"/>
          <w:w w:val="100"/>
          <w:position w:val="0"/>
          <w:sz w:val="32"/>
          <w:szCs w:val="32"/>
        </w:rPr>
        <w:t>年度部门</w:t>
      </w:r>
      <w:r>
        <w:rPr>
          <w:rFonts w:hint="eastAsia" w:ascii="仿宋_GB2312" w:hAnsi="仿宋_GB2312" w:eastAsia="仿宋_GB2312" w:cs="仿宋_GB2312"/>
          <w:b/>
          <w:bCs/>
          <w:color w:val="000000"/>
          <w:spacing w:val="0"/>
          <w:w w:val="100"/>
          <w:position w:val="0"/>
          <w:sz w:val="32"/>
          <w:szCs w:val="32"/>
          <w:lang w:eastAsia="zh-CN"/>
        </w:rPr>
        <w:t>（本单位）</w:t>
      </w:r>
      <w:r>
        <w:rPr>
          <w:rFonts w:hint="eastAsia" w:ascii="仿宋_GB2312" w:hAnsi="仿宋_GB2312" w:eastAsia="仿宋_GB2312" w:cs="仿宋_GB2312"/>
          <w:b/>
          <w:bCs/>
          <w:color w:val="000000"/>
          <w:spacing w:val="0"/>
          <w:w w:val="100"/>
          <w:position w:val="0"/>
          <w:sz w:val="32"/>
          <w:szCs w:val="32"/>
        </w:rPr>
        <w:t>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5" w:name="bookmark5"/>
      <w:r>
        <w:rPr>
          <w:rFonts w:hint="eastAsia" w:ascii="仿宋_GB2312" w:hAnsi="仿宋_GB2312" w:eastAsia="仿宋_GB2312" w:cs="仿宋_GB2312"/>
          <w:color w:val="000000"/>
          <w:spacing w:val="0"/>
          <w:w w:val="100"/>
          <w:position w:val="0"/>
          <w:sz w:val="32"/>
          <w:szCs w:val="32"/>
        </w:rPr>
        <w:t>一</w:t>
      </w:r>
      <w:bookmarkEnd w:id="5"/>
      <w:r>
        <w:rPr>
          <w:rFonts w:hint="eastAsia" w:ascii="仿宋_GB2312" w:hAnsi="仿宋_GB2312" w:eastAsia="仿宋_GB2312" w:cs="仿宋_GB2312"/>
          <w:color w:val="000000"/>
          <w:spacing w:val="0"/>
          <w:w w:val="100"/>
          <w:position w:val="0"/>
          <w:sz w:val="32"/>
          <w:szCs w:val="32"/>
        </w:rPr>
        <w:t>、收入支出决算总表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6" w:name="bookmark6"/>
      <w:r>
        <w:rPr>
          <w:rFonts w:hint="eastAsia" w:ascii="仿宋_GB2312" w:hAnsi="仿宋_GB2312" w:eastAsia="仿宋_GB2312" w:cs="仿宋_GB2312"/>
          <w:color w:val="000000"/>
          <w:spacing w:val="0"/>
          <w:w w:val="100"/>
          <w:position w:val="0"/>
          <w:sz w:val="32"/>
          <w:szCs w:val="32"/>
        </w:rPr>
        <w:t>二</w:t>
      </w:r>
      <w:bookmarkEnd w:id="6"/>
      <w:r>
        <w:rPr>
          <w:rFonts w:hint="eastAsia" w:ascii="仿宋_GB2312" w:hAnsi="仿宋_GB2312" w:eastAsia="仿宋_GB2312" w:cs="仿宋_GB2312"/>
          <w:color w:val="000000"/>
          <w:spacing w:val="0"/>
          <w:w w:val="100"/>
          <w:position w:val="0"/>
          <w:sz w:val="32"/>
          <w:szCs w:val="32"/>
        </w:rPr>
        <w:t>、收入决算表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7" w:name="bookmark7"/>
      <w:r>
        <w:rPr>
          <w:rFonts w:hint="eastAsia" w:ascii="仿宋_GB2312" w:hAnsi="仿宋_GB2312" w:eastAsia="仿宋_GB2312" w:cs="仿宋_GB2312"/>
          <w:color w:val="000000"/>
          <w:spacing w:val="0"/>
          <w:w w:val="100"/>
          <w:position w:val="0"/>
          <w:sz w:val="32"/>
          <w:szCs w:val="32"/>
        </w:rPr>
        <w:t>三</w:t>
      </w:r>
      <w:bookmarkEnd w:id="7"/>
      <w:r>
        <w:rPr>
          <w:rFonts w:hint="eastAsia" w:ascii="仿宋_GB2312" w:hAnsi="仿宋_GB2312" w:eastAsia="仿宋_GB2312" w:cs="仿宋_GB2312"/>
          <w:color w:val="000000"/>
          <w:spacing w:val="0"/>
          <w:w w:val="100"/>
          <w:position w:val="0"/>
          <w:sz w:val="32"/>
          <w:szCs w:val="32"/>
        </w:rPr>
        <w:t>、支出决算表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8" w:name="bookmark8"/>
      <w:r>
        <w:rPr>
          <w:rFonts w:hint="eastAsia" w:ascii="仿宋_GB2312" w:hAnsi="仿宋_GB2312" w:eastAsia="仿宋_GB2312" w:cs="仿宋_GB2312"/>
          <w:color w:val="000000"/>
          <w:spacing w:val="0"/>
          <w:w w:val="100"/>
          <w:position w:val="0"/>
          <w:sz w:val="32"/>
          <w:szCs w:val="32"/>
        </w:rPr>
        <w:t>四</w:t>
      </w:r>
      <w:bookmarkEnd w:id="8"/>
      <w:r>
        <w:rPr>
          <w:rFonts w:hint="eastAsia" w:ascii="仿宋_GB2312" w:hAnsi="仿宋_GB2312" w:eastAsia="仿宋_GB2312" w:cs="仿宋_GB2312"/>
          <w:color w:val="000000"/>
          <w:spacing w:val="0"/>
          <w:w w:val="100"/>
          <w:position w:val="0"/>
          <w:sz w:val="32"/>
          <w:szCs w:val="32"/>
        </w:rPr>
        <w:t>、财政拨款收入支出决算总表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9" w:name="bookmark9"/>
      <w:r>
        <w:rPr>
          <w:rFonts w:hint="eastAsia" w:ascii="仿宋_GB2312" w:hAnsi="仿宋_GB2312" w:eastAsia="仿宋_GB2312" w:cs="仿宋_GB2312"/>
          <w:color w:val="000000"/>
          <w:spacing w:val="0"/>
          <w:w w:val="100"/>
          <w:position w:val="0"/>
          <w:sz w:val="32"/>
          <w:szCs w:val="32"/>
        </w:rPr>
        <w:t>五</w:t>
      </w:r>
      <w:bookmarkEnd w:id="9"/>
      <w:r>
        <w:rPr>
          <w:rFonts w:hint="eastAsia" w:ascii="仿宋_GB2312" w:hAnsi="仿宋_GB2312" w:eastAsia="仿宋_GB2312" w:cs="仿宋_GB2312"/>
          <w:color w:val="000000"/>
          <w:spacing w:val="0"/>
          <w:w w:val="100"/>
          <w:position w:val="0"/>
          <w:sz w:val="32"/>
          <w:szCs w:val="32"/>
        </w:rPr>
        <w:t>、一般公共预算财政拨款支出决算表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lang w:eastAsia="zh-CN"/>
        </w:rPr>
      </w:pPr>
      <w:bookmarkStart w:id="10" w:name="bookmark10"/>
      <w:r>
        <w:rPr>
          <w:rFonts w:hint="eastAsia" w:ascii="仿宋_GB2312" w:hAnsi="仿宋_GB2312" w:eastAsia="仿宋_GB2312" w:cs="仿宋_GB2312"/>
          <w:color w:val="000000"/>
          <w:spacing w:val="0"/>
          <w:w w:val="100"/>
          <w:position w:val="0"/>
          <w:sz w:val="32"/>
          <w:szCs w:val="32"/>
        </w:rPr>
        <w:t>六</w:t>
      </w:r>
      <w:bookmarkEnd w:id="10"/>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lang w:eastAsia="zh-CN"/>
        </w:rPr>
        <w:t>一般公共预算财政拨款基本支出决算明细表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11" w:name="bookmark11"/>
      <w:r>
        <w:rPr>
          <w:rFonts w:hint="eastAsia" w:ascii="仿宋_GB2312" w:hAnsi="仿宋_GB2312" w:eastAsia="仿宋_GB2312" w:cs="仿宋_GB2312"/>
          <w:color w:val="000000"/>
          <w:spacing w:val="0"/>
          <w:w w:val="100"/>
          <w:position w:val="0"/>
          <w:sz w:val="32"/>
          <w:szCs w:val="32"/>
        </w:rPr>
        <w:t>七</w:t>
      </w:r>
      <w:bookmarkEnd w:id="11"/>
      <w:r>
        <w:rPr>
          <w:rFonts w:hint="eastAsia" w:ascii="仿宋_GB2312" w:hAnsi="仿宋_GB2312" w:eastAsia="仿宋_GB2312" w:cs="仿宋_GB2312"/>
          <w:color w:val="000000"/>
          <w:spacing w:val="0"/>
          <w:w w:val="100"/>
          <w:position w:val="0"/>
          <w:sz w:val="32"/>
          <w:szCs w:val="32"/>
        </w:rPr>
        <w:t>、一般公共预算财政拨款</w:t>
      </w:r>
      <w:r>
        <w:rPr>
          <w:rFonts w:hint="eastAsia" w:ascii="仿宋_GB2312" w:hAnsi="仿宋_GB2312" w:eastAsia="仿宋_GB2312" w:cs="仿宋_GB2312"/>
          <w:color w:val="000000"/>
          <w:spacing w:val="0"/>
          <w:w w:val="100"/>
          <w:position w:val="0"/>
          <w:sz w:val="32"/>
          <w:szCs w:val="32"/>
          <w:lang w:val="zh-CN" w:eastAsia="zh-CN" w:bidi="zh-CN"/>
        </w:rPr>
        <w:t>“三</w:t>
      </w:r>
      <w:r>
        <w:rPr>
          <w:rFonts w:hint="eastAsia" w:ascii="仿宋_GB2312" w:hAnsi="仿宋_GB2312" w:eastAsia="仿宋_GB2312" w:cs="仿宋_GB2312"/>
          <w:color w:val="000000"/>
          <w:spacing w:val="0"/>
          <w:w w:val="100"/>
          <w:position w:val="0"/>
          <w:sz w:val="32"/>
          <w:szCs w:val="32"/>
        </w:rPr>
        <w:t>公”经费支出决算表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12" w:name="bookmark12"/>
      <w:r>
        <w:rPr>
          <w:rFonts w:hint="eastAsia" w:ascii="仿宋_GB2312" w:hAnsi="仿宋_GB2312" w:eastAsia="仿宋_GB2312" w:cs="仿宋_GB2312"/>
          <w:color w:val="000000"/>
          <w:spacing w:val="0"/>
          <w:w w:val="100"/>
          <w:position w:val="0"/>
          <w:sz w:val="32"/>
          <w:szCs w:val="32"/>
        </w:rPr>
        <w:t>八</w:t>
      </w:r>
      <w:bookmarkEnd w:id="12"/>
      <w:r>
        <w:rPr>
          <w:rFonts w:hint="eastAsia" w:ascii="仿宋_GB2312" w:hAnsi="仿宋_GB2312" w:eastAsia="仿宋_GB2312" w:cs="仿宋_GB2312"/>
          <w:color w:val="000000"/>
          <w:spacing w:val="0"/>
          <w:w w:val="100"/>
          <w:position w:val="0"/>
          <w:sz w:val="32"/>
          <w:szCs w:val="32"/>
        </w:rPr>
        <w:t>、政府性基金预算财政拨款收入支出决算表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13" w:name="bookmark13"/>
      <w:r>
        <w:rPr>
          <w:rFonts w:hint="eastAsia" w:ascii="仿宋_GB2312" w:hAnsi="仿宋_GB2312" w:eastAsia="仿宋_GB2312" w:cs="仿宋_GB2312"/>
          <w:color w:val="000000"/>
          <w:spacing w:val="0"/>
          <w:w w:val="100"/>
          <w:position w:val="0"/>
          <w:sz w:val="32"/>
          <w:szCs w:val="32"/>
        </w:rPr>
        <w:t>九</w:t>
      </w:r>
      <w:bookmarkEnd w:id="13"/>
      <w:r>
        <w:rPr>
          <w:rFonts w:hint="eastAsia" w:ascii="仿宋_GB2312" w:hAnsi="仿宋_GB2312" w:eastAsia="仿宋_GB2312" w:cs="仿宋_GB2312"/>
          <w:color w:val="000000"/>
          <w:spacing w:val="0"/>
          <w:w w:val="100"/>
          <w:position w:val="0"/>
          <w:sz w:val="32"/>
          <w:szCs w:val="32"/>
        </w:rPr>
        <w:t>、国有资本经营预算财政拨款支出决算表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第三部分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lang w:eastAsia="zh-CN"/>
        </w:rPr>
        <w:t>2021</w:t>
      </w:r>
      <w:r>
        <w:rPr>
          <w:rFonts w:hint="eastAsia" w:ascii="仿宋_GB2312" w:hAnsi="仿宋_GB2312" w:eastAsia="仿宋_GB2312" w:cs="仿宋_GB2312"/>
          <w:b/>
          <w:bCs/>
          <w:color w:val="000000"/>
          <w:spacing w:val="0"/>
          <w:w w:val="100"/>
          <w:position w:val="0"/>
          <w:sz w:val="32"/>
          <w:szCs w:val="32"/>
        </w:rPr>
        <w:t>年度部门决算情况说明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bookmarkStart w:id="14" w:name="bookmark14"/>
      <w:r>
        <w:rPr>
          <w:rFonts w:hint="eastAsia" w:ascii="仿宋_GB2312" w:hAnsi="仿宋_GB2312" w:eastAsia="仿宋_GB2312" w:cs="仿宋_GB2312"/>
          <w:color w:val="000000"/>
          <w:spacing w:val="0"/>
          <w:w w:val="100"/>
          <w:position w:val="0"/>
          <w:sz w:val="32"/>
          <w:szCs w:val="32"/>
        </w:rPr>
        <w:t>一</w:t>
      </w:r>
      <w:bookmarkEnd w:id="14"/>
      <w:r>
        <w:rPr>
          <w:rFonts w:hint="eastAsia" w:ascii="仿宋_GB2312" w:hAnsi="仿宋_GB2312" w:eastAsia="仿宋_GB2312" w:cs="仿宋_GB2312"/>
          <w:color w:val="000000"/>
          <w:spacing w:val="0"/>
          <w:w w:val="100"/>
          <w:position w:val="0"/>
          <w:sz w:val="32"/>
          <w:szCs w:val="32"/>
        </w:rPr>
        <w:t>、收入支出决算总体情况说明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二、</w:t>
      </w:r>
      <w:r>
        <w:rPr>
          <w:rFonts w:hint="eastAsia" w:ascii="仿宋_GB2312" w:hAnsi="仿宋_GB2312" w:eastAsia="仿宋_GB2312" w:cs="仿宋_GB2312"/>
          <w:color w:val="000000"/>
          <w:spacing w:val="0"/>
          <w:w w:val="100"/>
          <w:position w:val="0"/>
          <w:sz w:val="32"/>
          <w:szCs w:val="32"/>
          <w:lang w:val="en-US" w:eastAsia="zh-CN"/>
        </w:rPr>
        <w:t>收入决算情况说明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t>三、</w:t>
      </w:r>
      <w:r>
        <w:rPr>
          <w:rFonts w:hint="eastAsia" w:ascii="仿宋_GB2312" w:hAnsi="仿宋_GB2312" w:eastAsia="仿宋_GB2312" w:cs="仿宋_GB2312"/>
          <w:color w:val="000000"/>
          <w:spacing w:val="0"/>
          <w:w w:val="100"/>
          <w:position w:val="0"/>
          <w:sz w:val="32"/>
          <w:szCs w:val="32"/>
          <w:lang w:val="en-US" w:eastAsia="zh-CN"/>
        </w:rPr>
        <w:t>支出决算情况说明</w:t>
      </w:r>
    </w:p>
    <w:p>
      <w:pPr>
        <w:pStyle w:val="13"/>
        <w:keepNext w:val="0"/>
        <w:keepLines w:val="0"/>
        <w:pageBreakBefore w:val="0"/>
        <w:widowControl w:val="0"/>
        <w:numPr>
          <w:ilvl w:val="0"/>
          <w:numId w:val="0"/>
        </w:numPr>
        <w:shd w:val="clear" w:color="auto" w:fill="auto"/>
        <w:tabs>
          <w:tab w:val="left" w:pos="822"/>
        </w:tabs>
        <w:kinsoku/>
        <w:wordWrap/>
        <w:overflowPunct/>
        <w:topLinePunct w:val="0"/>
        <w:autoSpaceDE/>
        <w:autoSpaceDN/>
        <w:bidi w:val="0"/>
        <w:adjustRightInd/>
        <w:snapToGrid/>
        <w:spacing w:before="0" w:after="0" w:line="360" w:lineRule="auto"/>
        <w:ind w:right="0" w:rightChars="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四、</w:t>
      </w:r>
      <w:r>
        <w:rPr>
          <w:rFonts w:hint="eastAsia" w:ascii="仿宋_GB2312" w:hAnsi="仿宋_GB2312" w:eastAsia="仿宋_GB2312" w:cs="仿宋_GB2312"/>
          <w:color w:val="000000"/>
          <w:spacing w:val="0"/>
          <w:w w:val="100"/>
          <w:position w:val="0"/>
          <w:sz w:val="32"/>
          <w:szCs w:val="32"/>
        </w:rPr>
        <w:t>财政拨款收入支出决算总体情况说明</w:t>
      </w:r>
    </w:p>
    <w:p>
      <w:pPr>
        <w:pStyle w:val="13"/>
        <w:keepNext w:val="0"/>
        <w:keepLines w:val="0"/>
        <w:pageBreakBefore w:val="0"/>
        <w:widowControl w:val="0"/>
        <w:numPr>
          <w:ilvl w:val="0"/>
          <w:numId w:val="0"/>
        </w:numPr>
        <w:shd w:val="clear" w:color="auto" w:fill="auto"/>
        <w:tabs>
          <w:tab w:val="left" w:pos="822"/>
        </w:tabs>
        <w:kinsoku/>
        <w:wordWrap/>
        <w:overflowPunct/>
        <w:topLinePunct w:val="0"/>
        <w:autoSpaceDE/>
        <w:autoSpaceDN/>
        <w:bidi w:val="0"/>
        <w:adjustRightInd/>
        <w:snapToGrid/>
        <w:spacing w:before="0" w:after="0" w:line="360" w:lineRule="auto"/>
        <w:ind w:right="0" w:rightChars="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五、</w:t>
      </w:r>
      <w:r>
        <w:rPr>
          <w:rFonts w:hint="eastAsia" w:ascii="仿宋_GB2312" w:hAnsi="仿宋_GB2312" w:eastAsia="仿宋_GB2312" w:cs="仿宋_GB2312"/>
          <w:color w:val="000000"/>
          <w:spacing w:val="0"/>
          <w:w w:val="100"/>
          <w:position w:val="0"/>
          <w:sz w:val="32"/>
          <w:szCs w:val="32"/>
        </w:rPr>
        <w:t>一般公共预算财政拨款支出决算情况说明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六</w:t>
      </w:r>
      <w:r>
        <w:rPr>
          <w:rFonts w:hint="eastAsia" w:ascii="仿宋_GB2312" w:hAnsi="仿宋_GB2312" w:eastAsia="仿宋_GB2312" w:cs="仿宋_GB2312"/>
          <w:color w:val="000000"/>
          <w:spacing w:val="0"/>
          <w:w w:val="100"/>
          <w:position w:val="0"/>
          <w:sz w:val="32"/>
          <w:szCs w:val="32"/>
        </w:rPr>
        <w:t>、一般公共预算财政拨款基本支出决算情况说明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七、一般公共预算财政拨款“三公”经费支出决算情况说明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八</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机关运行经费支出情况说明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九</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国有资产占用情况说明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十</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政府采购支岀情况说明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十一</w:t>
      </w:r>
      <w:r>
        <w:rPr>
          <w:rFonts w:hint="eastAsia" w:ascii="仿宋_GB2312" w:hAnsi="仿宋_GB2312" w:eastAsia="仿宋_GB2312" w:cs="仿宋_GB2312"/>
          <w:color w:val="000000"/>
          <w:spacing w:val="0"/>
          <w:w w:val="100"/>
          <w:position w:val="0"/>
          <w:sz w:val="32"/>
          <w:szCs w:val="32"/>
        </w:rPr>
        <w:t>、政府性基金预算财政拨款收支决算情况说明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十二</w:t>
      </w:r>
      <w:r>
        <w:rPr>
          <w:rFonts w:hint="eastAsia" w:ascii="仿宋_GB2312" w:hAnsi="仿宋_GB2312" w:eastAsia="仿宋_GB2312" w:cs="仿宋_GB2312"/>
          <w:color w:val="000000"/>
          <w:spacing w:val="0"/>
          <w:w w:val="100"/>
          <w:position w:val="0"/>
          <w:sz w:val="32"/>
          <w:szCs w:val="32"/>
        </w:rPr>
        <w:t>、国有资本经营预算财政拨款支出情况说明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十三</w:t>
      </w:r>
      <w:r>
        <w:rPr>
          <w:rFonts w:hint="eastAsia" w:ascii="仿宋_GB2312" w:hAnsi="仿宋_GB2312" w:eastAsia="仿宋_GB2312" w:cs="仿宋_GB2312"/>
          <w:color w:val="000000"/>
          <w:spacing w:val="0"/>
          <w:w w:val="100"/>
          <w:position w:val="0"/>
          <w:sz w:val="32"/>
          <w:szCs w:val="32"/>
        </w:rPr>
        <w:t>、预算绩效情况说明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sectPr>
          <w:footerReference r:id="rId5" w:type="default"/>
          <w:footnotePr>
            <w:numFmt w:val="decimal"/>
          </w:footnotePr>
          <w:pgSz w:w="11900" w:h="16840"/>
          <w:pgMar w:top="1358" w:right="1863" w:bottom="1616" w:left="1685" w:header="930" w:footer="3" w:gutter="0"/>
          <w:pgNumType w:start="1"/>
          <w:cols w:space="720" w:num="1"/>
          <w:rtlGutter w:val="0"/>
          <w:docGrid w:linePitch="360" w:charSpace="0"/>
        </w:sectPr>
      </w:pPr>
      <w:r>
        <w:rPr>
          <w:rFonts w:hint="eastAsia" w:ascii="仿宋_GB2312" w:hAnsi="仿宋_GB2312" w:eastAsia="仿宋_GB2312" w:cs="仿宋_GB2312"/>
          <w:b/>
          <w:bCs/>
          <w:color w:val="000000"/>
          <w:spacing w:val="0"/>
          <w:w w:val="100"/>
          <w:position w:val="0"/>
          <w:sz w:val="32"/>
          <w:szCs w:val="32"/>
        </w:rPr>
        <w:t>第四部分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名词解释</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lang w:eastAsia="zh-CN"/>
        </w:rPr>
      </w:pPr>
      <w:r>
        <w:rPr>
          <w:rFonts w:hint="eastAsia" w:ascii="仿宋_GB2312" w:hAnsi="仿宋_GB2312" w:eastAsia="仿宋_GB2312" w:cs="仿宋_GB2312"/>
          <w:b/>
          <w:bCs/>
          <w:color w:val="000000"/>
          <w:spacing w:val="0"/>
          <w:w w:val="100"/>
          <w:position w:val="0"/>
          <w:sz w:val="32"/>
          <w:szCs w:val="32"/>
        </w:rPr>
        <w:t>第一部分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部门（单位）</w:t>
      </w:r>
      <w:r>
        <w:rPr>
          <w:rFonts w:hint="eastAsia" w:ascii="仿宋_GB2312" w:hAnsi="仿宋_GB2312" w:eastAsia="仿宋_GB2312" w:cs="仿宋_GB2312"/>
          <w:b/>
          <w:bCs/>
          <w:color w:val="000000"/>
          <w:spacing w:val="0"/>
          <w:w w:val="100"/>
          <w:position w:val="0"/>
          <w:sz w:val="32"/>
          <w:szCs w:val="32"/>
          <w:lang w:eastAsia="zh-CN"/>
        </w:rPr>
        <w:t>概括</w:t>
      </w:r>
    </w:p>
    <w:p>
      <w:pPr>
        <w:spacing w:line="640" w:lineRule="exact"/>
        <w:ind w:firstLine="723" w:firstLineChars="200"/>
        <w:rPr>
          <w:rFonts w:hint="eastAsia" w:ascii="仿宋_GB2312" w:hAnsi="SimHei" w:eastAsia="仿宋_GB2312"/>
          <w:b/>
          <w:bCs/>
          <w:sz w:val="36"/>
          <w:szCs w:val="36"/>
        </w:rPr>
      </w:pPr>
      <w:r>
        <w:rPr>
          <w:rFonts w:hint="eastAsia" w:ascii="仿宋_GB2312" w:hAnsi="SimHei" w:eastAsia="仿宋_GB2312"/>
          <w:b/>
          <w:bCs/>
          <w:sz w:val="36"/>
          <w:szCs w:val="36"/>
        </w:rPr>
        <w:t>一 、部门职责</w:t>
      </w:r>
    </w:p>
    <w:p>
      <w:pPr>
        <w:spacing w:line="640" w:lineRule="exact"/>
        <w:ind w:firstLine="640" w:firstLineChars="200"/>
        <w:rPr>
          <w:rFonts w:hint="eastAsia" w:ascii="仿宋_GB2312" w:hAnsi="SimHei" w:eastAsia="仿宋_GB2312"/>
          <w:sz w:val="32"/>
          <w:szCs w:val="32"/>
        </w:rPr>
      </w:pPr>
      <w:r>
        <w:rPr>
          <w:rFonts w:hint="eastAsia" w:ascii="仿宋_GB2312" w:hAnsi="SimHei" w:eastAsia="仿宋_GB2312"/>
          <w:sz w:val="32"/>
          <w:szCs w:val="32"/>
          <w:lang w:eastAsia="zh-CN"/>
        </w:rPr>
        <w:t>（</w:t>
      </w:r>
      <w:r>
        <w:rPr>
          <w:rFonts w:hint="eastAsia" w:ascii="仿宋_GB2312" w:hAnsi="SimHei" w:eastAsia="仿宋_GB2312"/>
          <w:sz w:val="32"/>
          <w:szCs w:val="32"/>
        </w:rPr>
        <w:t>一）贯彻执行国家和省、州有关交通运输工作的方针、政策、法律法规，拟定全县公路、水路</w:t>
      </w:r>
    </w:p>
    <w:p>
      <w:pPr>
        <w:spacing w:line="640" w:lineRule="exact"/>
        <w:rPr>
          <w:rFonts w:hint="eastAsia" w:ascii="仿宋_GB2312" w:hAnsi="SimHei" w:eastAsia="仿宋_GB2312"/>
          <w:sz w:val="32"/>
          <w:szCs w:val="32"/>
        </w:rPr>
      </w:pPr>
      <w:r>
        <w:rPr>
          <w:rFonts w:hint="eastAsia" w:ascii="仿宋_GB2312" w:hAnsi="SimHei" w:eastAsia="仿宋_GB2312"/>
          <w:sz w:val="32"/>
          <w:szCs w:val="32"/>
        </w:rPr>
        <w:t>、城市交通运输行业发展战略、政策并监督执行。</w:t>
      </w:r>
    </w:p>
    <w:p>
      <w:pPr>
        <w:spacing w:line="640" w:lineRule="exact"/>
        <w:ind w:firstLine="640" w:firstLineChars="200"/>
        <w:rPr>
          <w:rFonts w:hint="eastAsia" w:ascii="仿宋_GB2312" w:hAnsi="SimHei" w:eastAsia="仿宋_GB2312"/>
          <w:sz w:val="32"/>
          <w:szCs w:val="32"/>
        </w:rPr>
      </w:pPr>
      <w:r>
        <w:rPr>
          <w:rFonts w:hint="eastAsia" w:ascii="仿宋_GB2312" w:hAnsi="SimHei" w:eastAsia="仿宋_GB2312"/>
          <w:sz w:val="32"/>
          <w:szCs w:val="32"/>
        </w:rPr>
        <w:t>（二）承担涉及综合运输体系的规划协调工</w:t>
      </w:r>
    </w:p>
    <w:p>
      <w:pPr>
        <w:spacing w:line="640" w:lineRule="exact"/>
        <w:rPr>
          <w:rFonts w:hint="eastAsia" w:ascii="仿宋_GB2312" w:hAnsi="SimHei" w:eastAsia="仿宋_GB2312"/>
          <w:sz w:val="32"/>
          <w:szCs w:val="32"/>
        </w:rPr>
      </w:pPr>
      <w:r>
        <w:rPr>
          <w:rFonts w:hint="eastAsia" w:ascii="仿宋_GB2312" w:hAnsi="SimHei" w:eastAsia="仿宋_GB2312"/>
          <w:sz w:val="32"/>
          <w:szCs w:val="32"/>
        </w:rPr>
        <w:t>作，组织编制综合运输体系规划；负责编制全县公路、水陆交通运输行业的发展规划、中长期计划</w:t>
      </w:r>
    </w:p>
    <w:p>
      <w:pPr>
        <w:spacing w:line="640" w:lineRule="exact"/>
        <w:rPr>
          <w:rFonts w:hint="eastAsia" w:ascii="仿宋_GB2312" w:hAnsi="SimHei" w:eastAsia="仿宋_GB2312"/>
          <w:sz w:val="32"/>
          <w:szCs w:val="32"/>
        </w:rPr>
      </w:pPr>
      <w:r>
        <w:rPr>
          <w:rFonts w:hint="eastAsia" w:ascii="仿宋_GB2312" w:hAnsi="SimHei" w:eastAsia="仿宋_GB2312"/>
          <w:sz w:val="32"/>
          <w:szCs w:val="32"/>
        </w:rPr>
        <w:t>和年度计划并组织实施；负责全县道路运输站场、码头布局规划；负责全县交通运输行业统计、发展预测、经济运行分析和信息引导工作。</w:t>
      </w:r>
    </w:p>
    <w:p>
      <w:pPr>
        <w:spacing w:line="640" w:lineRule="exact"/>
        <w:ind w:firstLine="640" w:firstLineChars="200"/>
        <w:rPr>
          <w:rFonts w:hint="eastAsia" w:ascii="仿宋_GB2312" w:hAnsi="SimHei" w:eastAsia="仿宋_GB2312"/>
          <w:sz w:val="32"/>
          <w:szCs w:val="32"/>
        </w:rPr>
      </w:pPr>
      <w:r>
        <w:rPr>
          <w:rFonts w:hint="eastAsia" w:ascii="仿宋_GB2312" w:hAnsi="SimHei" w:eastAsia="仿宋_GB2312"/>
          <w:sz w:val="32"/>
          <w:szCs w:val="32"/>
        </w:rPr>
        <w:t>（三）负责全县道路、水路运输市场监督管理，负责辖</w:t>
      </w:r>
    </w:p>
    <w:p>
      <w:pPr>
        <w:spacing w:line="640" w:lineRule="exact"/>
        <w:rPr>
          <w:rFonts w:hint="eastAsia" w:ascii="仿宋_GB2312" w:hAnsi="SimHei" w:eastAsia="仿宋_GB2312"/>
          <w:sz w:val="32"/>
          <w:szCs w:val="32"/>
        </w:rPr>
      </w:pPr>
      <w:r>
        <w:rPr>
          <w:rFonts w:hint="eastAsia" w:ascii="仿宋_GB2312" w:hAnsi="SimHei" w:eastAsia="仿宋_GB2312"/>
          <w:sz w:val="32"/>
          <w:szCs w:val="32"/>
        </w:rPr>
        <w:t>区内渔船检验和监督管理；执行道路、水路运输有关政策、准入制度、技术标准和运营规范并监督实施；指导全县城市及农村客货运输管理、出租汽车行业管理、城市交通的运营管理，参与城市交通规划工作；组织重点物资运输和救灾、节日运输等经济客货运输。</w:t>
      </w:r>
    </w:p>
    <w:p>
      <w:pPr>
        <w:numPr>
          <w:ilvl w:val="0"/>
          <w:numId w:val="1"/>
        </w:numPr>
        <w:spacing w:line="640" w:lineRule="exact"/>
        <w:ind w:left="80" w:leftChars="0" w:firstLine="640" w:firstLineChars="0"/>
        <w:rPr>
          <w:rFonts w:hint="eastAsia" w:ascii="仿宋_GB2312" w:hAnsi="SimHei" w:eastAsia="仿宋_GB2312"/>
          <w:sz w:val="32"/>
          <w:szCs w:val="32"/>
        </w:rPr>
      </w:pPr>
      <w:r>
        <w:rPr>
          <w:rFonts w:hint="eastAsia" w:ascii="仿宋_GB2312" w:hAnsi="SimHei" w:eastAsia="仿宋_GB2312"/>
          <w:sz w:val="32"/>
          <w:szCs w:val="32"/>
        </w:rPr>
        <w:t>负责组织全县公路、水路等综合运输基础设施的建设、维护和管理；负责重点交通基础设施项目的计划书编制、前期工作、项目实施和竣工验收；负责客货运输站场、码头及航道建设与管理。</w:t>
      </w:r>
    </w:p>
    <w:p>
      <w:pPr>
        <w:numPr>
          <w:ilvl w:val="0"/>
          <w:numId w:val="1"/>
        </w:numPr>
        <w:spacing w:line="640" w:lineRule="exact"/>
        <w:ind w:left="80" w:leftChars="0" w:firstLine="640" w:firstLineChars="0"/>
        <w:rPr>
          <w:rFonts w:hint="eastAsia" w:ascii="仿宋_GB2312" w:hAnsi="SimHei" w:eastAsia="仿宋_GB2312"/>
          <w:sz w:val="32"/>
          <w:szCs w:val="32"/>
        </w:rPr>
      </w:pPr>
      <w:r>
        <w:rPr>
          <w:rFonts w:hint="eastAsia" w:ascii="仿宋_GB2312" w:hAnsi="SimHei" w:eastAsia="仿宋_GB2312"/>
          <w:sz w:val="32"/>
          <w:szCs w:val="32"/>
        </w:rPr>
        <w:t>负责全县交通基础设施建设市场监督管理；执行公路、水路工程建设相关政策、制度和技术标准并监督实施；负责全县交通基础设施工程质量监督、工程定额、工程造价和工程招标工作的行业管理。</w:t>
      </w:r>
    </w:p>
    <w:p>
      <w:pPr>
        <w:numPr>
          <w:ilvl w:val="0"/>
          <w:numId w:val="1"/>
        </w:numPr>
        <w:spacing w:line="640" w:lineRule="exact"/>
        <w:ind w:left="80" w:leftChars="0" w:firstLine="640" w:firstLineChars="0"/>
        <w:rPr>
          <w:rFonts w:hint="eastAsia" w:ascii="仿宋_GB2312" w:hAnsi="SimHei" w:eastAsia="仿宋_GB2312"/>
          <w:sz w:val="32"/>
          <w:szCs w:val="32"/>
        </w:rPr>
      </w:pPr>
      <w:r>
        <w:rPr>
          <w:rFonts w:hint="eastAsia" w:ascii="仿宋_GB2312" w:hAnsi="SimHei" w:eastAsia="仿宋_GB2312"/>
          <w:sz w:val="32"/>
          <w:szCs w:val="32"/>
        </w:rPr>
        <w:t>负责全县公路养护，组织对公路水毁等阻断交通的紧急抢修；负责公路交通的战备工作。</w:t>
      </w:r>
    </w:p>
    <w:p>
      <w:pPr>
        <w:numPr>
          <w:ilvl w:val="0"/>
          <w:numId w:val="1"/>
        </w:numPr>
        <w:spacing w:line="640" w:lineRule="exact"/>
        <w:ind w:left="80" w:leftChars="0" w:firstLine="640" w:firstLineChars="0"/>
        <w:rPr>
          <w:rFonts w:hint="eastAsia" w:ascii="仿宋_GB2312" w:hAnsi="SimHei" w:eastAsia="仿宋_GB2312"/>
          <w:sz w:val="32"/>
          <w:szCs w:val="32"/>
        </w:rPr>
      </w:pPr>
      <w:r>
        <w:rPr>
          <w:rFonts w:hint="eastAsia" w:ascii="仿宋_GB2312" w:hAnsi="SimHei" w:eastAsia="仿宋_GB2312"/>
          <w:sz w:val="32"/>
          <w:szCs w:val="32"/>
        </w:rPr>
        <w:t>负责局属单位劳动工资、人事调动、岗位规范、职称评聘的计划和审核上报等管理工作。</w:t>
      </w:r>
    </w:p>
    <w:p>
      <w:pPr>
        <w:numPr>
          <w:ilvl w:val="0"/>
          <w:numId w:val="1"/>
        </w:numPr>
        <w:spacing w:line="640" w:lineRule="exact"/>
        <w:ind w:left="80" w:leftChars="0" w:firstLine="640" w:firstLineChars="0"/>
        <w:rPr>
          <w:rFonts w:hint="eastAsia" w:ascii="仿宋_GB2312" w:hAnsi="SimHei" w:eastAsia="仿宋_GB2312"/>
          <w:sz w:val="32"/>
          <w:szCs w:val="32"/>
        </w:rPr>
      </w:pPr>
      <w:r>
        <w:rPr>
          <w:rFonts w:hint="eastAsia" w:ascii="仿宋_GB2312" w:hAnsi="SimHei" w:eastAsia="仿宋_GB2312"/>
          <w:sz w:val="32"/>
          <w:szCs w:val="32"/>
        </w:rPr>
        <w:t>指导全县交通运输行业体制改革；负责全县交通运输行政执法、执法监督、行政诉讼、行政复议及交通法</w:t>
      </w:r>
    </w:p>
    <w:p>
      <w:pPr>
        <w:spacing w:line="640" w:lineRule="exact"/>
        <w:rPr>
          <w:rFonts w:hint="eastAsia" w:ascii="仿宋_GB2312" w:hAnsi="SimHei" w:eastAsia="仿宋_GB2312"/>
          <w:sz w:val="32"/>
          <w:szCs w:val="32"/>
        </w:rPr>
      </w:pPr>
      <w:r>
        <w:rPr>
          <w:rFonts w:hint="eastAsia" w:ascii="仿宋_GB2312" w:hAnsi="SimHei" w:eastAsia="仿宋_GB2312"/>
          <w:sz w:val="32"/>
          <w:szCs w:val="32"/>
        </w:rPr>
        <w:t>制宣传教育。</w:t>
      </w:r>
    </w:p>
    <w:p>
      <w:pPr>
        <w:numPr>
          <w:ilvl w:val="0"/>
          <w:numId w:val="1"/>
        </w:numPr>
        <w:spacing w:line="640" w:lineRule="exact"/>
        <w:ind w:left="80" w:leftChars="0" w:firstLine="640" w:firstLineChars="0"/>
        <w:rPr>
          <w:rFonts w:hint="eastAsia" w:ascii="仿宋_GB2312" w:hAnsi="SimHei" w:eastAsia="仿宋_GB2312"/>
          <w:sz w:val="32"/>
          <w:szCs w:val="32"/>
          <w:lang w:eastAsia="zh-CN"/>
        </w:rPr>
      </w:pPr>
      <w:r>
        <w:rPr>
          <w:rFonts w:hint="eastAsia" w:ascii="仿宋_GB2312" w:hAnsi="SimHei" w:eastAsia="仿宋_GB2312"/>
          <w:sz w:val="32"/>
          <w:szCs w:val="32"/>
        </w:rPr>
        <w:t>负责全县道路、水路运输和公路、水运工程安全生产监督管理、指导和组织实施公路、水路行业应急管理工作；依法对交通行业生产经营进行安全生产监督检查</w:t>
      </w:r>
      <w:r>
        <w:rPr>
          <w:rFonts w:hint="eastAsia" w:ascii="仿宋_GB2312" w:hAnsi="SimHei" w:eastAsia="仿宋_GB2312"/>
          <w:sz w:val="32"/>
          <w:szCs w:val="32"/>
          <w:lang w:eastAsia="zh-CN"/>
        </w:rPr>
        <w:t>。</w:t>
      </w:r>
    </w:p>
    <w:p>
      <w:pPr>
        <w:numPr>
          <w:ilvl w:val="0"/>
          <w:numId w:val="1"/>
        </w:numPr>
        <w:spacing w:line="640" w:lineRule="exact"/>
        <w:ind w:left="80" w:leftChars="0" w:firstLine="640" w:firstLineChars="0"/>
        <w:rPr>
          <w:rFonts w:hint="eastAsia" w:ascii="仿宋_GB2312" w:hAnsi="SimHei" w:eastAsia="仿宋_GB2312"/>
          <w:sz w:val="32"/>
          <w:szCs w:val="32"/>
        </w:rPr>
      </w:pPr>
      <w:r>
        <w:rPr>
          <w:rFonts w:hint="eastAsia" w:ascii="仿宋_GB2312" w:hAnsi="SimHei" w:eastAsia="仿宋_GB2312"/>
          <w:sz w:val="32"/>
          <w:szCs w:val="32"/>
        </w:rPr>
        <w:t>负责全县交通运输行业国防交通保障和民用运力动员、科技管理、节能减排、信息化建设与管理、社</w:t>
      </w:r>
    </w:p>
    <w:p>
      <w:pPr>
        <w:spacing w:line="640" w:lineRule="exact"/>
        <w:rPr>
          <w:rFonts w:hint="eastAsia" w:ascii="仿宋_GB2312" w:hAnsi="SimHei" w:eastAsia="仿宋_GB2312"/>
          <w:sz w:val="32"/>
          <w:szCs w:val="32"/>
        </w:rPr>
      </w:pPr>
      <w:r>
        <w:rPr>
          <w:rFonts w:hint="eastAsia" w:ascii="仿宋_GB2312" w:hAnsi="SimHei" w:eastAsia="仿宋_GB2312"/>
          <w:sz w:val="32"/>
          <w:szCs w:val="32"/>
        </w:rPr>
        <w:t>会治安综合治理工作。</w:t>
      </w:r>
    </w:p>
    <w:p>
      <w:pPr>
        <w:spacing w:line="640" w:lineRule="exact"/>
        <w:ind w:firstLine="640" w:firstLineChars="200"/>
        <w:rPr>
          <w:rFonts w:hint="eastAsia" w:ascii="仿宋_GB2312" w:hAnsi="SimHei" w:eastAsia="仿宋_GB2312"/>
          <w:sz w:val="32"/>
          <w:szCs w:val="32"/>
          <w:lang w:eastAsia="zh-CN"/>
        </w:rPr>
      </w:pPr>
      <w:r>
        <w:rPr>
          <w:rFonts w:hint="eastAsia" w:ascii="仿宋_GB2312" w:hAnsi="SimHei" w:eastAsia="仿宋_GB2312"/>
          <w:sz w:val="32"/>
          <w:szCs w:val="32"/>
        </w:rPr>
        <w:t>（十一）指导全县交通运输行业人才队伍建设、精神文明建设和廉政建设</w:t>
      </w:r>
      <w:r>
        <w:rPr>
          <w:rFonts w:hint="eastAsia" w:ascii="仿宋_GB2312" w:hAnsi="SimHei" w:eastAsia="仿宋_GB2312"/>
          <w:sz w:val="32"/>
          <w:szCs w:val="32"/>
          <w:lang w:eastAsia="zh-CN"/>
        </w:rPr>
        <w:t>。</w:t>
      </w:r>
    </w:p>
    <w:p>
      <w:pPr>
        <w:spacing w:line="640" w:lineRule="exact"/>
        <w:ind w:firstLine="640" w:firstLineChars="200"/>
        <w:rPr>
          <w:rFonts w:hint="eastAsia" w:ascii="仿宋_GB2312" w:hAnsi="SimHei" w:eastAsia="仿宋_GB2312"/>
          <w:sz w:val="32"/>
          <w:szCs w:val="32"/>
        </w:rPr>
      </w:pPr>
      <w:r>
        <w:rPr>
          <w:rFonts w:hint="eastAsia" w:ascii="仿宋_GB2312" w:hAnsi="SimHei" w:eastAsia="仿宋_GB2312"/>
          <w:sz w:val="32"/>
          <w:szCs w:val="32"/>
        </w:rPr>
        <w:t>（十二）完成县委、县政府和省州上级机关交办的其他事任务。</w:t>
      </w:r>
    </w:p>
    <w:p>
      <w:pPr>
        <w:spacing w:line="640" w:lineRule="exact"/>
        <w:ind w:firstLine="640" w:firstLineChars="200"/>
        <w:rPr>
          <w:rFonts w:hint="eastAsia" w:ascii="仿宋_GB2312" w:hAnsi="SimHei" w:eastAsia="仿宋_GB2312"/>
          <w:sz w:val="32"/>
          <w:szCs w:val="32"/>
        </w:rPr>
      </w:pPr>
      <w:r>
        <w:rPr>
          <w:rFonts w:hint="eastAsia" w:ascii="仿宋_GB2312" w:hAnsi="SimHei" w:eastAsia="仿宋_GB2312"/>
          <w:sz w:val="32"/>
          <w:szCs w:val="32"/>
        </w:rPr>
        <w:t>（十三）职能转变。县交通运输局应加强、优化、统筹全县交通运输方面的能力建设。</w:t>
      </w:r>
    </w:p>
    <w:p>
      <w:pPr>
        <w:spacing w:line="640" w:lineRule="exact"/>
        <w:ind w:firstLine="723" w:firstLineChars="200"/>
        <w:rPr>
          <w:rFonts w:hint="eastAsia" w:ascii="仿宋_GB2312" w:hAnsi="SimHei" w:eastAsia="仿宋_GB2312"/>
          <w:b/>
          <w:bCs/>
          <w:sz w:val="36"/>
          <w:szCs w:val="36"/>
        </w:rPr>
      </w:pPr>
      <w:r>
        <w:rPr>
          <w:rFonts w:hint="eastAsia" w:ascii="仿宋_GB2312" w:hAnsi="SimHei" w:eastAsia="仿宋_GB2312"/>
          <w:b/>
          <w:bCs/>
          <w:sz w:val="36"/>
          <w:szCs w:val="36"/>
        </w:rPr>
        <w:t>二 、机构设置</w:t>
      </w:r>
    </w:p>
    <w:p>
      <w:pPr>
        <w:spacing w:line="640" w:lineRule="exact"/>
        <w:ind w:firstLine="640" w:firstLineChars="200"/>
        <w:rPr>
          <w:rFonts w:hint="eastAsia" w:ascii="仿宋_GB2312" w:hAnsi="SimHei" w:eastAsia="仿宋_GB2312"/>
          <w:sz w:val="32"/>
          <w:szCs w:val="32"/>
        </w:rPr>
      </w:pPr>
      <w:r>
        <w:rPr>
          <w:rFonts w:hint="eastAsia" w:ascii="仿宋_GB2312" w:hAnsi="SimHei" w:eastAsia="仿宋_GB2312"/>
          <w:sz w:val="32"/>
          <w:szCs w:val="32"/>
        </w:rPr>
        <w:t>内设机构：</w:t>
      </w:r>
    </w:p>
    <w:p>
      <w:pPr>
        <w:spacing w:line="640" w:lineRule="exact"/>
        <w:ind w:firstLine="960" w:firstLineChars="300"/>
        <w:rPr>
          <w:rFonts w:hint="eastAsia" w:ascii="仿宋_GB2312" w:hAnsi="SimHei" w:eastAsia="仿宋_GB2312"/>
          <w:sz w:val="32"/>
          <w:szCs w:val="32"/>
        </w:rPr>
      </w:pPr>
      <w:r>
        <w:rPr>
          <w:rFonts w:hint="eastAsia" w:ascii="仿宋_GB2312" w:hAnsi="SimHei" w:eastAsia="仿宋_GB2312"/>
          <w:sz w:val="32"/>
          <w:szCs w:val="32"/>
        </w:rPr>
        <w:t>（一）办公室。负责文秘、人事、机构编制、档案、信访、保密、新闻宣传、政务督查、会议的组织工作；负责局机关及局属单位干部职工调配、考察、奖惩和劳动工资、保险福利工作；负责系统专业技术人员的管理和技术职务的评审；负责机关离退休干部管理、行政服务、房屋财产管理、办公设施和后勤服务工作；负责提案议案办理工作；指导交通行政执法工作；负责交通行政执法监督检查、行政复议和行政诉讼；负责政务公开工作；负责制导系统综合治理和精神文明建设工作；负责协调办理交通战备工作。</w:t>
      </w:r>
    </w:p>
    <w:p>
      <w:pPr>
        <w:spacing w:line="640" w:lineRule="exact"/>
        <w:ind w:firstLine="640" w:firstLineChars="200"/>
        <w:rPr>
          <w:rFonts w:hint="eastAsia" w:ascii="仿宋_GB2312" w:hAnsi="SimHei" w:eastAsia="仿宋_GB2312"/>
          <w:sz w:val="32"/>
          <w:szCs w:val="32"/>
        </w:rPr>
      </w:pPr>
      <w:r>
        <w:rPr>
          <w:rFonts w:hint="eastAsia" w:ascii="仿宋_GB2312" w:hAnsi="SimHei" w:eastAsia="仿宋_GB2312"/>
          <w:sz w:val="32"/>
          <w:szCs w:val="32"/>
        </w:rPr>
        <w:t>（二）财务股。负责交通系统财务会计制度的组织</w:t>
      </w:r>
    </w:p>
    <w:p>
      <w:pPr>
        <w:spacing w:line="640" w:lineRule="exact"/>
        <w:rPr>
          <w:rFonts w:hint="eastAsia" w:ascii="仿宋_GB2312" w:hAnsi="SimHei" w:eastAsia="仿宋_GB2312"/>
          <w:sz w:val="32"/>
          <w:szCs w:val="32"/>
        </w:rPr>
      </w:pPr>
      <w:r>
        <w:rPr>
          <w:rFonts w:hint="eastAsia" w:ascii="仿宋_GB2312" w:hAnsi="SimHei" w:eastAsia="仿宋_GB2312"/>
          <w:sz w:val="32"/>
          <w:szCs w:val="32"/>
        </w:rPr>
        <w:t>实施；负责局属单位国有资产管理和保值增值的监督；综合管理交通建设资金、其它专项资金；负</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SimHei" w:eastAsia="仿宋_GB2312"/>
          <w:sz w:val="32"/>
          <w:szCs w:val="32"/>
        </w:rPr>
      </w:pPr>
      <w:r>
        <w:rPr>
          <w:rFonts w:hint="eastAsia" w:ascii="仿宋_GB2312" w:hAnsi="SimHei" w:eastAsia="仿宋_GB2312"/>
          <w:sz w:val="32"/>
          <w:szCs w:val="32"/>
        </w:rPr>
        <w:t>责局机关行政经费和所属事业单位事业经费的预算决算；负责交通系统财务审计监督工作。</w:t>
      </w:r>
    </w:p>
    <w:p>
      <w:pPr>
        <w:pStyle w:val="13"/>
        <w:keepNext w:val="0"/>
        <w:keepLines w:val="0"/>
        <w:pageBreakBefore w:val="0"/>
        <w:widowControl w:val="0"/>
        <w:numPr>
          <w:ilvl w:val="0"/>
          <w:numId w:val="2"/>
        </w:numPr>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SimHei" w:eastAsia="仿宋_GB2312"/>
          <w:sz w:val="32"/>
          <w:szCs w:val="32"/>
        </w:rPr>
      </w:pPr>
      <w:r>
        <w:rPr>
          <w:rFonts w:hint="eastAsia" w:ascii="仿宋_GB2312" w:hAnsi="SimHei" w:eastAsia="仿宋_GB2312"/>
          <w:sz w:val="32"/>
          <w:szCs w:val="32"/>
        </w:rPr>
        <w:t>建设管理股。负责管理交通基础设施建设市场，维护交通行业基本建设市场平等竞争秩序；负责工程招标资格审查、工程造价工作的行业管理；负责重点交通建设项目的协调服务工作。</w:t>
      </w:r>
    </w:p>
    <w:p>
      <w:pPr>
        <w:pStyle w:val="13"/>
        <w:keepNext w:val="0"/>
        <w:keepLines w:val="0"/>
        <w:pageBreakBefore w:val="0"/>
        <w:widowControl w:val="0"/>
        <w:numPr>
          <w:ilvl w:val="0"/>
          <w:numId w:val="2"/>
        </w:numPr>
        <w:shd w:val="clear" w:color="auto" w:fill="auto"/>
        <w:tabs>
          <w:tab w:val="left" w:pos="822"/>
        </w:tabs>
        <w:kinsoku/>
        <w:wordWrap/>
        <w:overflowPunct/>
        <w:topLinePunct w:val="0"/>
        <w:autoSpaceDE/>
        <w:autoSpaceDN/>
        <w:bidi w:val="0"/>
        <w:adjustRightInd/>
        <w:snapToGrid/>
        <w:spacing w:before="0" w:after="0" w:line="360" w:lineRule="auto"/>
        <w:ind w:left="0" w:leftChars="0" w:right="0" w:rightChars="0" w:firstLine="640" w:firstLineChars="200"/>
        <w:jc w:val="left"/>
        <w:textAlignment w:val="auto"/>
        <w:rPr>
          <w:rFonts w:hint="eastAsia" w:ascii="仿宋_GB2312" w:hAnsi="SimHei" w:eastAsia="仿宋_GB2312"/>
          <w:sz w:val="32"/>
          <w:szCs w:val="32"/>
        </w:rPr>
      </w:pPr>
      <w:r>
        <w:rPr>
          <w:rFonts w:hint="eastAsia" w:ascii="仿宋_GB2312" w:hAnsi="SimHei" w:eastAsia="仿宋_GB2312"/>
          <w:sz w:val="32"/>
          <w:szCs w:val="32"/>
        </w:rPr>
        <w:t>安全运输股。 贯彻落实安全生产的方针政策、法律法规、规章制度和规章标准，指导和组织交通运输行业安全生产和应急处置体系建设，负责道路运输、水路运输和公路、水运工程安全生产监督管理工作，依法对交通行业生产经营单位进行安全生产监督检查；负责交通现代物流业发展规划和有关政策、标准的执行；负责交通运输经济运行分析和信息引导；负责全县道路、水路运输市场、渔船检验监督管理工作；指导城乡客货运输、出租汽车行业管理、城市交通运营管理。</w:t>
      </w:r>
    </w:p>
    <w:p>
      <w:pPr>
        <w:pStyle w:val="13"/>
        <w:keepNext w:val="0"/>
        <w:keepLines w:val="0"/>
        <w:pageBreakBefore w:val="0"/>
        <w:widowControl w:val="0"/>
        <w:numPr>
          <w:ilvl w:val="0"/>
          <w:numId w:val="2"/>
        </w:numPr>
        <w:shd w:val="clear" w:color="auto" w:fill="auto"/>
        <w:tabs>
          <w:tab w:val="left" w:pos="822"/>
        </w:tabs>
        <w:kinsoku/>
        <w:wordWrap/>
        <w:overflowPunct/>
        <w:topLinePunct w:val="0"/>
        <w:autoSpaceDE/>
        <w:autoSpaceDN/>
        <w:bidi w:val="0"/>
        <w:adjustRightInd/>
        <w:snapToGrid/>
        <w:spacing w:before="0" w:after="0" w:line="360" w:lineRule="auto"/>
        <w:ind w:left="0" w:leftChars="0" w:right="0" w:rightChars="0" w:firstLine="640" w:firstLineChars="200"/>
        <w:jc w:val="left"/>
        <w:textAlignment w:val="auto"/>
        <w:rPr>
          <w:rFonts w:hint="eastAsia" w:ascii="仿宋_GB2312" w:hAnsi="SimHei" w:eastAsia="仿宋_GB2312"/>
          <w:sz w:val="32"/>
          <w:szCs w:val="32"/>
        </w:rPr>
      </w:pPr>
      <w:r>
        <w:rPr>
          <w:rFonts w:hint="eastAsia" w:ascii="仿宋_GB2312" w:hAnsi="SimHei" w:eastAsia="仿宋_GB2312"/>
          <w:sz w:val="32"/>
          <w:szCs w:val="32"/>
        </w:rPr>
        <w:t>规划股。负责编制全县交通发展规划、路网规划，组织拟订公路、水路和运输枢纽等行业发展规划、中长期规划、年度计划并监督实施；负责制定全县交通基础设施建设、技术改进和农村公路建设计划；负责交通建设项目的审查、申报和立项工作；负责全县交通基础设施项目及大中型工程组织和报批施工图设计，并负责参与项目竣工验收。</w:t>
      </w:r>
    </w:p>
    <w:p>
      <w:pPr>
        <w:pStyle w:val="13"/>
        <w:keepNext w:val="0"/>
        <w:keepLines w:val="0"/>
        <w:pageBreakBefore w:val="0"/>
        <w:widowControl w:val="0"/>
        <w:numPr>
          <w:numId w:val="0"/>
        </w:numPr>
        <w:shd w:val="clear" w:color="auto" w:fill="auto"/>
        <w:tabs>
          <w:tab w:val="left" w:pos="822"/>
        </w:tabs>
        <w:kinsoku/>
        <w:wordWrap/>
        <w:overflowPunct/>
        <w:topLinePunct w:val="0"/>
        <w:autoSpaceDE/>
        <w:autoSpaceDN/>
        <w:bidi w:val="0"/>
        <w:adjustRightInd/>
        <w:snapToGrid/>
        <w:spacing w:before="0" w:after="0" w:line="360" w:lineRule="auto"/>
        <w:ind w:leftChars="200" w:right="0" w:rightChars="0" w:firstLine="320" w:firstLineChars="10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SimHei" w:eastAsia="仿宋_GB2312"/>
          <w:sz w:val="32"/>
          <w:szCs w:val="32"/>
        </w:rPr>
        <w:t>(六）政策法规股。 贯彻执行国家、省、州、县有关法律法规，规范交通行政审批事项，开展通行政审批事项听证、社会调查等相关工作，负责承包路政、运政、海事等行政审批事项</w:t>
      </w:r>
      <w:r>
        <w:rPr>
          <w:rFonts w:hint="eastAsia" w:ascii="仿宋_GB2312" w:hAnsi="SimHei" w:eastAsia="仿宋_GB2312"/>
          <w:sz w:val="32"/>
          <w:szCs w:val="32"/>
          <w:lang w:eastAsia="zh-CN"/>
        </w:rPr>
        <w:t>。</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b/>
          <w:bCs/>
          <w:color w:val="000000"/>
          <w:spacing w:val="0"/>
          <w:w w:val="100"/>
          <w:position w:val="0"/>
          <w:sz w:val="32"/>
          <w:szCs w:val="32"/>
        </w:rPr>
      </w:pPr>
    </w:p>
    <w:p>
      <w:pPr>
        <w:pStyle w:val="13"/>
        <w:keepNext w:val="0"/>
        <w:keepLines w:val="0"/>
        <w:pageBreakBefore w:val="0"/>
        <w:widowControl w:val="0"/>
        <w:numPr>
          <w:ilvl w:val="0"/>
          <w:numId w:val="3"/>
        </w:numPr>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202</w:t>
      </w:r>
      <w:r>
        <w:rPr>
          <w:rFonts w:hint="eastAsia" w:ascii="仿宋_GB2312" w:hAnsi="仿宋_GB2312" w:eastAsia="仿宋_GB2312" w:cs="仿宋_GB2312"/>
          <w:b/>
          <w:bCs/>
          <w:color w:val="000000"/>
          <w:spacing w:val="0"/>
          <w:w w:val="100"/>
          <w:position w:val="0"/>
          <w:sz w:val="32"/>
          <w:szCs w:val="32"/>
          <w:lang w:val="en-US" w:eastAsia="zh-CN"/>
        </w:rPr>
        <w:t>1</w:t>
      </w:r>
      <w:r>
        <w:rPr>
          <w:rFonts w:hint="eastAsia" w:ascii="仿宋_GB2312" w:hAnsi="仿宋_GB2312" w:eastAsia="仿宋_GB2312" w:cs="仿宋_GB2312"/>
          <w:b/>
          <w:bCs/>
          <w:color w:val="000000"/>
          <w:spacing w:val="0"/>
          <w:w w:val="100"/>
          <w:position w:val="0"/>
          <w:sz w:val="32"/>
          <w:szCs w:val="32"/>
        </w:rPr>
        <w:t>年度部门（本单位）决算报表</w:t>
      </w:r>
    </w:p>
    <w:p>
      <w:pPr>
        <w:pStyle w:val="13"/>
        <w:keepNext w:val="0"/>
        <w:keepLines w:val="0"/>
        <w:pageBreakBefore w:val="0"/>
        <w:widowControl w:val="0"/>
        <w:numPr>
          <w:ilvl w:val="0"/>
          <w:numId w:val="0"/>
        </w:numPr>
        <w:shd w:val="clear" w:color="auto" w:fill="auto"/>
        <w:tabs>
          <w:tab w:val="left" w:pos="822"/>
        </w:tabs>
        <w:kinsoku/>
        <w:wordWrap/>
        <w:overflowPunct/>
        <w:topLinePunct w:val="0"/>
        <w:autoSpaceDE/>
        <w:autoSpaceDN/>
        <w:bidi w:val="0"/>
        <w:adjustRightInd/>
        <w:snapToGrid/>
        <w:spacing w:before="0" w:after="0" w:line="360" w:lineRule="auto"/>
        <w:ind w:right="0" w:rightChars="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表一：收入支出决算总表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00" w:firstLineChars="200"/>
        <w:jc w:val="left"/>
        <w:textAlignment w:val="auto"/>
        <w:rPr>
          <w:rFonts w:hint="eastAsia" w:ascii="仿宋_GB2312" w:hAnsi="仿宋_GB2312" w:eastAsia="仿宋_GB2312" w:cs="仿宋_GB2312"/>
          <w:color w:val="000000"/>
          <w:spacing w:val="0"/>
          <w:w w:val="100"/>
          <w:position w:val="0"/>
          <w:sz w:val="32"/>
          <w:szCs w:val="32"/>
        </w:rPr>
      </w:pPr>
      <w:r>
        <w:drawing>
          <wp:inline distT="0" distB="0" distL="114300" distR="114300">
            <wp:extent cx="635" cy="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r>
        <w:drawing>
          <wp:inline distT="0" distB="0" distL="114300" distR="114300">
            <wp:extent cx="635" cy="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r>
        <w:drawing>
          <wp:inline distT="0" distB="0" distL="114300" distR="114300">
            <wp:extent cx="9153525" cy="5762625"/>
            <wp:effectExtent l="0" t="0" r="9525" b="9525"/>
            <wp:docPr id="1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1"/>
                    <pic:cNvPicPr>
                      <a:picLocks noChangeAspect="1"/>
                    </pic:cNvPicPr>
                  </pic:nvPicPr>
                  <pic:blipFill>
                    <a:blip r:embed="rId9"/>
                    <a:stretch>
                      <a:fillRect/>
                    </a:stretch>
                  </pic:blipFill>
                  <pic:spPr>
                    <a:xfrm>
                      <a:off x="0" y="0"/>
                      <a:ext cx="9153525" cy="5762625"/>
                    </a:xfrm>
                    <a:prstGeom prst="rect">
                      <a:avLst/>
                    </a:prstGeom>
                    <a:noFill/>
                    <a:ln w="9525">
                      <a:noFill/>
                    </a:ln>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表二：收入决算表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58130" cy="3822065"/>
            <wp:effectExtent l="0" t="0" r="13970" b="698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0"/>
                    <a:stretch>
                      <a:fillRect/>
                    </a:stretch>
                  </pic:blipFill>
                  <pic:spPr>
                    <a:xfrm>
                      <a:off x="0" y="0"/>
                      <a:ext cx="5358130" cy="3822065"/>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表三：支出决算表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61940" cy="4234180"/>
            <wp:effectExtent l="0" t="0" r="10160" b="1397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11"/>
                    <a:stretch>
                      <a:fillRect/>
                    </a:stretch>
                  </pic:blipFill>
                  <pic:spPr>
                    <a:xfrm>
                      <a:off x="0" y="0"/>
                      <a:ext cx="5361940" cy="423418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表四：财政拨款收入支出决算总表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58130" cy="3943350"/>
            <wp:effectExtent l="0" t="0" r="13970" b="0"/>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2"/>
                    <a:stretch>
                      <a:fillRect/>
                    </a:stretch>
                  </pic:blipFill>
                  <pic:spPr>
                    <a:xfrm>
                      <a:off x="0" y="0"/>
                      <a:ext cx="5358130" cy="3943350"/>
                    </a:xfrm>
                    <a:prstGeom prst="rect">
                      <a:avLst/>
                    </a:prstGeom>
                  </pic:spPr>
                </pic:pic>
              </a:graphicData>
            </a:graphic>
          </wp:inline>
        </w:drawing>
      </w:r>
      <w:r>
        <w:rPr>
          <w:rFonts w:hint="eastAsia" w:ascii="仿宋_GB2312" w:hAnsi="仿宋_GB2312" w:eastAsia="仿宋_GB2312" w:cs="仿宋_GB2312"/>
          <w:color w:val="000000"/>
          <w:spacing w:val="0"/>
          <w:w w:val="100"/>
          <w:position w:val="0"/>
          <w:sz w:val="32"/>
          <w:szCs w:val="32"/>
        </w:rPr>
        <w:t>表五：一般公共预算财政拨款支出决算表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58130" cy="4751705"/>
            <wp:effectExtent l="0" t="0" r="13970" b="10795"/>
            <wp:docPr id="8" name="图片 8" descr="6eb6e93eeaaecfdaf35507f78e3a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eb6e93eeaaecfdaf35507f78e3a578"/>
                    <pic:cNvPicPr>
                      <a:picLocks noChangeAspect="1"/>
                    </pic:cNvPicPr>
                  </pic:nvPicPr>
                  <pic:blipFill>
                    <a:blip r:embed="rId13"/>
                    <a:stretch>
                      <a:fillRect/>
                    </a:stretch>
                  </pic:blipFill>
                  <pic:spPr>
                    <a:xfrm>
                      <a:off x="0" y="0"/>
                      <a:ext cx="5358130" cy="4751705"/>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rPr>
        <w:t>表六：</w:t>
      </w:r>
      <w:r>
        <w:rPr>
          <w:rFonts w:hint="eastAsia" w:ascii="仿宋_GB2312" w:hAnsi="仿宋_GB2312" w:eastAsia="仿宋_GB2312" w:cs="仿宋_GB2312"/>
          <w:color w:val="000000"/>
          <w:spacing w:val="0"/>
          <w:w w:val="100"/>
          <w:position w:val="0"/>
          <w:sz w:val="32"/>
          <w:szCs w:val="32"/>
          <w:lang w:eastAsia="zh-CN"/>
        </w:rPr>
        <w:t>一般公共预算财政拨款基本支出决算明细表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58130" cy="3130550"/>
            <wp:effectExtent l="0" t="0" r="13970" b="12700"/>
            <wp:docPr id="10" name="图片 10" descr="da96595e376d9a5d641f652a0d93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a96595e376d9a5d641f652a0d931bc"/>
                    <pic:cNvPicPr>
                      <a:picLocks noChangeAspect="1"/>
                    </pic:cNvPicPr>
                  </pic:nvPicPr>
                  <pic:blipFill>
                    <a:blip r:embed="rId14"/>
                    <a:stretch>
                      <a:fillRect/>
                    </a:stretch>
                  </pic:blipFill>
                  <pic:spPr>
                    <a:xfrm>
                      <a:off x="0" y="0"/>
                      <a:ext cx="5358130" cy="313055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rPr>
        <w:t>表七：一般公共预算财政拨款</w:t>
      </w:r>
      <w:r>
        <w:rPr>
          <w:rFonts w:hint="eastAsia" w:ascii="仿宋_GB2312" w:hAnsi="仿宋_GB2312" w:eastAsia="仿宋_GB2312" w:cs="仿宋_GB2312"/>
          <w:color w:val="000000"/>
          <w:spacing w:val="0"/>
          <w:w w:val="100"/>
          <w:position w:val="0"/>
          <w:sz w:val="32"/>
          <w:szCs w:val="32"/>
          <w:lang w:val="zh-CN" w:eastAsia="zh-CN" w:bidi="zh-CN"/>
        </w:rPr>
        <w:t>“三</w:t>
      </w:r>
      <w:r>
        <w:rPr>
          <w:rFonts w:hint="eastAsia" w:ascii="仿宋_GB2312" w:hAnsi="仿宋_GB2312" w:eastAsia="仿宋_GB2312" w:cs="仿宋_GB2312"/>
          <w:color w:val="000000"/>
          <w:spacing w:val="0"/>
          <w:w w:val="100"/>
          <w:position w:val="0"/>
          <w:sz w:val="32"/>
          <w:szCs w:val="32"/>
        </w:rPr>
        <w:t>公”经费支岀决算表</w:t>
      </w: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55590" cy="1057910"/>
            <wp:effectExtent l="0" t="0" r="16510" b="8890"/>
            <wp:docPr id="11" name="图片 11" descr="992675234d0951c913cd48d67ecc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92675234d0951c913cd48d67ecc251"/>
                    <pic:cNvPicPr>
                      <a:picLocks noChangeAspect="1"/>
                    </pic:cNvPicPr>
                  </pic:nvPicPr>
                  <pic:blipFill>
                    <a:blip r:embed="rId15"/>
                    <a:stretch>
                      <a:fillRect/>
                    </a:stretch>
                  </pic:blipFill>
                  <pic:spPr>
                    <a:xfrm>
                      <a:off x="0" y="0"/>
                      <a:ext cx="5355590" cy="105791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表八：政府性基金预算财政拨款收入支出决算表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61940" cy="2124710"/>
            <wp:effectExtent l="0" t="0" r="10160" b="8890"/>
            <wp:docPr id="12" name="图片 12" descr="434bd6c71ca1cae1ad39f6ba1698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34bd6c71ca1cae1ad39f6ba16985df"/>
                    <pic:cNvPicPr>
                      <a:picLocks noChangeAspect="1"/>
                    </pic:cNvPicPr>
                  </pic:nvPicPr>
                  <pic:blipFill>
                    <a:blip r:embed="rId16"/>
                    <a:stretch>
                      <a:fillRect/>
                    </a:stretch>
                  </pic:blipFill>
                  <pic:spPr>
                    <a:xfrm>
                      <a:off x="0" y="0"/>
                      <a:ext cx="5361940" cy="212471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表九：国有资本经营预算财政拨款支出决算表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58765" cy="2651760"/>
            <wp:effectExtent l="0" t="0" r="13335" b="15240"/>
            <wp:docPr id="13" name="图片 13" descr="0f4e6e37683790470e695ef8320d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f4e6e37683790470e695ef8320dfbc"/>
                    <pic:cNvPicPr>
                      <a:picLocks noChangeAspect="1"/>
                    </pic:cNvPicPr>
                  </pic:nvPicPr>
                  <pic:blipFill>
                    <a:blip r:embed="rId17"/>
                    <a:stretch>
                      <a:fillRect/>
                    </a:stretch>
                  </pic:blipFill>
                  <pic:spPr>
                    <a:xfrm>
                      <a:off x="0" y="0"/>
                      <a:ext cx="5358765" cy="2651760"/>
                    </a:xfrm>
                    <a:prstGeom prst="rect">
                      <a:avLst/>
                    </a:prstGeom>
                  </pic:spPr>
                </pic:pic>
              </a:graphicData>
            </a:graphic>
          </wp:inline>
        </w:drawing>
      </w:r>
    </w:p>
    <w:p>
      <w:pPr>
        <w:pStyle w:val="13"/>
        <w:keepNext w:val="0"/>
        <w:keepLines w:val="0"/>
        <w:pageBreakBefore w:val="0"/>
        <w:widowControl w:val="0"/>
        <w:numPr>
          <w:ilvl w:val="0"/>
          <w:numId w:val="4"/>
        </w:numPr>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202</w:t>
      </w:r>
      <w:r>
        <w:rPr>
          <w:rFonts w:hint="eastAsia" w:ascii="仿宋_GB2312" w:hAnsi="仿宋_GB2312" w:eastAsia="仿宋_GB2312" w:cs="仿宋_GB2312"/>
          <w:b/>
          <w:bCs/>
          <w:color w:val="000000"/>
          <w:spacing w:val="0"/>
          <w:w w:val="100"/>
          <w:position w:val="0"/>
          <w:sz w:val="32"/>
          <w:szCs w:val="32"/>
          <w:lang w:val="en-US" w:eastAsia="zh-CN"/>
        </w:rPr>
        <w:t>1</w:t>
      </w:r>
      <w:r>
        <w:rPr>
          <w:rFonts w:hint="eastAsia" w:ascii="仿宋_GB2312" w:hAnsi="仿宋_GB2312" w:eastAsia="仿宋_GB2312" w:cs="仿宋_GB2312"/>
          <w:b/>
          <w:bCs/>
          <w:color w:val="000000"/>
          <w:spacing w:val="0"/>
          <w:w w:val="100"/>
          <w:position w:val="0"/>
          <w:sz w:val="32"/>
          <w:szCs w:val="32"/>
        </w:rPr>
        <w:t>年度部门决算情况说明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SimHei" w:hAnsi="SimHei" w:eastAsia="SimHei" w:cs="SimHei"/>
          <w:b/>
          <w:bCs/>
          <w:i w:val="0"/>
          <w:iCs w:val="0"/>
          <w:smallCaps w:val="0"/>
          <w:strike w:val="0"/>
          <w:color w:val="000000"/>
          <w:spacing w:val="0"/>
          <w:w w:val="100"/>
          <w:position w:val="0"/>
          <w:sz w:val="32"/>
          <w:szCs w:val="32"/>
        </w:rPr>
      </w:pPr>
      <w:r>
        <w:rPr>
          <w:rFonts w:hint="eastAsia" w:ascii="SimHei" w:hAnsi="SimHei" w:eastAsia="SimHei" w:cs="SimHei"/>
          <w:b/>
          <w:bCs/>
          <w:i w:val="0"/>
          <w:iCs w:val="0"/>
          <w:smallCaps w:val="0"/>
          <w:strike w:val="0"/>
          <w:color w:val="000000"/>
          <w:spacing w:val="0"/>
          <w:w w:val="100"/>
          <w:position w:val="0"/>
          <w:sz w:val="32"/>
          <w:szCs w:val="32"/>
        </w:rPr>
        <w:t>一、收入支出决算总体情况说明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本部门（本单位）</w:t>
      </w:r>
      <w:r>
        <w:rPr>
          <w:rFonts w:hint="eastAsia" w:ascii="仿宋_GB2312" w:hAnsi="仿宋_GB2312" w:eastAsia="仿宋_GB2312" w:cs="仿宋_GB2312"/>
          <w:color w:val="000000"/>
          <w:spacing w:val="0"/>
          <w:w w:val="100"/>
          <w:position w:val="0"/>
          <w:sz w:val="32"/>
          <w:szCs w:val="32"/>
          <w:lang w:val="en-US" w:eastAsia="zh-CN"/>
        </w:rPr>
        <w:t>2021年度收入总计112404225.01元，支出总计112404225.01元，与2020年决算数相比，收入减少35985633.21元，减少24.25%，主要原因是项目减少</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lang w:val="en-US" w:eastAsia="zh-CN"/>
        </w:rPr>
        <w:t>支出减少35985633.21元，减少24.25%。主要原因是项目减少</w:t>
      </w:r>
      <w:r>
        <w:rPr>
          <w:rFonts w:hint="eastAsia" w:ascii="仿宋_GB2312" w:hAnsi="仿宋_GB2312" w:eastAsia="仿宋_GB2312" w:cs="仿宋_GB2312"/>
          <w:color w:val="000000"/>
          <w:spacing w:val="0"/>
          <w:w w:val="100"/>
          <w:position w:val="0"/>
          <w:sz w:val="32"/>
          <w:szCs w:val="32"/>
          <w:lang w:eastAsia="zh-CN"/>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bCs/>
          <w:color w:val="000000"/>
          <w:spacing w:val="0"/>
          <w:w w:val="100"/>
          <w:position w:val="0"/>
          <w:sz w:val="32"/>
          <w:szCs w:val="32"/>
          <w:lang w:eastAsia="zh-CN"/>
        </w:rPr>
      </w:pPr>
      <w:r>
        <w:rPr>
          <w:rFonts w:hint="eastAsia" w:ascii="仿宋_GB2312" w:hAnsi="仿宋_GB2312" w:eastAsia="仿宋_GB2312" w:cs="仿宋_GB2312"/>
          <w:b/>
          <w:bCs/>
          <w:color w:val="000000"/>
          <w:spacing w:val="0"/>
          <w:w w:val="100"/>
          <w:position w:val="0"/>
          <w:sz w:val="32"/>
          <w:szCs w:val="32"/>
          <w:lang w:eastAsia="zh-CN"/>
        </w:rPr>
        <w:t>二、收入决算情况说明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本部门（本单位）</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年度收入合计</w:t>
      </w:r>
      <w:r>
        <w:rPr>
          <w:rFonts w:hint="eastAsia" w:ascii="仿宋_GB2312" w:hAnsi="仿宋_GB2312" w:eastAsia="仿宋_GB2312" w:cs="仿宋_GB2312"/>
          <w:color w:val="000000"/>
          <w:spacing w:val="0"/>
          <w:w w:val="100"/>
          <w:position w:val="0"/>
          <w:sz w:val="32"/>
          <w:szCs w:val="32"/>
          <w:lang w:val="en-US" w:eastAsia="en-US" w:bidi="en-US"/>
        </w:rPr>
        <w:t>112399053.2</w:t>
      </w:r>
      <w:r>
        <w:rPr>
          <w:rFonts w:hint="eastAsia" w:ascii="仿宋_GB2312" w:hAnsi="仿宋_GB2312" w:eastAsia="仿宋_GB2312" w:cs="仿宋_GB2312"/>
          <w:color w:val="000000"/>
          <w:spacing w:val="0"/>
          <w:w w:val="100"/>
          <w:position w:val="0"/>
          <w:sz w:val="32"/>
          <w:szCs w:val="32"/>
        </w:rPr>
        <w:t>元，其中：财政拨款收入94001913.21元，占</w:t>
      </w:r>
      <w:r>
        <w:rPr>
          <w:rFonts w:hint="eastAsia" w:ascii="仿宋_GB2312" w:hAnsi="仿宋_GB2312" w:eastAsia="仿宋_GB2312" w:cs="仿宋_GB2312"/>
          <w:color w:val="000000"/>
          <w:spacing w:val="0"/>
          <w:w w:val="100"/>
          <w:position w:val="0"/>
          <w:sz w:val="32"/>
          <w:szCs w:val="32"/>
          <w:lang w:val="en-US" w:eastAsia="zh-CN"/>
        </w:rPr>
        <w:t>83.63</w:t>
      </w:r>
      <w:r>
        <w:rPr>
          <w:rFonts w:hint="eastAsia" w:ascii="仿宋_GB2312" w:hAnsi="仿宋_GB2312" w:eastAsia="仿宋_GB2312" w:cs="仿宋_GB2312"/>
          <w:color w:val="000000"/>
          <w:spacing w:val="0"/>
          <w:w w:val="100"/>
          <w:position w:val="0"/>
          <w:sz w:val="32"/>
          <w:szCs w:val="32"/>
        </w:rPr>
        <w:t>%;其他收入18397139.99元，占</w:t>
      </w:r>
      <w:r>
        <w:rPr>
          <w:rFonts w:hint="eastAsia" w:ascii="仿宋_GB2312" w:hAnsi="仿宋_GB2312" w:eastAsia="仿宋_GB2312" w:cs="仿宋_GB2312"/>
          <w:color w:val="000000"/>
          <w:spacing w:val="0"/>
          <w:w w:val="100"/>
          <w:position w:val="0"/>
          <w:sz w:val="32"/>
          <w:szCs w:val="32"/>
          <w:lang w:val="en-US" w:eastAsia="zh-CN"/>
        </w:rPr>
        <w:t>16.37</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bCs/>
          <w:color w:val="000000"/>
          <w:spacing w:val="0"/>
          <w:w w:val="100"/>
          <w:position w:val="0"/>
          <w:sz w:val="32"/>
          <w:szCs w:val="32"/>
          <w:lang w:eastAsia="zh-CN"/>
        </w:rPr>
      </w:pPr>
      <w:r>
        <w:rPr>
          <w:rFonts w:hint="eastAsia" w:ascii="仿宋_GB2312" w:hAnsi="仿宋_GB2312" w:eastAsia="仿宋_GB2312" w:cs="仿宋_GB2312"/>
          <w:b/>
          <w:bCs/>
          <w:color w:val="000000"/>
          <w:spacing w:val="0"/>
          <w:w w:val="100"/>
          <w:position w:val="0"/>
          <w:sz w:val="32"/>
          <w:szCs w:val="32"/>
          <w:lang w:eastAsia="zh-CN"/>
        </w:rPr>
        <w:t>三、支出决算情况说明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本部门（本单位）</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年度支出合计109861913.21元，其中：基本支出</w:t>
      </w:r>
      <w:r>
        <w:rPr>
          <w:rFonts w:hint="eastAsia" w:ascii="仿宋_GB2312" w:hAnsi="仿宋_GB2312" w:eastAsia="仿宋_GB2312" w:cs="仿宋_GB2312"/>
          <w:color w:val="000000"/>
          <w:spacing w:val="0"/>
          <w:w w:val="100"/>
          <w:position w:val="0"/>
          <w:sz w:val="32"/>
          <w:szCs w:val="32"/>
          <w:lang w:val="en-US" w:eastAsia="en-US" w:bidi="en-US"/>
        </w:rPr>
        <w:t>12626774.72</w:t>
      </w:r>
      <w:r>
        <w:rPr>
          <w:rFonts w:hint="eastAsia" w:ascii="仿宋_GB2312" w:hAnsi="仿宋_GB2312" w:eastAsia="仿宋_GB2312" w:cs="仿宋_GB2312"/>
          <w:color w:val="000000"/>
          <w:spacing w:val="0"/>
          <w:w w:val="100"/>
          <w:position w:val="0"/>
          <w:sz w:val="32"/>
          <w:szCs w:val="32"/>
        </w:rPr>
        <w:t>元，占</w:t>
      </w:r>
      <w:r>
        <w:rPr>
          <w:rFonts w:hint="eastAsia" w:ascii="仿宋_GB2312" w:hAnsi="仿宋_GB2312" w:eastAsia="仿宋_GB2312" w:cs="仿宋_GB2312"/>
          <w:color w:val="000000"/>
          <w:spacing w:val="0"/>
          <w:w w:val="100"/>
          <w:position w:val="0"/>
          <w:sz w:val="32"/>
          <w:szCs w:val="32"/>
          <w:lang w:val="en-US" w:eastAsia="zh-CN"/>
        </w:rPr>
        <w:t>11.49</w:t>
      </w:r>
      <w:r>
        <w:rPr>
          <w:rFonts w:hint="eastAsia" w:ascii="仿宋_GB2312" w:hAnsi="仿宋_GB2312" w:eastAsia="仿宋_GB2312" w:cs="仿宋_GB2312"/>
          <w:color w:val="000000"/>
          <w:spacing w:val="0"/>
          <w:w w:val="100"/>
          <w:position w:val="0"/>
          <w:sz w:val="32"/>
          <w:szCs w:val="32"/>
        </w:rPr>
        <w:t>%；项目支出97235138.49元，占</w:t>
      </w:r>
      <w:r>
        <w:rPr>
          <w:rFonts w:hint="eastAsia" w:ascii="仿宋_GB2312" w:hAnsi="仿宋_GB2312" w:eastAsia="仿宋_GB2312" w:cs="仿宋_GB2312"/>
          <w:color w:val="000000"/>
          <w:spacing w:val="0"/>
          <w:w w:val="100"/>
          <w:position w:val="0"/>
          <w:sz w:val="32"/>
          <w:szCs w:val="32"/>
          <w:lang w:val="en-US" w:eastAsia="zh-CN"/>
        </w:rPr>
        <w:t>88.51</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SimHei" w:hAnsi="SimHei" w:eastAsia="SimHei" w:cs="SimHei"/>
          <w:b/>
          <w:bCs/>
          <w:i w:val="0"/>
          <w:iCs w:val="0"/>
          <w:smallCaps w:val="0"/>
          <w:strike w:val="0"/>
          <w:color w:val="000000"/>
          <w:spacing w:val="0"/>
          <w:w w:val="100"/>
          <w:position w:val="0"/>
          <w:sz w:val="32"/>
          <w:szCs w:val="32"/>
        </w:rPr>
        <w:sectPr>
          <w:footnotePr>
            <w:numFmt w:val="decimal"/>
          </w:footnotePr>
          <w:pgSz w:w="11900" w:h="16840"/>
          <w:pgMar w:top="1226" w:right="1820" w:bottom="1662" w:left="1632" w:header="798" w:footer="3" w:gutter="0"/>
          <w:cols w:space="720" w:num="1"/>
          <w:rtlGutter w:val="0"/>
          <w:docGrid w:linePitch="360" w:charSpace="0"/>
        </w:sectPr>
      </w:pPr>
      <w:r>
        <w:rPr>
          <w:rFonts w:hint="eastAsia" w:ascii="SimHei" w:hAnsi="SimHei" w:eastAsia="SimHei" w:cs="SimHei"/>
          <w:b/>
          <w:bCs/>
          <w:i w:val="0"/>
          <w:iCs w:val="0"/>
          <w:smallCaps w:val="0"/>
          <w:strike w:val="0"/>
          <w:color w:val="000000"/>
          <w:spacing w:val="0"/>
          <w:w w:val="100"/>
          <w:position w:val="0"/>
          <w:sz w:val="32"/>
          <w:szCs w:val="32"/>
          <w:lang w:eastAsia="zh-CN"/>
        </w:rPr>
        <w:t>四</w:t>
      </w:r>
      <w:r>
        <w:rPr>
          <w:rFonts w:hint="eastAsia" w:ascii="SimHei" w:hAnsi="SimHei" w:eastAsia="SimHei" w:cs="SimHei"/>
          <w:b/>
          <w:bCs/>
          <w:i w:val="0"/>
          <w:iCs w:val="0"/>
          <w:smallCaps w:val="0"/>
          <w:strike w:val="0"/>
          <w:color w:val="000000"/>
          <w:spacing w:val="0"/>
          <w:w w:val="100"/>
          <w:position w:val="0"/>
          <w:sz w:val="32"/>
          <w:szCs w:val="32"/>
        </w:rPr>
        <w:t>、财政拨款收入支出决算总体情况说明</w:t>
      </w:r>
    </w:p>
    <w:p>
      <w:pPr>
        <w:pStyle w:val="13"/>
        <w:keepNext w:val="0"/>
        <w:keepLines w:val="0"/>
        <w:pageBreakBefore w:val="0"/>
        <w:widowControl w:val="0"/>
        <w:shd w:val="clear" w:color="auto" w:fill="auto"/>
        <w:tabs>
          <w:tab w:val="left" w:leader="dot" w:pos="2515"/>
          <w:tab w:val="left" w:leader="dot" w:pos="3936"/>
          <w:tab w:val="left" w:leader="dot" w:pos="7277"/>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本部门（本单位）</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年度财政拨款收入</w:t>
      </w:r>
      <w:r>
        <w:rPr>
          <w:rFonts w:hint="eastAsia" w:ascii="仿宋_GB2312" w:hAnsi="仿宋_GB2312" w:eastAsia="仿宋_GB2312" w:cs="仿宋_GB2312"/>
          <w:color w:val="000000"/>
          <w:spacing w:val="0"/>
          <w:w w:val="100"/>
          <w:position w:val="0"/>
          <w:sz w:val="32"/>
          <w:szCs w:val="32"/>
          <w:lang w:val="en-US" w:eastAsia="en-US" w:bidi="en-US"/>
        </w:rPr>
        <w:t>59226451.21</w:t>
      </w:r>
      <w:r>
        <w:rPr>
          <w:rFonts w:hint="eastAsia" w:ascii="仿宋_GB2312" w:hAnsi="仿宋_GB2312" w:eastAsia="仿宋_GB2312" w:cs="仿宋_GB2312"/>
          <w:color w:val="000000"/>
          <w:spacing w:val="0"/>
          <w:w w:val="100"/>
          <w:position w:val="0"/>
          <w:sz w:val="32"/>
          <w:szCs w:val="32"/>
        </w:rPr>
        <w:t>元，较上年决算数</w:t>
      </w:r>
      <w:r>
        <w:rPr>
          <w:rFonts w:hint="eastAsia" w:ascii="仿宋_GB2312" w:hAnsi="仿宋_GB2312" w:eastAsia="仿宋_GB2312" w:cs="仿宋_GB2312"/>
          <w:color w:val="000000"/>
          <w:spacing w:val="0"/>
          <w:w w:val="100"/>
          <w:position w:val="0"/>
          <w:sz w:val="32"/>
          <w:szCs w:val="32"/>
          <w:lang w:val="en-US" w:eastAsia="zh-CN"/>
        </w:rPr>
        <w:t>减少53774493.3</w:t>
      </w:r>
      <w:r>
        <w:rPr>
          <w:rFonts w:hint="eastAsia" w:ascii="仿宋_GB2312" w:hAnsi="仿宋_GB2312" w:eastAsia="仿宋_GB2312" w:cs="仿宋_GB2312"/>
          <w:color w:val="000000"/>
          <w:spacing w:val="0"/>
          <w:w w:val="100"/>
          <w:position w:val="0"/>
          <w:sz w:val="32"/>
          <w:szCs w:val="32"/>
        </w:rPr>
        <w:t>元，</w:t>
      </w:r>
      <w:r>
        <w:rPr>
          <w:rFonts w:hint="eastAsia" w:ascii="仿宋_GB2312" w:hAnsi="仿宋_GB2312" w:eastAsia="仿宋_GB2312" w:cs="仿宋_GB2312"/>
          <w:color w:val="000000"/>
          <w:spacing w:val="0"/>
          <w:w w:val="100"/>
          <w:position w:val="0"/>
          <w:sz w:val="32"/>
          <w:szCs w:val="32"/>
          <w:lang w:val="en-US" w:eastAsia="zh-CN"/>
        </w:rPr>
        <w:t>减少47.59</w:t>
      </w:r>
      <w:r>
        <w:rPr>
          <w:rFonts w:hint="eastAsia" w:ascii="仿宋_GB2312" w:hAnsi="仿宋_GB2312" w:eastAsia="仿宋_GB2312" w:cs="仿宋_GB2312"/>
          <w:color w:val="000000"/>
          <w:spacing w:val="0"/>
          <w:w w:val="100"/>
          <w:position w:val="0"/>
          <w:sz w:val="32"/>
          <w:szCs w:val="32"/>
        </w:rPr>
        <w:t>%。主要原因是</w:t>
      </w:r>
      <w:r>
        <w:rPr>
          <w:rFonts w:hint="eastAsia" w:ascii="仿宋_GB2312" w:hAnsi="仿宋_GB2312" w:eastAsia="仿宋_GB2312" w:cs="仿宋_GB2312"/>
          <w:color w:val="000000"/>
          <w:spacing w:val="0"/>
          <w:w w:val="100"/>
          <w:position w:val="0"/>
          <w:sz w:val="32"/>
          <w:szCs w:val="32"/>
          <w:lang w:val="en-US" w:eastAsia="zh-CN"/>
        </w:rPr>
        <w:t>项目减少</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shd w:val="clear" w:color="auto" w:fill="auto"/>
        <w:tabs>
          <w:tab w:val="left" w:leader="dot" w:pos="5837"/>
          <w:tab w:val="left" w:leader="dot" w:pos="6787"/>
          <w:tab w:val="left" w:leader="dot" w:pos="7118"/>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本部门（本单位）</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年度财政拨款支出94007085.02元，较上年决算数</w:t>
      </w:r>
      <w:r>
        <w:rPr>
          <w:rFonts w:hint="eastAsia" w:ascii="仿宋_GB2312" w:hAnsi="仿宋_GB2312" w:eastAsia="仿宋_GB2312" w:cs="仿宋_GB2312"/>
          <w:color w:val="000000"/>
          <w:spacing w:val="0"/>
          <w:w w:val="100"/>
          <w:position w:val="0"/>
          <w:sz w:val="32"/>
          <w:szCs w:val="32"/>
          <w:lang w:val="en-US" w:eastAsia="zh-CN"/>
        </w:rPr>
        <w:t>减少</w:t>
      </w:r>
      <w:r>
        <w:rPr>
          <w:rFonts w:hint="default" w:ascii="仿宋_GB2312" w:hAnsi="仿宋_GB2312" w:eastAsia="仿宋_GB2312" w:cs="仿宋_GB2312"/>
          <w:color w:val="000000"/>
          <w:spacing w:val="0"/>
          <w:w w:val="100"/>
          <w:position w:val="0"/>
          <w:sz w:val="32"/>
          <w:szCs w:val="32"/>
          <w:lang w:val="en-US" w:eastAsia="zh-CN"/>
        </w:rPr>
        <w:t>18999031.3</w:t>
      </w:r>
      <w:r>
        <w:rPr>
          <w:rFonts w:hint="eastAsia" w:ascii="仿宋_GB2312" w:hAnsi="仿宋_GB2312" w:eastAsia="仿宋_GB2312" w:cs="仿宋_GB2312"/>
          <w:color w:val="000000"/>
          <w:spacing w:val="0"/>
          <w:w w:val="100"/>
          <w:position w:val="0"/>
          <w:sz w:val="32"/>
          <w:szCs w:val="32"/>
        </w:rPr>
        <w:t>元，</w:t>
      </w:r>
      <w:r>
        <w:rPr>
          <w:rFonts w:hint="eastAsia" w:ascii="仿宋_GB2312" w:hAnsi="仿宋_GB2312" w:eastAsia="仿宋_GB2312" w:cs="仿宋_GB2312"/>
          <w:color w:val="000000"/>
          <w:spacing w:val="0"/>
          <w:w w:val="100"/>
          <w:position w:val="0"/>
          <w:sz w:val="32"/>
          <w:szCs w:val="32"/>
          <w:lang w:val="en-US" w:eastAsia="zh-CN"/>
        </w:rPr>
        <w:t>减少16.81</w:t>
      </w:r>
      <w:r>
        <w:rPr>
          <w:rFonts w:hint="eastAsia" w:ascii="仿宋_GB2312" w:hAnsi="仿宋_GB2312" w:eastAsia="仿宋_GB2312" w:cs="仿宋_GB2312"/>
          <w:color w:val="000000"/>
          <w:spacing w:val="0"/>
          <w:w w:val="100"/>
          <w:position w:val="0"/>
          <w:sz w:val="32"/>
          <w:szCs w:val="32"/>
        </w:rPr>
        <w:t>%。主要原因是</w:t>
      </w:r>
      <w:r>
        <w:rPr>
          <w:rFonts w:hint="eastAsia" w:ascii="仿宋_GB2312" w:hAnsi="仿宋_GB2312" w:eastAsia="仿宋_GB2312" w:cs="仿宋_GB2312"/>
          <w:color w:val="000000"/>
          <w:spacing w:val="0"/>
          <w:w w:val="100"/>
          <w:position w:val="0"/>
          <w:sz w:val="32"/>
          <w:szCs w:val="32"/>
          <w:lang w:val="en-US" w:eastAsia="zh-CN"/>
        </w:rPr>
        <w:t>项目减少。</w:t>
      </w:r>
    </w:p>
    <w:p>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200" w:right="0" w:rightChars="0" w:firstLine="643" w:firstLineChars="20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五、</w:t>
      </w:r>
      <w:r>
        <w:rPr>
          <w:rFonts w:hint="eastAsia" w:ascii="仿宋_GB2312" w:hAnsi="仿宋_GB2312" w:eastAsia="仿宋_GB2312" w:cs="仿宋_GB2312"/>
          <w:b/>
          <w:bCs/>
          <w:i w:val="0"/>
          <w:iCs w:val="0"/>
          <w:smallCaps w:val="0"/>
          <w:strike w:val="0"/>
          <w:color w:val="000000"/>
          <w:spacing w:val="0"/>
          <w:w w:val="100"/>
          <w:position w:val="0"/>
          <w:sz w:val="32"/>
          <w:szCs w:val="32"/>
        </w:rPr>
        <w:t>一般公共预算财政拨款支出决算情况说明</w:t>
      </w:r>
    </w:p>
    <w:p>
      <w:pPr>
        <w:pStyle w:val="13"/>
        <w:keepNext w:val="0"/>
        <w:keepLines w:val="0"/>
        <w:pageBreakBefore w:val="0"/>
        <w:widowControl w:val="0"/>
        <w:shd w:val="clear" w:color="auto" w:fill="auto"/>
        <w:tabs>
          <w:tab w:val="left" w:leader="dot" w:pos="2515"/>
          <w:tab w:val="left" w:leader="dot" w:pos="3936"/>
          <w:tab w:val="left" w:leader="dot" w:pos="7277"/>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 xml:space="preserve"> 2021 年度一般公共预算财政拨款支出59231623.02元，占本年支出的63.01%，较上年决算数减少53774493.3</w:t>
      </w:r>
      <w:r>
        <w:rPr>
          <w:rFonts w:hint="eastAsia" w:ascii="仿宋_GB2312" w:hAnsi="仿宋_GB2312" w:eastAsia="仿宋_GB2312" w:cs="仿宋_GB2312"/>
          <w:color w:val="000000"/>
          <w:spacing w:val="0"/>
          <w:w w:val="100"/>
          <w:position w:val="0"/>
          <w:sz w:val="32"/>
          <w:szCs w:val="32"/>
        </w:rPr>
        <w:t>元，</w:t>
      </w:r>
      <w:r>
        <w:rPr>
          <w:rFonts w:hint="eastAsia" w:ascii="仿宋_GB2312" w:hAnsi="仿宋_GB2312" w:eastAsia="仿宋_GB2312" w:cs="仿宋_GB2312"/>
          <w:color w:val="000000"/>
          <w:spacing w:val="0"/>
          <w:w w:val="100"/>
          <w:position w:val="0"/>
          <w:sz w:val="32"/>
          <w:szCs w:val="32"/>
          <w:lang w:val="en-US" w:eastAsia="zh-CN"/>
        </w:rPr>
        <w:t>减少47.59</w:t>
      </w:r>
      <w:r>
        <w:rPr>
          <w:rFonts w:hint="eastAsia" w:ascii="仿宋_GB2312" w:hAnsi="仿宋_GB2312" w:eastAsia="仿宋_GB2312" w:cs="仿宋_GB2312"/>
          <w:color w:val="000000"/>
          <w:spacing w:val="0"/>
          <w:w w:val="100"/>
          <w:position w:val="0"/>
          <w:sz w:val="32"/>
          <w:szCs w:val="32"/>
        </w:rPr>
        <w:t>%。主要原因是</w:t>
      </w:r>
      <w:r>
        <w:rPr>
          <w:rFonts w:hint="eastAsia" w:ascii="仿宋_GB2312" w:hAnsi="仿宋_GB2312" w:eastAsia="仿宋_GB2312" w:cs="仿宋_GB2312"/>
          <w:color w:val="000000"/>
          <w:spacing w:val="0"/>
          <w:w w:val="100"/>
          <w:position w:val="0"/>
          <w:sz w:val="32"/>
          <w:szCs w:val="32"/>
          <w:lang w:val="en-US" w:eastAsia="zh-CN"/>
        </w:rPr>
        <w:t>项目减少</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shd w:val="clear" w:color="auto" w:fill="auto"/>
        <w:tabs>
          <w:tab w:val="left" w:leader="dot" w:pos="5179"/>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主要用于以下几个方面：</w:t>
      </w:r>
    </w:p>
    <w:p>
      <w:pPr>
        <w:pStyle w:val="13"/>
        <w:keepNext w:val="0"/>
        <w:keepLines w:val="0"/>
        <w:pageBreakBefore w:val="0"/>
        <w:widowControl w:val="0"/>
        <w:shd w:val="clear" w:color="auto" w:fill="auto"/>
        <w:tabs>
          <w:tab w:val="left" w:leader="dot" w:pos="3562"/>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一般公共服务支出</w:t>
      </w:r>
      <w:r>
        <w:rPr>
          <w:rFonts w:hint="eastAsia" w:ascii="仿宋_GB2312" w:hAnsi="仿宋_GB2312" w:eastAsia="仿宋_GB2312" w:cs="仿宋_GB2312"/>
          <w:color w:val="000000"/>
          <w:spacing w:val="0"/>
          <w:w w:val="100"/>
          <w:position w:val="0"/>
          <w:sz w:val="32"/>
          <w:szCs w:val="32"/>
          <w:lang w:val="en-US" w:eastAsia="en-US" w:bidi="en-US"/>
        </w:rPr>
        <w:t>48725</w:t>
      </w:r>
      <w:r>
        <w:rPr>
          <w:rFonts w:hint="eastAsia" w:ascii="仿宋_GB2312" w:hAnsi="仿宋_GB2312" w:eastAsia="仿宋_GB2312" w:cs="仿宋_GB2312"/>
          <w:color w:val="000000"/>
          <w:spacing w:val="0"/>
          <w:w w:val="100"/>
          <w:position w:val="0"/>
          <w:sz w:val="32"/>
          <w:szCs w:val="32"/>
        </w:rPr>
        <w:t>元，占</w:t>
      </w:r>
      <w:r>
        <w:rPr>
          <w:rFonts w:hint="eastAsia" w:ascii="仿宋_GB2312" w:hAnsi="仿宋_GB2312" w:eastAsia="仿宋_GB2312" w:cs="仿宋_GB2312"/>
          <w:color w:val="000000"/>
          <w:spacing w:val="0"/>
          <w:w w:val="100"/>
          <w:position w:val="0"/>
          <w:sz w:val="32"/>
          <w:szCs w:val="32"/>
          <w:lang w:val="en-US" w:eastAsia="zh-CN"/>
        </w:rPr>
        <w:t>0.08</w:t>
      </w:r>
      <w:r>
        <w:rPr>
          <w:rFonts w:hint="eastAsia" w:ascii="仿宋_GB2312" w:hAnsi="仿宋_GB2312" w:eastAsia="仿宋_GB2312" w:cs="仿宋_GB2312"/>
          <w:color w:val="000000"/>
          <w:spacing w:val="0"/>
          <w:w w:val="100"/>
          <w:position w:val="0"/>
          <w:sz w:val="32"/>
          <w:szCs w:val="32"/>
        </w:rPr>
        <w:t>%,较年初预算数</w:t>
      </w:r>
      <w:r>
        <w:rPr>
          <w:rFonts w:hint="eastAsia" w:ascii="仿宋_GB2312" w:hAnsi="仿宋_GB2312" w:eastAsia="仿宋_GB2312" w:cs="仿宋_GB2312"/>
          <w:color w:val="000000"/>
          <w:spacing w:val="0"/>
          <w:w w:val="100"/>
          <w:position w:val="0"/>
          <w:sz w:val="32"/>
          <w:szCs w:val="32"/>
          <w:lang w:val="en-US" w:eastAsia="zh-CN"/>
        </w:rPr>
        <w:t>减少8123</w:t>
      </w:r>
      <w:r>
        <w:rPr>
          <w:rFonts w:hint="eastAsia" w:ascii="仿宋_GB2312" w:hAnsi="仿宋_GB2312" w:eastAsia="仿宋_GB2312" w:cs="仿宋_GB2312"/>
          <w:color w:val="000000"/>
          <w:spacing w:val="0"/>
          <w:w w:val="100"/>
          <w:position w:val="0"/>
          <w:sz w:val="32"/>
          <w:szCs w:val="32"/>
        </w:rPr>
        <w:t>元，主要原因是</w:t>
      </w:r>
      <w:r>
        <w:rPr>
          <w:rFonts w:hint="eastAsia" w:ascii="仿宋_GB2312" w:hAnsi="仿宋_GB2312" w:eastAsia="仿宋_GB2312" w:cs="仿宋_GB2312"/>
          <w:color w:val="000000"/>
          <w:spacing w:val="0"/>
          <w:w w:val="100"/>
          <w:position w:val="0"/>
          <w:sz w:val="32"/>
          <w:szCs w:val="32"/>
          <w:lang w:val="en-US" w:eastAsia="zh-CN"/>
        </w:rPr>
        <w:t>参加工会人数减少</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TOC\o"1-5"\h\z</w:instrText>
      </w:r>
      <w:r>
        <w:rPr>
          <w:rFonts w:hint="eastAsia" w:ascii="仿宋_GB2312" w:hAnsi="仿宋_GB2312" w:eastAsia="仿宋_GB2312" w:cs="仿宋_GB2312"/>
          <w:sz w:val="32"/>
          <w:szCs w:val="32"/>
        </w:rPr>
        <w:fldChar w:fldCharType="separate"/>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社会保障与就业支出</w:t>
      </w:r>
      <w:r>
        <w:rPr>
          <w:rFonts w:hint="eastAsia" w:ascii="仿宋_GB2312" w:hAnsi="仿宋_GB2312" w:eastAsia="仿宋_GB2312" w:cs="仿宋_GB2312"/>
          <w:color w:val="000000"/>
          <w:spacing w:val="0"/>
          <w:w w:val="100"/>
          <w:position w:val="0"/>
          <w:sz w:val="32"/>
          <w:szCs w:val="32"/>
          <w:lang w:val="en-US" w:eastAsia="en-US" w:bidi="en-US"/>
        </w:rPr>
        <w:t>1704209.71</w:t>
      </w:r>
      <w:r>
        <w:rPr>
          <w:rFonts w:hint="eastAsia" w:ascii="仿宋_GB2312" w:hAnsi="仿宋_GB2312" w:eastAsia="仿宋_GB2312" w:cs="仿宋_GB2312"/>
          <w:color w:val="000000"/>
          <w:spacing w:val="0"/>
          <w:w w:val="100"/>
          <w:position w:val="0"/>
          <w:sz w:val="32"/>
          <w:szCs w:val="32"/>
        </w:rPr>
        <w:t>元，占</w:t>
      </w:r>
      <w:r>
        <w:rPr>
          <w:rFonts w:hint="eastAsia" w:ascii="仿宋_GB2312" w:hAnsi="仿宋_GB2312" w:eastAsia="仿宋_GB2312" w:cs="仿宋_GB2312"/>
          <w:color w:val="000000"/>
          <w:spacing w:val="0"/>
          <w:w w:val="100"/>
          <w:position w:val="0"/>
          <w:sz w:val="32"/>
          <w:szCs w:val="32"/>
          <w:lang w:val="en-US" w:eastAsia="zh-CN"/>
        </w:rPr>
        <w:t>2.88</w:t>
      </w:r>
      <w:r>
        <w:rPr>
          <w:rFonts w:hint="eastAsia" w:ascii="仿宋_GB2312" w:hAnsi="仿宋_GB2312" w:eastAsia="仿宋_GB2312" w:cs="仿宋_GB2312"/>
          <w:color w:val="000000"/>
          <w:spacing w:val="0"/>
          <w:w w:val="100"/>
          <w:position w:val="0"/>
          <w:sz w:val="32"/>
          <w:szCs w:val="32"/>
        </w:rPr>
        <w:t>%,较年初预算数增加1023389.71元，主要原因是</w:t>
      </w:r>
      <w:r>
        <w:rPr>
          <w:rFonts w:hint="eastAsia" w:ascii="仿宋_GB2312" w:hAnsi="仿宋_GB2312" w:eastAsia="仿宋_GB2312" w:cs="仿宋_GB2312"/>
          <w:color w:val="000000"/>
          <w:spacing w:val="0"/>
          <w:w w:val="100"/>
          <w:position w:val="0"/>
          <w:sz w:val="32"/>
          <w:szCs w:val="32"/>
          <w:lang w:val="en-US" w:eastAsia="zh-CN"/>
        </w:rPr>
        <w:t>公益性岗位人数增加</w:t>
      </w:r>
      <w:r>
        <w:rPr>
          <w:rFonts w:hint="eastAsia" w:ascii="仿宋_GB2312" w:hAnsi="仿宋_GB2312" w:eastAsia="仿宋_GB2312" w:cs="仿宋_GB2312"/>
          <w:color w:val="000000"/>
          <w:spacing w:val="0"/>
          <w:w w:val="100"/>
          <w:position w:val="0"/>
          <w:sz w:val="32"/>
          <w:szCs w:val="32"/>
        </w:rPr>
        <w:t>;</w:t>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卫生健康支出513925.42元，占</w:t>
      </w:r>
      <w:r>
        <w:rPr>
          <w:rFonts w:hint="eastAsia" w:ascii="仿宋_GB2312" w:hAnsi="仿宋_GB2312" w:eastAsia="仿宋_GB2312" w:cs="仿宋_GB2312"/>
          <w:color w:val="000000"/>
          <w:spacing w:val="0"/>
          <w:w w:val="100"/>
          <w:position w:val="0"/>
          <w:sz w:val="32"/>
          <w:szCs w:val="32"/>
          <w:lang w:val="en-US" w:eastAsia="zh-CN"/>
        </w:rPr>
        <w:t>0.87</w:t>
      </w:r>
      <w:r>
        <w:rPr>
          <w:rFonts w:hint="eastAsia" w:ascii="仿宋_GB2312" w:hAnsi="仿宋_GB2312" w:eastAsia="仿宋_GB2312" w:cs="仿宋_GB2312"/>
          <w:color w:val="000000"/>
          <w:spacing w:val="0"/>
          <w:w w:val="100"/>
          <w:position w:val="0"/>
          <w:sz w:val="32"/>
          <w:szCs w:val="32"/>
        </w:rPr>
        <w:t>%,较年初预算数增加513925.42元，</w:t>
      </w:r>
    </w:p>
    <w:p>
      <w:pPr>
        <w:pStyle w:val="21"/>
        <w:keepNext w:val="0"/>
        <w:keepLines w:val="0"/>
        <w:pageBreakBefore w:val="0"/>
        <w:widowControl w:val="0"/>
        <w:shd w:val="clear" w:color="auto" w:fill="auto"/>
        <w:tabs>
          <w:tab w:val="left" w:leader="dot" w:pos="2463"/>
        </w:tabs>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主要原因是</w:t>
      </w:r>
      <w:r>
        <w:rPr>
          <w:rFonts w:hint="eastAsia" w:ascii="仿宋_GB2312" w:hAnsi="仿宋_GB2312" w:eastAsia="仿宋_GB2312" w:cs="仿宋_GB2312"/>
          <w:color w:val="000000"/>
          <w:spacing w:val="0"/>
          <w:w w:val="100"/>
          <w:position w:val="0"/>
          <w:sz w:val="32"/>
          <w:szCs w:val="32"/>
          <w:lang w:val="en-US" w:eastAsia="zh-CN"/>
        </w:rPr>
        <w:t>预算追加</w:t>
      </w:r>
      <w:r>
        <w:rPr>
          <w:rFonts w:hint="eastAsia" w:ascii="仿宋_GB2312" w:hAnsi="仿宋_GB2312" w:eastAsia="仿宋_GB2312" w:cs="仿宋_GB2312"/>
          <w:color w:val="000000"/>
          <w:spacing w:val="0"/>
          <w:w w:val="100"/>
          <w:position w:val="0"/>
          <w:sz w:val="32"/>
          <w:szCs w:val="32"/>
        </w:rPr>
        <w:t>；</w:t>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农林水支出4206012.16元，占</w:t>
      </w:r>
      <w:r>
        <w:rPr>
          <w:rFonts w:hint="eastAsia" w:ascii="仿宋_GB2312" w:hAnsi="仿宋_GB2312" w:eastAsia="仿宋_GB2312" w:cs="仿宋_GB2312"/>
          <w:color w:val="000000"/>
          <w:spacing w:val="0"/>
          <w:w w:val="100"/>
          <w:position w:val="0"/>
          <w:sz w:val="32"/>
          <w:szCs w:val="32"/>
          <w:lang w:val="en-US" w:eastAsia="zh-CN"/>
        </w:rPr>
        <w:t>7.1</w:t>
      </w:r>
      <w:r>
        <w:rPr>
          <w:rFonts w:hint="eastAsia" w:ascii="仿宋_GB2312" w:hAnsi="仿宋_GB2312" w:eastAsia="仿宋_GB2312" w:cs="仿宋_GB2312"/>
          <w:color w:val="000000"/>
          <w:spacing w:val="0"/>
          <w:w w:val="100"/>
          <w:position w:val="0"/>
          <w:sz w:val="32"/>
          <w:szCs w:val="32"/>
        </w:rPr>
        <w:t>%,较年初预算数增加</w:t>
      </w:r>
      <w:r>
        <w:rPr>
          <w:rFonts w:hint="eastAsia" w:ascii="仿宋_GB2312" w:hAnsi="仿宋_GB2312" w:eastAsia="仿宋_GB2312" w:cs="仿宋_GB2312"/>
          <w:color w:val="000000"/>
          <w:spacing w:val="0"/>
          <w:w w:val="100"/>
          <w:position w:val="0"/>
          <w:sz w:val="32"/>
          <w:szCs w:val="32"/>
          <w:lang w:val="en-US" w:eastAsia="en-US" w:bidi="en-US"/>
        </w:rPr>
        <w:t>4206012.16</w:t>
      </w:r>
      <w:r>
        <w:rPr>
          <w:rFonts w:hint="eastAsia" w:ascii="仿宋_GB2312" w:hAnsi="仿宋_GB2312" w:eastAsia="仿宋_GB2312" w:cs="仿宋_GB2312"/>
          <w:color w:val="000000"/>
          <w:spacing w:val="0"/>
          <w:w w:val="100"/>
          <w:position w:val="0"/>
          <w:sz w:val="32"/>
          <w:szCs w:val="32"/>
        </w:rPr>
        <w:t>元，</w:t>
      </w:r>
    </w:p>
    <w:p>
      <w:pPr>
        <w:pStyle w:val="21"/>
        <w:keepNext w:val="0"/>
        <w:keepLines w:val="0"/>
        <w:pageBreakBefore w:val="0"/>
        <w:widowControl w:val="0"/>
        <w:shd w:val="clear" w:color="auto" w:fill="auto"/>
        <w:tabs>
          <w:tab w:val="left" w:leader="dot" w:pos="2463"/>
        </w:tabs>
        <w:kinsoku/>
        <w:wordWrap/>
        <w:overflowPunct/>
        <w:topLinePunct w:val="0"/>
        <w:autoSpaceDE/>
        <w:autoSpaceDN/>
        <w:bidi w:val="0"/>
        <w:adjustRightInd/>
        <w:snapToGrid/>
        <w:spacing w:before="0" w:after="0" w:line="360" w:lineRule="auto"/>
        <w:ind w:left="0" w:leftChars="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主要原因是</w:t>
      </w:r>
      <w:r>
        <w:rPr>
          <w:rFonts w:hint="eastAsia" w:ascii="仿宋_GB2312" w:hAnsi="仿宋_GB2312" w:eastAsia="仿宋_GB2312" w:cs="仿宋_GB2312"/>
          <w:color w:val="000000"/>
          <w:spacing w:val="0"/>
          <w:w w:val="100"/>
          <w:position w:val="0"/>
          <w:sz w:val="32"/>
          <w:szCs w:val="32"/>
          <w:lang w:val="en-US" w:eastAsia="zh-CN"/>
        </w:rPr>
        <w:t>扶贫资金支出</w:t>
      </w:r>
      <w:r>
        <w:rPr>
          <w:rFonts w:hint="eastAsia" w:ascii="仿宋_GB2312" w:hAnsi="仿宋_GB2312" w:eastAsia="仿宋_GB2312" w:cs="仿宋_GB2312"/>
          <w:color w:val="000000"/>
          <w:spacing w:val="0"/>
          <w:w w:val="100"/>
          <w:position w:val="0"/>
          <w:sz w:val="32"/>
          <w:szCs w:val="32"/>
        </w:rPr>
        <w:t>;</w:t>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交通运输支出52753578.92元，占</w:t>
      </w:r>
      <w:r>
        <w:rPr>
          <w:rFonts w:hint="eastAsia" w:ascii="仿宋_GB2312" w:hAnsi="仿宋_GB2312" w:eastAsia="仿宋_GB2312" w:cs="仿宋_GB2312"/>
          <w:color w:val="000000"/>
          <w:spacing w:val="0"/>
          <w:w w:val="100"/>
          <w:position w:val="0"/>
          <w:sz w:val="32"/>
          <w:szCs w:val="32"/>
          <w:lang w:val="en-US" w:eastAsia="zh-CN"/>
        </w:rPr>
        <w:t>89.06</w:t>
      </w:r>
      <w:r>
        <w:rPr>
          <w:rFonts w:hint="eastAsia" w:ascii="仿宋_GB2312" w:hAnsi="仿宋_GB2312" w:eastAsia="仿宋_GB2312" w:cs="仿宋_GB2312"/>
          <w:color w:val="000000"/>
          <w:spacing w:val="0"/>
          <w:w w:val="100"/>
          <w:position w:val="0"/>
          <w:sz w:val="32"/>
          <w:szCs w:val="32"/>
        </w:rPr>
        <w:t>%,较年初预算数增加52599508.21元，</w:t>
      </w:r>
    </w:p>
    <w:p>
      <w:pPr>
        <w:pStyle w:val="21"/>
        <w:keepNext w:val="0"/>
        <w:keepLines w:val="0"/>
        <w:pageBreakBefore w:val="0"/>
        <w:widowControl w:val="0"/>
        <w:shd w:val="clear" w:color="auto" w:fill="auto"/>
        <w:tabs>
          <w:tab w:val="left" w:leader="dot" w:pos="2463"/>
        </w:tabs>
        <w:kinsoku/>
        <w:wordWrap/>
        <w:overflowPunct/>
        <w:topLinePunct w:val="0"/>
        <w:autoSpaceDE/>
        <w:autoSpaceDN/>
        <w:bidi w:val="0"/>
        <w:adjustRightInd/>
        <w:snapToGrid/>
        <w:spacing w:before="0" w:after="0" w:line="360" w:lineRule="auto"/>
        <w:ind w:left="0" w:leftChars="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主要原因是</w:t>
      </w:r>
      <w:r>
        <w:rPr>
          <w:rFonts w:hint="eastAsia" w:ascii="仿宋_GB2312" w:hAnsi="仿宋_GB2312" w:eastAsia="仿宋_GB2312" w:cs="仿宋_GB2312"/>
          <w:color w:val="000000"/>
          <w:spacing w:val="0"/>
          <w:w w:val="100"/>
          <w:position w:val="0"/>
          <w:sz w:val="32"/>
          <w:szCs w:val="32"/>
          <w:lang w:val="en-US" w:eastAsia="zh-CN"/>
        </w:rPr>
        <w:t>预算追加</w:t>
      </w:r>
      <w:r>
        <w:rPr>
          <w:rFonts w:hint="eastAsia" w:ascii="仿宋_GB2312" w:hAnsi="仿宋_GB2312" w:eastAsia="仿宋_GB2312" w:cs="仿宋_GB2312"/>
          <w:color w:val="000000"/>
          <w:spacing w:val="0"/>
          <w:w w:val="100"/>
          <w:position w:val="0"/>
          <w:sz w:val="32"/>
          <w:szCs w:val="32"/>
        </w:rPr>
        <w:t>；</w:t>
      </w:r>
    </w:p>
    <w:p>
      <w:pPr>
        <w:pStyle w:val="21"/>
        <w:keepNext w:val="0"/>
        <w:keepLines w:val="0"/>
        <w:pageBreakBefore w:val="0"/>
        <w:widowControl w:val="0"/>
        <w:shd w:val="clear" w:color="auto" w:fill="auto"/>
        <w:tabs>
          <w:tab w:val="left" w:pos="1116"/>
        </w:tabs>
        <w:kinsoku/>
        <w:wordWrap/>
        <w:overflowPunct/>
        <w:topLinePunct w:val="0"/>
        <w:autoSpaceDE/>
        <w:autoSpaceDN/>
        <w:bidi w:val="0"/>
        <w:adjustRightInd/>
        <w:snapToGrid/>
        <w:spacing w:before="0" w:after="0" w:line="360" w:lineRule="auto"/>
        <w:ind w:right="0"/>
        <w:jc w:val="both"/>
        <w:textAlignment w:val="auto"/>
        <w:rPr>
          <w:rFonts w:hint="default" w:ascii="仿宋_GB2312" w:hAnsi="仿宋_GB2312" w:eastAsia="仿宋_GB2312" w:cs="仿宋_GB2312"/>
          <w:b/>
          <w:bCs/>
          <w:color w:val="000000"/>
          <w:spacing w:val="0"/>
          <w:w w:val="100"/>
          <w:position w:val="0"/>
          <w:sz w:val="32"/>
          <w:szCs w:val="32"/>
          <w:lang w:val="en-US" w:eastAsia="zh-CN"/>
        </w:rPr>
      </w:pP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tab/>
      </w:r>
      <w:r>
        <w:rPr>
          <w:rFonts w:hint="eastAsia" w:ascii="仿宋_GB2312" w:hAnsi="仿宋_GB2312" w:eastAsia="仿宋_GB2312" w:cs="仿宋_GB2312"/>
          <w:b/>
          <w:bCs/>
          <w:color w:val="000000"/>
          <w:spacing w:val="0"/>
          <w:w w:val="100"/>
          <w:position w:val="0"/>
          <w:sz w:val="32"/>
          <w:szCs w:val="32"/>
          <w:lang w:eastAsia="zh-CN"/>
        </w:rPr>
        <w:t>六、</w:t>
      </w:r>
      <w:r>
        <w:rPr>
          <w:rFonts w:hint="eastAsia" w:ascii="仿宋_GB2312" w:hAnsi="仿宋_GB2312" w:eastAsia="仿宋_GB2312" w:cs="仿宋_GB2312"/>
          <w:b/>
          <w:bCs/>
          <w:color w:val="000000"/>
          <w:spacing w:val="0"/>
          <w:w w:val="100"/>
          <w:position w:val="0"/>
          <w:sz w:val="32"/>
          <w:szCs w:val="32"/>
          <w:lang w:val="en-US" w:eastAsia="zh-CN"/>
        </w:rPr>
        <w:t>一般公共预算财政拨款基本支出决算情况说明</w:t>
      </w:r>
    </w:p>
    <w:p>
      <w:pPr>
        <w:pStyle w:val="13"/>
        <w:keepNext w:val="0"/>
        <w:keepLines w:val="0"/>
        <w:pageBreakBefore w:val="0"/>
        <w:widowControl w:val="0"/>
        <w:shd w:val="clear" w:color="auto" w:fill="auto"/>
        <w:tabs>
          <w:tab w:val="left" w:leader="dot" w:pos="1186"/>
          <w:tab w:val="left" w:leader="dot" w:pos="1517"/>
          <w:tab w:val="left" w:leader="dot" w:pos="3490"/>
          <w:tab w:val="left" w:leader="dot" w:pos="6902"/>
          <w:tab w:val="left" w:leader="dot" w:pos="8338"/>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rPr>
        <w:t>本部门（本单位）</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年度一般公共财政拨款基本支出</w:t>
      </w:r>
      <w:r>
        <w:rPr>
          <w:rFonts w:hint="eastAsia" w:ascii="仿宋_GB2312" w:hAnsi="仿宋_GB2312" w:eastAsia="仿宋_GB2312" w:cs="仿宋_GB2312"/>
          <w:color w:val="000000"/>
          <w:spacing w:val="0"/>
          <w:w w:val="100"/>
          <w:position w:val="0"/>
          <w:sz w:val="32"/>
          <w:szCs w:val="32"/>
          <w:lang w:val="en-US" w:eastAsia="en-US" w:bidi="en-US"/>
        </w:rPr>
        <w:t>12626774.72</w:t>
      </w:r>
      <w:r>
        <w:rPr>
          <w:rFonts w:hint="eastAsia" w:ascii="仿宋_GB2312" w:hAnsi="仿宋_GB2312" w:eastAsia="仿宋_GB2312" w:cs="仿宋_GB2312"/>
          <w:color w:val="000000"/>
          <w:spacing w:val="0"/>
          <w:w w:val="100"/>
          <w:position w:val="0"/>
          <w:sz w:val="32"/>
          <w:szCs w:val="32"/>
        </w:rPr>
        <w:t>元。其中：人员经费10859463.63元，较上年</w:t>
      </w:r>
      <w:r>
        <w:rPr>
          <w:rFonts w:hint="eastAsia" w:ascii="仿宋_GB2312" w:hAnsi="仿宋_GB2312" w:eastAsia="仿宋_GB2312" w:cs="仿宋_GB2312"/>
          <w:color w:val="000000"/>
          <w:spacing w:val="0"/>
          <w:w w:val="100"/>
          <w:position w:val="0"/>
          <w:sz w:val="32"/>
          <w:szCs w:val="32"/>
          <w:lang w:val="en-US" w:eastAsia="zh-CN"/>
        </w:rPr>
        <w:t>减少1757723.96</w:t>
      </w:r>
      <w:r>
        <w:rPr>
          <w:rFonts w:hint="eastAsia" w:ascii="仿宋_GB2312" w:hAnsi="仿宋_GB2312" w:eastAsia="仿宋_GB2312" w:cs="仿宋_GB2312"/>
          <w:color w:val="000000"/>
          <w:spacing w:val="0"/>
          <w:w w:val="100"/>
          <w:position w:val="0"/>
          <w:sz w:val="32"/>
          <w:szCs w:val="32"/>
        </w:rPr>
        <w:t>元，主要原因是</w:t>
      </w:r>
      <w:r>
        <w:rPr>
          <w:rFonts w:hint="eastAsia" w:ascii="仿宋_GB2312" w:hAnsi="仿宋_GB2312" w:eastAsia="仿宋_GB2312" w:cs="仿宋_GB2312"/>
          <w:color w:val="000000"/>
          <w:spacing w:val="0"/>
          <w:w w:val="100"/>
          <w:position w:val="0"/>
          <w:sz w:val="32"/>
          <w:szCs w:val="32"/>
          <w:lang w:val="en-US" w:eastAsia="zh-CN"/>
        </w:rPr>
        <w:t>人员减少</w:t>
      </w:r>
      <w:r>
        <w:rPr>
          <w:rFonts w:hint="eastAsia" w:ascii="仿宋_GB2312" w:hAnsi="仿宋_GB2312" w:eastAsia="仿宋_GB2312" w:cs="仿宋_GB2312"/>
          <w:color w:val="000000"/>
          <w:spacing w:val="0"/>
          <w:w w:val="100"/>
          <w:position w:val="0"/>
          <w:sz w:val="32"/>
          <w:szCs w:val="32"/>
        </w:rPr>
        <w:t>。人员经费用途主要包括基本工资、津贴补贴、奖金、社会</w:t>
      </w:r>
      <w:bookmarkStart w:id="18" w:name="_GoBack"/>
      <w:bookmarkEnd w:id="18"/>
      <w:r>
        <w:rPr>
          <w:rFonts w:hint="eastAsia" w:ascii="仿宋_GB2312" w:hAnsi="仿宋_GB2312" w:eastAsia="仿宋_GB2312" w:cs="仿宋_GB2312"/>
          <w:color w:val="000000"/>
          <w:spacing w:val="0"/>
          <w:w w:val="100"/>
          <w:position w:val="0"/>
          <w:sz w:val="32"/>
          <w:szCs w:val="32"/>
        </w:rPr>
        <w:t>保障缴费等</w:t>
      </w:r>
      <w:r>
        <w:rPr>
          <w:rFonts w:hint="eastAsia" w:ascii="仿宋_GB2312" w:hAnsi="仿宋_GB2312" w:eastAsia="仿宋_GB2312" w:cs="仿宋_GB2312"/>
          <w:color w:val="000000"/>
          <w:spacing w:val="0"/>
          <w:w w:val="100"/>
          <w:position w:val="0"/>
          <w:sz w:val="32"/>
          <w:szCs w:val="32"/>
          <w:lang w:val="en-US" w:eastAsia="zh-CN" w:bidi="en-US"/>
        </w:rPr>
        <w:t>。</w:t>
      </w:r>
      <w:r>
        <w:rPr>
          <w:rFonts w:hint="eastAsia" w:ascii="仿宋_GB2312" w:hAnsi="仿宋_GB2312" w:eastAsia="仿宋_GB2312" w:cs="仿宋_GB2312"/>
          <w:color w:val="000000"/>
          <w:spacing w:val="0"/>
          <w:w w:val="100"/>
          <w:position w:val="0"/>
          <w:sz w:val="32"/>
          <w:szCs w:val="32"/>
        </w:rPr>
        <w:t>公用经费1767311.09元，较上年增加641606.96元，主要原因是</w:t>
      </w:r>
      <w:r>
        <w:rPr>
          <w:rFonts w:hint="eastAsia" w:ascii="仿宋_GB2312" w:hAnsi="仿宋_GB2312" w:eastAsia="仿宋_GB2312" w:cs="仿宋_GB2312"/>
          <w:color w:val="000000"/>
          <w:spacing w:val="0"/>
          <w:w w:val="100"/>
          <w:position w:val="0"/>
          <w:sz w:val="32"/>
          <w:szCs w:val="32"/>
          <w:lang w:val="en-US" w:eastAsia="zh-CN"/>
        </w:rPr>
        <w:t>维护费电费增加</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lang w:val="en-US" w:eastAsia="zh-CN"/>
        </w:rPr>
        <w:t>公用</w:t>
      </w:r>
      <w:r>
        <w:rPr>
          <w:rFonts w:hint="eastAsia" w:ascii="仿宋_GB2312" w:hAnsi="仿宋_GB2312" w:eastAsia="仿宋_GB2312" w:cs="仿宋_GB2312"/>
          <w:color w:val="000000"/>
          <w:spacing w:val="0"/>
          <w:w w:val="100"/>
          <w:position w:val="0"/>
          <w:sz w:val="32"/>
          <w:szCs w:val="32"/>
        </w:rPr>
        <w:t>经费用途主要包括办公费、印刷费、咨询费、手续费等</w:t>
      </w:r>
      <w:r>
        <w:rPr>
          <w:rFonts w:hint="eastAsia" w:ascii="仿宋_GB2312" w:hAnsi="仿宋_GB2312" w:eastAsia="仿宋_GB2312" w:cs="仿宋_GB2312"/>
          <w:color w:val="000000"/>
          <w:spacing w:val="0"/>
          <w:w w:val="100"/>
          <w:position w:val="0"/>
          <w:sz w:val="32"/>
          <w:szCs w:val="32"/>
          <w:lang w:eastAsia="zh-CN"/>
        </w:rPr>
        <w:t>。</w:t>
      </w:r>
    </w:p>
    <w:p>
      <w:pPr>
        <w:pStyle w:val="13"/>
        <w:keepNext w:val="0"/>
        <w:keepLines w:val="0"/>
        <w:pageBreakBefore w:val="0"/>
        <w:widowControl w:val="0"/>
        <w:shd w:val="clear" w:color="auto" w:fill="auto"/>
        <w:tabs>
          <w:tab w:val="left" w:leader="dot" w:pos="1186"/>
          <w:tab w:val="left" w:leader="dot" w:pos="1517"/>
          <w:tab w:val="left" w:leader="dot" w:pos="3490"/>
          <w:tab w:val="left" w:leader="dot" w:pos="6902"/>
          <w:tab w:val="left" w:leader="dot" w:pos="8338"/>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SimHei" w:hAnsi="SimHei" w:eastAsia="SimHei" w:cs="SimHei"/>
          <w:b/>
          <w:bCs/>
          <w:i w:val="0"/>
          <w:iCs w:val="0"/>
          <w:smallCaps w:val="0"/>
          <w:strike w:val="0"/>
          <w:color w:val="000000"/>
          <w:spacing w:val="0"/>
          <w:w w:val="100"/>
          <w:position w:val="0"/>
          <w:sz w:val="32"/>
          <w:szCs w:val="32"/>
        </w:rPr>
      </w:pPr>
      <w:r>
        <w:rPr>
          <w:rFonts w:hint="eastAsia" w:ascii="SimHei" w:hAnsi="SimHei" w:eastAsia="SimHei" w:cs="SimHei"/>
          <w:b/>
          <w:bCs/>
          <w:i w:val="0"/>
          <w:iCs w:val="0"/>
          <w:smallCaps w:val="0"/>
          <w:strike w:val="0"/>
          <w:color w:val="000000"/>
          <w:spacing w:val="0"/>
          <w:w w:val="100"/>
          <w:position w:val="0"/>
          <w:sz w:val="32"/>
          <w:szCs w:val="32"/>
          <w:lang w:val="zh-CN" w:eastAsia="zh-CN"/>
        </w:rPr>
        <w:t>七、</w:t>
      </w:r>
      <w:r>
        <w:rPr>
          <w:rFonts w:hint="eastAsia" w:ascii="SimHei" w:hAnsi="SimHei" w:eastAsia="SimHei" w:cs="SimHei"/>
          <w:b/>
          <w:bCs/>
          <w:i w:val="0"/>
          <w:iCs w:val="0"/>
          <w:smallCaps w:val="0"/>
          <w:strike w:val="0"/>
          <w:color w:val="000000"/>
          <w:spacing w:val="0"/>
          <w:w w:val="100"/>
          <w:position w:val="0"/>
          <w:sz w:val="32"/>
          <w:szCs w:val="32"/>
          <w:lang w:val="zh-CN" w:eastAsia="zh-CN"/>
        </w:rPr>
        <w:tab/>
      </w:r>
      <w:r>
        <w:rPr>
          <w:rFonts w:hint="eastAsia" w:ascii="SimHei" w:hAnsi="SimHei" w:eastAsia="SimHei" w:cs="SimHei"/>
          <w:b/>
          <w:bCs/>
          <w:i w:val="0"/>
          <w:iCs w:val="0"/>
          <w:smallCaps w:val="0"/>
          <w:strike w:val="0"/>
          <w:color w:val="000000"/>
          <w:spacing w:val="0"/>
          <w:w w:val="100"/>
          <w:position w:val="0"/>
          <w:sz w:val="32"/>
          <w:szCs w:val="32"/>
          <w:lang w:val="zh-CN" w:eastAsia="zh-CN"/>
        </w:rPr>
        <w:t>一般公共预算财政拨款“三公”经费支出决算情况说明</w:t>
      </w:r>
    </w:p>
    <w:p>
      <w:pPr>
        <w:pStyle w:val="13"/>
        <w:keepNext w:val="0"/>
        <w:keepLines w:val="0"/>
        <w:pageBreakBefore w:val="0"/>
        <w:widowControl w:val="0"/>
        <w:shd w:val="clear" w:color="auto" w:fill="auto"/>
        <w:tabs>
          <w:tab w:val="left" w:pos="1658"/>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_GB2312" w:hAnsi="楷体_GB2312" w:eastAsia="楷体_GB2312" w:cs="楷体_GB2312"/>
          <w:b/>
          <w:bCs/>
          <w:i w:val="0"/>
          <w:iCs w:val="0"/>
          <w:smallCaps w:val="0"/>
          <w:strike w:val="0"/>
          <w:color w:val="000000"/>
          <w:spacing w:val="0"/>
          <w:w w:val="100"/>
          <w:position w:val="0"/>
          <w:sz w:val="32"/>
          <w:szCs w:val="32"/>
        </w:rPr>
      </w:pPr>
      <w:r>
        <w:rPr>
          <w:rFonts w:hint="eastAsia" w:ascii="楷体_GB2312" w:hAnsi="楷体_GB2312" w:eastAsia="楷体_GB2312" w:cs="楷体_GB2312"/>
          <w:b/>
          <w:bCs/>
          <w:i w:val="0"/>
          <w:iCs w:val="0"/>
          <w:smallCaps w:val="0"/>
          <w:strike w:val="0"/>
          <w:color w:val="000000"/>
          <w:spacing w:val="0"/>
          <w:w w:val="100"/>
          <w:position w:val="0"/>
          <w:sz w:val="32"/>
          <w:szCs w:val="32"/>
        </w:rPr>
        <w:t>（一）“</w:t>
      </w:r>
      <w:r>
        <w:rPr>
          <w:rFonts w:ascii="仿宋_GB2312" w:hAnsi="仿宋_GB2312" w:eastAsia="仿宋_GB2312" w:cs="仿宋_GB2312"/>
          <w:b/>
          <w:bCs/>
          <w:color w:val="333333"/>
          <w:sz w:val="32"/>
          <w:szCs w:val="32"/>
        </w:rPr>
        <w:t>三公</w:t>
      </w:r>
      <w:r>
        <w:rPr>
          <w:rFonts w:hint="eastAsia" w:ascii="SimSun" w:hAnsi="SimSun" w:eastAsia="SimSun" w:cs="SimSun"/>
          <w:b/>
          <w:bCs/>
          <w:color w:val="333333"/>
          <w:sz w:val="32"/>
          <w:szCs w:val="32"/>
        </w:rPr>
        <w:t>”</w:t>
      </w:r>
      <w:r>
        <w:rPr>
          <w:rFonts w:hint="eastAsia" w:ascii="仿宋_GB2312" w:hAnsi="仿宋_GB2312" w:eastAsia="仿宋_GB2312" w:cs="仿宋_GB2312"/>
          <w:b/>
          <w:bCs/>
          <w:color w:val="333333"/>
          <w:sz w:val="32"/>
          <w:szCs w:val="32"/>
        </w:rPr>
        <w:t>经费财政拨款支出总体情况说明</w:t>
      </w:r>
    </w:p>
    <w:p>
      <w:pPr>
        <w:pStyle w:val="13"/>
        <w:keepNext w:val="0"/>
        <w:keepLines w:val="0"/>
        <w:pageBreakBefore w:val="0"/>
        <w:widowControl w:val="0"/>
        <w:shd w:val="clear" w:color="auto" w:fill="auto"/>
        <w:tabs>
          <w:tab w:val="left" w:leader="dot" w:pos="2170"/>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年度本部门（本单位）</w:t>
      </w:r>
      <w:r>
        <w:rPr>
          <w:rFonts w:hint="eastAsia" w:ascii="仿宋_GB2312" w:hAnsi="仿宋_GB2312" w:eastAsia="仿宋_GB2312" w:cs="仿宋_GB2312"/>
          <w:color w:val="000000"/>
          <w:spacing w:val="0"/>
          <w:w w:val="100"/>
          <w:position w:val="0"/>
          <w:sz w:val="32"/>
          <w:szCs w:val="32"/>
          <w:lang w:val="zh-CN" w:eastAsia="zh-CN" w:bidi="zh-CN"/>
        </w:rPr>
        <w:t>“三</w:t>
      </w:r>
      <w:r>
        <w:rPr>
          <w:rFonts w:hint="eastAsia" w:ascii="仿宋_GB2312" w:hAnsi="仿宋_GB2312" w:eastAsia="仿宋_GB2312" w:cs="仿宋_GB2312"/>
          <w:color w:val="000000"/>
          <w:spacing w:val="0"/>
          <w:w w:val="100"/>
          <w:position w:val="0"/>
          <w:sz w:val="32"/>
          <w:szCs w:val="32"/>
        </w:rPr>
        <w:t>公”经费年初预算数为</w:t>
      </w:r>
      <w:r>
        <w:rPr>
          <w:rFonts w:hint="eastAsia" w:ascii="仿宋_GB2312" w:hAnsi="仿宋_GB2312" w:eastAsia="仿宋_GB2312" w:cs="仿宋_GB2312"/>
          <w:color w:val="000000"/>
          <w:spacing w:val="0"/>
          <w:w w:val="100"/>
          <w:position w:val="0"/>
          <w:sz w:val="32"/>
          <w:szCs w:val="32"/>
          <w:lang w:val="en-US" w:eastAsia="zh-CN" w:bidi="en-US"/>
        </w:rPr>
        <w:t>0</w:t>
      </w:r>
      <w:r>
        <w:rPr>
          <w:rFonts w:hint="eastAsia" w:ascii="仿宋_GB2312" w:hAnsi="仿宋_GB2312" w:eastAsia="仿宋_GB2312" w:cs="仿宋_GB2312"/>
          <w:color w:val="000000"/>
          <w:spacing w:val="0"/>
          <w:w w:val="100"/>
          <w:position w:val="0"/>
          <w:sz w:val="32"/>
          <w:szCs w:val="32"/>
        </w:rPr>
        <w:t>元，支出决算数为130734元，较年初预算数增加130734元，主要原因是</w:t>
      </w:r>
      <w:r>
        <w:rPr>
          <w:rFonts w:hint="eastAsia" w:ascii="仿宋_GB2312" w:hAnsi="仿宋_GB2312" w:eastAsia="仿宋_GB2312" w:cs="仿宋_GB2312"/>
          <w:color w:val="000000"/>
          <w:spacing w:val="0"/>
          <w:w w:val="100"/>
          <w:position w:val="0"/>
          <w:sz w:val="32"/>
          <w:szCs w:val="32"/>
          <w:lang w:val="en-US" w:eastAsia="zh-CN"/>
        </w:rPr>
        <w:t>执法车辆运行维护</w:t>
      </w:r>
      <w:r>
        <w:rPr>
          <w:rFonts w:hint="eastAsia" w:ascii="仿宋_GB2312" w:hAnsi="仿宋_GB2312" w:eastAsia="仿宋_GB2312" w:cs="仿宋_GB2312"/>
          <w:color w:val="000000"/>
          <w:spacing w:val="0"/>
          <w:w w:val="100"/>
          <w:position w:val="0"/>
          <w:sz w:val="32"/>
          <w:szCs w:val="32"/>
        </w:rPr>
        <w:t>，较上年支出数增加130734元，主要原因是</w:t>
      </w:r>
      <w:r>
        <w:rPr>
          <w:rFonts w:hint="eastAsia" w:ascii="仿宋_GB2312" w:hAnsi="仿宋_GB2312" w:eastAsia="仿宋_GB2312" w:cs="仿宋_GB2312"/>
          <w:color w:val="000000"/>
          <w:spacing w:val="0"/>
          <w:w w:val="100"/>
          <w:position w:val="0"/>
          <w:sz w:val="32"/>
          <w:szCs w:val="32"/>
          <w:lang w:val="en-US" w:eastAsia="zh-CN"/>
        </w:rPr>
        <w:t>执法车辆运行维护。</w:t>
      </w:r>
    </w:p>
    <w:p>
      <w:pPr>
        <w:pStyle w:val="13"/>
        <w:keepNext w:val="0"/>
        <w:keepLines w:val="0"/>
        <w:pageBreakBefore w:val="0"/>
        <w:widowControl w:val="0"/>
        <w:shd w:val="clear" w:color="auto" w:fill="auto"/>
        <w:tabs>
          <w:tab w:val="left" w:leader="dot" w:pos="2141"/>
          <w:tab w:val="left" w:leader="dot" w:pos="2174"/>
          <w:tab w:val="left" w:leader="dot" w:pos="3586"/>
          <w:tab w:val="left" w:leader="dot" w:pos="5822"/>
          <w:tab w:val="left" w:leader="dot" w:pos="7090"/>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val="0"/>
          <w:bCs w:val="0"/>
          <w:color w:val="333333"/>
          <w:sz w:val="32"/>
          <w:szCs w:val="32"/>
          <w:lang w:val="en-US" w:eastAsia="zh-CN"/>
        </w:rPr>
      </w:pPr>
      <w:r>
        <w:rPr>
          <w:rFonts w:hint="eastAsia" w:ascii="仿宋_GB2312" w:hAnsi="仿宋_GB2312" w:eastAsia="仿宋_GB2312" w:cs="仿宋_GB2312"/>
          <w:b/>
          <w:bCs/>
          <w:color w:val="000000"/>
          <w:spacing w:val="0"/>
          <w:w w:val="100"/>
          <w:position w:val="0"/>
          <w:sz w:val="32"/>
          <w:szCs w:val="32"/>
        </w:rPr>
        <w:t>公务用车购置及运行维护费</w:t>
      </w:r>
      <w:r>
        <w:rPr>
          <w:rFonts w:hint="eastAsia" w:ascii="仿宋_GB2312" w:hAnsi="仿宋_GB2312" w:eastAsia="仿宋_GB2312" w:cs="仿宋_GB2312"/>
          <w:color w:val="000000"/>
          <w:spacing w:val="0"/>
          <w:w w:val="100"/>
          <w:position w:val="0"/>
          <w:sz w:val="32"/>
          <w:szCs w:val="32"/>
        </w:rPr>
        <w:t>年初预算数为</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元，支出决算数为130734元,费用支出较年初预算数增加130734元，主要原因是</w:t>
      </w:r>
      <w:r>
        <w:rPr>
          <w:rFonts w:hint="eastAsia" w:ascii="仿宋_GB2312" w:hAnsi="仿宋_GB2312" w:eastAsia="仿宋_GB2312" w:cs="仿宋_GB2312"/>
          <w:color w:val="000000"/>
          <w:spacing w:val="0"/>
          <w:w w:val="100"/>
          <w:position w:val="0"/>
          <w:sz w:val="32"/>
          <w:szCs w:val="32"/>
          <w:lang w:val="en-US" w:eastAsia="zh-CN"/>
        </w:rPr>
        <w:t>执法车辆运行维护</w:t>
      </w:r>
      <w:r>
        <w:rPr>
          <w:rFonts w:hint="eastAsia" w:ascii="仿宋_GB2312" w:hAnsi="仿宋_GB2312" w:eastAsia="仿宋_GB2312" w:cs="仿宋_GB2312"/>
          <w:color w:val="000000"/>
          <w:spacing w:val="0"/>
          <w:w w:val="100"/>
          <w:position w:val="0"/>
          <w:sz w:val="32"/>
          <w:szCs w:val="32"/>
        </w:rPr>
        <w:t>，较上年支岀数增加130734元，主要原因是</w:t>
      </w:r>
      <w:r>
        <w:rPr>
          <w:rFonts w:hint="eastAsia" w:ascii="仿宋_GB2312" w:hAnsi="仿宋_GB2312" w:eastAsia="仿宋_GB2312" w:cs="仿宋_GB2312"/>
          <w:color w:val="000000"/>
          <w:spacing w:val="0"/>
          <w:w w:val="100"/>
          <w:position w:val="0"/>
          <w:sz w:val="32"/>
          <w:szCs w:val="32"/>
          <w:lang w:val="en-US" w:eastAsia="zh-CN"/>
        </w:rPr>
        <w:t>执法车辆运行维护。</w:t>
      </w:r>
    </w:p>
    <w:p>
      <w:pPr>
        <w:pStyle w:val="13"/>
        <w:keepNext w:val="0"/>
        <w:keepLines w:val="0"/>
        <w:pageBreakBefore w:val="0"/>
        <w:widowControl w:val="0"/>
        <w:shd w:val="clear" w:color="auto" w:fill="auto"/>
        <w:tabs>
          <w:tab w:val="left" w:leader="dot" w:pos="2141"/>
          <w:tab w:val="left" w:leader="dot" w:pos="2174"/>
          <w:tab w:val="left" w:leader="dot" w:pos="3586"/>
          <w:tab w:val="left" w:leader="dot" w:pos="5822"/>
          <w:tab w:val="left" w:leader="dot" w:pos="7090"/>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default" w:ascii="仿宋_GB2312" w:hAnsi="仿宋_GB2312" w:eastAsia="仿宋_GB2312" w:cs="仿宋_GB2312"/>
          <w:b w:val="0"/>
          <w:bCs w:val="0"/>
          <w:color w:val="333333"/>
          <w:sz w:val="32"/>
          <w:szCs w:val="32"/>
          <w:lang w:val="en-US" w:eastAsia="zh-CN"/>
        </w:rPr>
      </w:pPr>
      <w:r>
        <w:rPr>
          <w:rFonts w:hint="eastAsia" w:ascii="仿宋_GB2312" w:hAnsi="仿宋_GB2312" w:eastAsia="仿宋_GB2312" w:cs="仿宋_GB2312"/>
          <w:b w:val="0"/>
          <w:bCs w:val="0"/>
          <w:color w:val="333333"/>
          <w:sz w:val="32"/>
          <w:szCs w:val="32"/>
          <w:lang w:val="en-US" w:eastAsia="zh-CN"/>
        </w:rPr>
        <w:t>其中：</w:t>
      </w:r>
      <w:r>
        <w:rPr>
          <w:rFonts w:ascii="仿宋_GB2312" w:hAnsi="仿宋_GB2312" w:eastAsia="仿宋_GB2312" w:cs="仿宋_GB2312"/>
          <w:b/>
          <w:bCs/>
          <w:color w:val="333333"/>
          <w:sz w:val="32"/>
          <w:szCs w:val="32"/>
        </w:rPr>
        <w:t>公务用车运行维护费</w:t>
      </w:r>
      <w:r>
        <w:rPr>
          <w:rFonts w:hint="eastAsia" w:ascii="仿宋_GB2312" w:hAnsi="仿宋_GB2312" w:eastAsia="仿宋_GB2312" w:cs="仿宋_GB2312"/>
          <w:color w:val="000000"/>
          <w:spacing w:val="0"/>
          <w:w w:val="100"/>
          <w:position w:val="0"/>
          <w:sz w:val="32"/>
          <w:szCs w:val="32"/>
        </w:rPr>
        <w:t>年初预算数为</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元，支出决算数为130734元，主要用于</w:t>
      </w:r>
      <w:r>
        <w:rPr>
          <w:rFonts w:hint="eastAsia" w:ascii="仿宋_GB2312" w:hAnsi="仿宋_GB2312" w:eastAsia="仿宋_GB2312" w:cs="仿宋_GB2312"/>
          <w:color w:val="000000"/>
          <w:spacing w:val="0"/>
          <w:w w:val="100"/>
          <w:position w:val="0"/>
          <w:sz w:val="32"/>
          <w:szCs w:val="32"/>
          <w:lang w:val="en-US" w:eastAsia="zh-CN"/>
        </w:rPr>
        <w:t>执法车维修，执法车加油，执法车保险费</w:t>
      </w:r>
      <w:r>
        <w:rPr>
          <w:rFonts w:hint="eastAsia" w:ascii="仿宋_GB2312" w:hAnsi="仿宋_GB2312" w:eastAsia="仿宋_GB2312" w:cs="仿宋_GB2312"/>
          <w:color w:val="000000"/>
          <w:spacing w:val="0"/>
          <w:w w:val="100"/>
          <w:position w:val="0"/>
          <w:sz w:val="32"/>
          <w:szCs w:val="32"/>
        </w:rPr>
        <w:t>，费用支出较年初预算数增加130734元，主要原因是</w:t>
      </w:r>
      <w:r>
        <w:rPr>
          <w:rFonts w:hint="eastAsia" w:ascii="仿宋_GB2312" w:hAnsi="仿宋_GB2312" w:eastAsia="仿宋_GB2312" w:cs="仿宋_GB2312"/>
          <w:color w:val="000000"/>
          <w:spacing w:val="0"/>
          <w:w w:val="100"/>
          <w:position w:val="0"/>
          <w:sz w:val="32"/>
          <w:szCs w:val="32"/>
          <w:lang w:val="en-US" w:eastAsia="zh-CN"/>
        </w:rPr>
        <w:t>执法车运行维护</w:t>
      </w:r>
      <w:r>
        <w:rPr>
          <w:rFonts w:hint="eastAsia" w:ascii="仿宋_GB2312" w:hAnsi="仿宋_GB2312" w:eastAsia="仿宋_GB2312" w:cs="仿宋_GB2312"/>
          <w:color w:val="000000"/>
          <w:spacing w:val="0"/>
          <w:w w:val="100"/>
          <w:position w:val="0"/>
          <w:sz w:val="32"/>
          <w:szCs w:val="32"/>
        </w:rPr>
        <w:t>，较上年支出数增加130734元，主要原因是</w:t>
      </w:r>
      <w:r>
        <w:rPr>
          <w:rFonts w:hint="eastAsia" w:ascii="仿宋_GB2312" w:hAnsi="仿宋_GB2312" w:eastAsia="仿宋_GB2312" w:cs="仿宋_GB2312"/>
          <w:color w:val="000000"/>
          <w:spacing w:val="0"/>
          <w:w w:val="100"/>
          <w:position w:val="0"/>
          <w:sz w:val="32"/>
          <w:szCs w:val="32"/>
          <w:lang w:val="en-US" w:eastAsia="zh-CN"/>
        </w:rPr>
        <w:t>执法车运行。</w:t>
      </w:r>
    </w:p>
    <w:p>
      <w:pPr>
        <w:pStyle w:val="13"/>
        <w:keepNext w:val="0"/>
        <w:keepLines w:val="0"/>
        <w:pageBreakBefore w:val="0"/>
        <w:widowControl w:val="0"/>
        <w:shd w:val="clear" w:color="auto" w:fill="auto"/>
        <w:tabs>
          <w:tab w:val="left" w:leader="dot" w:pos="2141"/>
          <w:tab w:val="left" w:leader="dot" w:pos="2174"/>
          <w:tab w:val="left" w:leader="dot" w:pos="3586"/>
          <w:tab w:val="left" w:leader="dot" w:pos="5822"/>
          <w:tab w:val="left" w:leader="dot" w:pos="7090"/>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公务接待费</w:t>
      </w:r>
      <w:r>
        <w:rPr>
          <w:rFonts w:hint="eastAsia" w:ascii="仿宋_GB2312" w:hAnsi="仿宋_GB2312" w:eastAsia="仿宋_GB2312" w:cs="仿宋_GB2312"/>
          <w:color w:val="000000"/>
          <w:spacing w:val="0"/>
          <w:w w:val="100"/>
          <w:position w:val="0"/>
          <w:sz w:val="32"/>
          <w:szCs w:val="32"/>
        </w:rPr>
        <w:t>年初预算数为</w:t>
      </w:r>
      <w:r>
        <w:rPr>
          <w:rFonts w:hint="eastAsia" w:ascii="仿宋_GB2312" w:hAnsi="仿宋_GB2312" w:eastAsia="仿宋_GB2312" w:cs="仿宋_GB2312"/>
          <w:color w:val="000000"/>
          <w:spacing w:val="0"/>
          <w:w w:val="100"/>
          <w:position w:val="0"/>
          <w:sz w:val="32"/>
          <w:szCs w:val="32"/>
          <w:lang w:val="en-US" w:eastAsia="zh-CN" w:bidi="en-US"/>
        </w:rPr>
        <w:t>0</w:t>
      </w:r>
      <w:r>
        <w:rPr>
          <w:rFonts w:hint="eastAsia" w:ascii="仿宋_GB2312" w:hAnsi="仿宋_GB2312" w:eastAsia="仿宋_GB2312" w:cs="仿宋_GB2312"/>
          <w:color w:val="000000"/>
          <w:spacing w:val="0"/>
          <w:w w:val="100"/>
          <w:position w:val="0"/>
          <w:sz w:val="32"/>
          <w:szCs w:val="32"/>
        </w:rPr>
        <w:t>元，支出决算数为</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元，</w:t>
      </w:r>
    </w:p>
    <w:p>
      <w:pPr>
        <w:pStyle w:val="13"/>
        <w:keepNext w:val="0"/>
        <w:keepLines w:val="0"/>
        <w:pageBreakBefore w:val="0"/>
        <w:widowControl w:val="0"/>
        <w:shd w:val="clear" w:color="auto" w:fill="auto"/>
        <w:tabs>
          <w:tab w:val="left" w:leader="dot" w:pos="2141"/>
          <w:tab w:val="left" w:leader="dot" w:pos="2174"/>
          <w:tab w:val="left" w:leader="dot" w:pos="3586"/>
          <w:tab w:val="left" w:leader="dot" w:pos="5822"/>
          <w:tab w:val="left" w:leader="dot" w:pos="7090"/>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rPr>
        <w:t>（三）</w:t>
      </w:r>
      <w:r>
        <w:rPr>
          <w:rFonts w:hint="eastAsia" w:ascii="仿宋_GB2312" w:hAnsi="仿宋_GB2312" w:eastAsia="仿宋_GB2312" w:cs="仿宋_GB2312"/>
          <w:b/>
          <w:bCs/>
          <w:i w:val="0"/>
          <w:iCs w:val="0"/>
          <w:smallCaps w:val="0"/>
          <w:strike w:val="0"/>
          <w:color w:val="000000"/>
          <w:spacing w:val="0"/>
          <w:w w:val="100"/>
          <w:position w:val="0"/>
          <w:sz w:val="32"/>
          <w:szCs w:val="32"/>
          <w:lang w:val="zh-CN" w:eastAsia="zh-CN"/>
        </w:rPr>
        <w:t>“</w:t>
      </w:r>
      <w:r>
        <w:rPr>
          <w:rFonts w:ascii="仿宋_GB2312" w:hAnsi="仿宋_GB2312" w:eastAsia="仿宋_GB2312" w:cs="仿宋_GB2312"/>
          <w:b/>
          <w:bCs/>
          <w:color w:val="333333"/>
          <w:sz w:val="32"/>
          <w:szCs w:val="32"/>
        </w:rPr>
        <w:t>三公</w:t>
      </w:r>
      <w:r>
        <w:rPr>
          <w:rFonts w:hint="eastAsia" w:ascii="SimSun" w:hAnsi="SimSun" w:eastAsia="SimSun" w:cs="SimSun"/>
          <w:b/>
          <w:bCs/>
          <w:color w:val="333333"/>
          <w:sz w:val="32"/>
          <w:szCs w:val="32"/>
        </w:rPr>
        <w:t>”</w:t>
      </w:r>
      <w:r>
        <w:rPr>
          <w:rFonts w:hint="eastAsia" w:ascii="仿宋_GB2312" w:hAnsi="仿宋_GB2312" w:eastAsia="仿宋_GB2312" w:cs="仿宋_GB2312"/>
          <w:b/>
          <w:bCs/>
          <w:color w:val="333333"/>
          <w:sz w:val="32"/>
          <w:szCs w:val="32"/>
        </w:rPr>
        <w:t>经费财政拨款支出决算实物量情况</w:t>
      </w:r>
    </w:p>
    <w:p>
      <w:pPr>
        <w:pStyle w:val="13"/>
        <w:keepNext w:val="0"/>
        <w:keepLines w:val="0"/>
        <w:pageBreakBefore w:val="0"/>
        <w:widowControl w:val="0"/>
        <w:shd w:val="clear" w:color="auto" w:fill="auto"/>
        <w:tabs>
          <w:tab w:val="left" w:leader="dot" w:pos="4507"/>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年度本部门（本单</w:t>
      </w:r>
      <w:r>
        <w:rPr>
          <w:rFonts w:hint="eastAsia" w:ascii="仿宋_GB2312" w:hAnsi="仿宋_GB2312" w:eastAsia="仿宋_GB2312" w:cs="仿宋_GB2312"/>
          <w:b w:val="0"/>
          <w:bCs w:val="0"/>
          <w:color w:val="000000"/>
          <w:spacing w:val="0"/>
          <w:w w:val="100"/>
          <w:position w:val="0"/>
          <w:sz w:val="32"/>
          <w:szCs w:val="32"/>
        </w:rPr>
        <w:t>位）因公出国（境）共计</w:t>
      </w:r>
      <w:r>
        <w:rPr>
          <w:rFonts w:hint="eastAsia" w:ascii="仿宋_GB2312" w:hAnsi="仿宋_GB2312" w:eastAsia="仿宋_GB2312" w:cs="仿宋_GB2312"/>
          <w:b w:val="0"/>
          <w:bCs w:val="0"/>
          <w:color w:val="000000"/>
          <w:spacing w:val="0"/>
          <w:w w:val="100"/>
          <w:position w:val="0"/>
          <w:sz w:val="32"/>
          <w:szCs w:val="32"/>
          <w:lang w:val="en-US" w:eastAsia="zh-CN" w:bidi="en-US"/>
        </w:rPr>
        <w:t>0</w:t>
      </w:r>
      <w:r>
        <w:rPr>
          <w:rFonts w:hint="eastAsia" w:ascii="仿宋_GB2312" w:hAnsi="仿宋_GB2312" w:eastAsia="仿宋_GB2312" w:cs="仿宋_GB2312"/>
          <w:b w:val="0"/>
          <w:bCs w:val="0"/>
          <w:color w:val="000000"/>
          <w:spacing w:val="0"/>
          <w:w w:val="100"/>
          <w:position w:val="0"/>
          <w:sz w:val="32"/>
          <w:szCs w:val="32"/>
        </w:rPr>
        <w:t>个团组，</w:t>
      </w:r>
      <w:r>
        <w:rPr>
          <w:rFonts w:hint="eastAsia" w:ascii="仿宋_GB2312" w:hAnsi="仿宋_GB2312" w:eastAsia="仿宋_GB2312" w:cs="仿宋_GB2312"/>
          <w:b w:val="0"/>
          <w:bCs w:val="0"/>
          <w:color w:val="000000"/>
          <w:spacing w:val="0"/>
          <w:w w:val="100"/>
          <w:position w:val="0"/>
          <w:sz w:val="32"/>
          <w:szCs w:val="32"/>
          <w:lang w:val="en-US" w:eastAsia="zh-CN" w:bidi="en-US"/>
        </w:rPr>
        <w:t>0</w:t>
      </w:r>
      <w:r>
        <w:rPr>
          <w:rFonts w:hint="eastAsia" w:ascii="仿宋_GB2312" w:hAnsi="仿宋_GB2312" w:eastAsia="仿宋_GB2312" w:cs="仿宋_GB2312"/>
          <w:b w:val="0"/>
          <w:bCs w:val="0"/>
          <w:color w:val="000000"/>
          <w:spacing w:val="0"/>
          <w:w w:val="100"/>
          <w:position w:val="0"/>
          <w:sz w:val="32"/>
          <w:szCs w:val="32"/>
        </w:rPr>
        <w:t>人，公务用车购置</w:t>
      </w:r>
      <w:r>
        <w:rPr>
          <w:rFonts w:hint="eastAsia" w:ascii="仿宋_GB2312" w:hAnsi="仿宋_GB2312" w:eastAsia="仿宋_GB2312" w:cs="仿宋_GB2312"/>
          <w:b w:val="0"/>
          <w:bCs w:val="0"/>
          <w:color w:val="000000"/>
          <w:spacing w:val="0"/>
          <w:w w:val="100"/>
          <w:position w:val="0"/>
          <w:sz w:val="32"/>
          <w:szCs w:val="32"/>
          <w:lang w:val="en-US" w:eastAsia="zh-CN"/>
        </w:rPr>
        <w:t>0</w:t>
      </w:r>
      <w:r>
        <w:rPr>
          <w:rFonts w:hint="eastAsia" w:ascii="仿宋_GB2312" w:hAnsi="仿宋_GB2312" w:eastAsia="仿宋_GB2312" w:cs="仿宋_GB2312"/>
          <w:b w:val="0"/>
          <w:bCs w:val="0"/>
          <w:color w:val="000000"/>
          <w:spacing w:val="0"/>
          <w:w w:val="100"/>
          <w:position w:val="0"/>
          <w:sz w:val="32"/>
          <w:szCs w:val="32"/>
        </w:rPr>
        <w:t>辆，公务车保有量为</w:t>
      </w:r>
      <w:r>
        <w:rPr>
          <w:rFonts w:hint="eastAsia" w:ascii="仿宋_GB2312" w:hAnsi="仿宋_GB2312" w:eastAsia="仿宋_GB2312" w:cs="仿宋_GB2312"/>
          <w:b w:val="0"/>
          <w:bCs w:val="0"/>
          <w:color w:val="000000"/>
          <w:spacing w:val="0"/>
          <w:w w:val="100"/>
          <w:position w:val="0"/>
          <w:sz w:val="32"/>
          <w:szCs w:val="32"/>
          <w:lang w:val="en-US" w:eastAsia="zh-CN" w:bidi="en-US"/>
        </w:rPr>
        <w:t>1</w:t>
      </w:r>
      <w:r>
        <w:rPr>
          <w:rFonts w:hint="eastAsia" w:ascii="仿宋_GB2312" w:hAnsi="仿宋_GB2312" w:eastAsia="仿宋_GB2312" w:cs="仿宋_GB2312"/>
          <w:b w:val="0"/>
          <w:bCs w:val="0"/>
          <w:color w:val="000000"/>
          <w:spacing w:val="0"/>
          <w:w w:val="100"/>
          <w:position w:val="0"/>
          <w:sz w:val="32"/>
          <w:szCs w:val="32"/>
        </w:rPr>
        <w:t>辆；国内公务接待</w:t>
      </w:r>
      <w:r>
        <w:rPr>
          <w:rFonts w:hint="eastAsia" w:ascii="仿宋_GB2312" w:hAnsi="仿宋_GB2312" w:eastAsia="仿宋_GB2312" w:cs="仿宋_GB2312"/>
          <w:b w:val="0"/>
          <w:bCs w:val="0"/>
          <w:color w:val="000000"/>
          <w:spacing w:val="0"/>
          <w:w w:val="100"/>
          <w:position w:val="0"/>
          <w:sz w:val="32"/>
          <w:szCs w:val="32"/>
          <w:lang w:val="en-US" w:eastAsia="zh-CN"/>
        </w:rPr>
        <w:t>0</w:t>
      </w:r>
      <w:r>
        <w:rPr>
          <w:rFonts w:hint="eastAsia" w:ascii="仿宋_GB2312" w:hAnsi="仿宋_GB2312" w:eastAsia="仿宋_GB2312" w:cs="仿宋_GB2312"/>
          <w:b w:val="0"/>
          <w:bCs w:val="0"/>
          <w:color w:val="000000"/>
          <w:spacing w:val="0"/>
          <w:w w:val="100"/>
          <w:position w:val="0"/>
          <w:sz w:val="32"/>
          <w:szCs w:val="32"/>
        </w:rPr>
        <w:t>批次，</w:t>
      </w:r>
      <w:r>
        <w:rPr>
          <w:rFonts w:hint="eastAsia" w:ascii="仿宋_GB2312" w:hAnsi="仿宋_GB2312" w:eastAsia="仿宋_GB2312" w:cs="仿宋_GB2312"/>
          <w:b w:val="0"/>
          <w:bCs w:val="0"/>
          <w:color w:val="000000"/>
          <w:spacing w:val="0"/>
          <w:w w:val="100"/>
          <w:position w:val="0"/>
          <w:sz w:val="32"/>
          <w:szCs w:val="32"/>
          <w:lang w:val="en-US" w:eastAsia="zh-CN" w:bidi="en-US"/>
        </w:rPr>
        <w:t>0</w:t>
      </w:r>
      <w:r>
        <w:rPr>
          <w:rFonts w:hint="eastAsia" w:ascii="仿宋_GB2312" w:hAnsi="仿宋_GB2312" w:eastAsia="仿宋_GB2312" w:cs="仿宋_GB2312"/>
          <w:b w:val="0"/>
          <w:bCs w:val="0"/>
          <w:color w:val="000000"/>
          <w:spacing w:val="0"/>
          <w:w w:val="100"/>
          <w:position w:val="0"/>
          <w:sz w:val="32"/>
          <w:szCs w:val="32"/>
        </w:rPr>
        <w:t>人，其中：国内外事接待</w:t>
      </w:r>
      <w:r>
        <w:rPr>
          <w:rFonts w:hint="eastAsia" w:ascii="仿宋_GB2312" w:hAnsi="仿宋_GB2312" w:eastAsia="仿宋_GB2312" w:cs="仿宋_GB2312"/>
          <w:b w:val="0"/>
          <w:bCs w:val="0"/>
          <w:color w:val="000000"/>
          <w:spacing w:val="0"/>
          <w:w w:val="100"/>
          <w:position w:val="0"/>
          <w:sz w:val="32"/>
          <w:szCs w:val="32"/>
          <w:lang w:val="en-US" w:eastAsia="zh-CN"/>
        </w:rPr>
        <w:t>0</w:t>
      </w:r>
      <w:r>
        <w:rPr>
          <w:rFonts w:hint="eastAsia" w:ascii="仿宋_GB2312" w:hAnsi="仿宋_GB2312" w:eastAsia="仿宋_GB2312" w:cs="仿宋_GB2312"/>
          <w:b w:val="0"/>
          <w:bCs w:val="0"/>
          <w:color w:val="000000"/>
          <w:spacing w:val="0"/>
          <w:w w:val="100"/>
          <w:position w:val="0"/>
          <w:sz w:val="32"/>
          <w:szCs w:val="32"/>
        </w:rPr>
        <w:t>批次，</w:t>
      </w:r>
      <w:r>
        <w:rPr>
          <w:rFonts w:hint="eastAsia" w:ascii="仿宋_GB2312" w:hAnsi="仿宋_GB2312" w:eastAsia="仿宋_GB2312" w:cs="仿宋_GB2312"/>
          <w:b w:val="0"/>
          <w:bCs w:val="0"/>
          <w:color w:val="000000"/>
          <w:spacing w:val="0"/>
          <w:w w:val="100"/>
          <w:position w:val="0"/>
          <w:sz w:val="32"/>
          <w:szCs w:val="32"/>
          <w:lang w:val="en-US" w:eastAsia="zh-CN" w:bidi="en-US"/>
        </w:rPr>
        <w:t>0</w:t>
      </w:r>
      <w:r>
        <w:rPr>
          <w:rFonts w:hint="eastAsia" w:ascii="仿宋_GB2312" w:hAnsi="仿宋_GB2312" w:eastAsia="仿宋_GB2312" w:cs="仿宋_GB2312"/>
          <w:b w:val="0"/>
          <w:bCs w:val="0"/>
          <w:color w:val="000000"/>
          <w:spacing w:val="0"/>
          <w:w w:val="100"/>
          <w:position w:val="0"/>
          <w:sz w:val="32"/>
          <w:szCs w:val="32"/>
        </w:rPr>
        <w:t>人；国（境）外公务接待</w:t>
      </w:r>
      <w:r>
        <w:rPr>
          <w:rFonts w:hint="eastAsia" w:ascii="仿宋_GB2312" w:hAnsi="仿宋_GB2312" w:eastAsia="仿宋_GB2312" w:cs="仿宋_GB2312"/>
          <w:b w:val="0"/>
          <w:bCs w:val="0"/>
          <w:color w:val="000000"/>
          <w:spacing w:val="0"/>
          <w:w w:val="100"/>
          <w:position w:val="0"/>
          <w:sz w:val="32"/>
          <w:szCs w:val="32"/>
          <w:lang w:val="en-US" w:eastAsia="zh-CN"/>
        </w:rPr>
        <w:t>0</w:t>
      </w:r>
      <w:r>
        <w:rPr>
          <w:rFonts w:hint="eastAsia" w:ascii="仿宋_GB2312" w:hAnsi="仿宋_GB2312" w:eastAsia="仿宋_GB2312" w:cs="仿宋_GB2312"/>
          <w:b w:val="0"/>
          <w:bCs w:val="0"/>
          <w:color w:val="000000"/>
          <w:spacing w:val="0"/>
          <w:w w:val="100"/>
          <w:position w:val="0"/>
          <w:sz w:val="32"/>
          <w:szCs w:val="32"/>
        </w:rPr>
        <w:t>批次，</w:t>
      </w:r>
      <w:r>
        <w:rPr>
          <w:rFonts w:hint="eastAsia" w:ascii="仿宋_GB2312" w:hAnsi="仿宋_GB2312" w:eastAsia="仿宋_GB2312" w:cs="仿宋_GB2312"/>
          <w:b w:val="0"/>
          <w:bCs w:val="0"/>
          <w:color w:val="000000"/>
          <w:spacing w:val="0"/>
          <w:w w:val="100"/>
          <w:position w:val="0"/>
          <w:sz w:val="32"/>
          <w:szCs w:val="32"/>
          <w:lang w:val="en-US" w:eastAsia="zh-CN" w:bidi="en-US"/>
        </w:rPr>
        <w:t>0</w:t>
      </w:r>
      <w:r>
        <w:rPr>
          <w:rFonts w:hint="eastAsia" w:ascii="仿宋_GB2312" w:hAnsi="仿宋_GB2312" w:eastAsia="仿宋_GB2312" w:cs="仿宋_GB2312"/>
          <w:b w:val="0"/>
          <w:bCs w:val="0"/>
          <w:color w:val="000000"/>
          <w:spacing w:val="0"/>
          <w:w w:val="100"/>
          <w:position w:val="0"/>
          <w:sz w:val="32"/>
          <w:szCs w:val="32"/>
        </w:rPr>
        <w:t>人。2021年度本部门本单位人均接待费0元，车均购置费0元，车均维护费130734元</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主要原因是执法车</w:t>
      </w:r>
      <w:r>
        <w:rPr>
          <w:rFonts w:hint="eastAsia" w:ascii="仿宋_GB2312" w:hAnsi="仿宋_GB2312" w:eastAsia="仿宋_GB2312" w:cs="仿宋_GB2312"/>
          <w:b w:val="0"/>
          <w:bCs w:val="0"/>
          <w:color w:val="000000"/>
          <w:spacing w:val="0"/>
          <w:w w:val="100"/>
          <w:position w:val="0"/>
          <w:sz w:val="32"/>
          <w:szCs w:val="32"/>
          <w:lang w:val="en-US" w:eastAsia="zh-CN"/>
        </w:rPr>
        <w:t>维修及加油等费用支出</w:t>
      </w:r>
      <w:r>
        <w:rPr>
          <w:rFonts w:hint="eastAsia" w:ascii="仿宋_GB2312" w:hAnsi="仿宋_GB2312" w:eastAsia="仿宋_GB2312" w:cs="仿宋_GB2312"/>
          <w:b w:val="0"/>
          <w:bCs w:val="0"/>
          <w:color w:val="000000"/>
          <w:spacing w:val="0"/>
          <w:w w:val="100"/>
          <w:position w:val="0"/>
          <w:sz w:val="32"/>
          <w:szCs w:val="32"/>
        </w:rPr>
        <w:t>。</w:t>
      </w:r>
    </w:p>
    <w:p>
      <w:pPr>
        <w:pStyle w:val="13"/>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lang w:val="en-US" w:eastAsia="zh-CN"/>
        </w:rPr>
      </w:pPr>
      <w:r>
        <w:rPr>
          <w:rFonts w:hint="eastAsia" w:ascii="仿宋_GB2312" w:hAnsi="仿宋_GB2312" w:eastAsia="仿宋_GB2312" w:cs="仿宋_GB2312"/>
          <w:b/>
          <w:bCs/>
          <w:i w:val="0"/>
          <w:iCs w:val="0"/>
          <w:smallCaps w:val="0"/>
          <w:strike w:val="0"/>
          <w:color w:val="000000"/>
          <w:spacing w:val="0"/>
          <w:w w:val="100"/>
          <w:position w:val="0"/>
          <w:sz w:val="32"/>
          <w:szCs w:val="32"/>
        </w:rPr>
        <w:t>机关运行经费情况说明</w:t>
      </w:r>
    </w:p>
    <w:p>
      <w:pPr>
        <w:pStyle w:val="13"/>
        <w:keepNext w:val="0"/>
        <w:keepLines w:val="0"/>
        <w:pageBreakBefore w:val="0"/>
        <w:widowControl w:val="0"/>
        <w:shd w:val="clear" w:color="auto" w:fill="auto"/>
        <w:tabs>
          <w:tab w:val="left" w:leader="dot" w:pos="4411"/>
          <w:tab w:val="left" w:leader="dot" w:pos="5933"/>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年本部门（本单位）机关运行经费支出</w:t>
      </w:r>
      <w:r>
        <w:rPr>
          <w:rFonts w:hint="eastAsia" w:ascii="仿宋_GB2312" w:hAnsi="仿宋_GB2312" w:eastAsia="仿宋_GB2312" w:cs="仿宋_GB2312"/>
          <w:color w:val="000000"/>
          <w:spacing w:val="0"/>
          <w:w w:val="100"/>
          <w:position w:val="0"/>
          <w:sz w:val="32"/>
          <w:szCs w:val="32"/>
          <w:lang w:val="en-US" w:eastAsia="zh-CN"/>
        </w:rPr>
        <w:t>385950</w:t>
      </w:r>
      <w:r>
        <w:rPr>
          <w:rFonts w:hint="eastAsia" w:ascii="仿宋_GB2312" w:hAnsi="仿宋_GB2312" w:eastAsia="仿宋_GB2312" w:cs="仿宋_GB2312"/>
          <w:color w:val="000000"/>
          <w:spacing w:val="0"/>
          <w:w w:val="100"/>
          <w:position w:val="0"/>
          <w:sz w:val="32"/>
          <w:szCs w:val="32"/>
        </w:rPr>
        <w:t>元，机关运行经费主要用于开支主要用于办公费、水电费、取暖费、劳务费、其他交通费用等</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机关运行经费较</w:t>
      </w:r>
      <w:r>
        <w:rPr>
          <w:rFonts w:hint="eastAsia" w:ascii="仿宋_GB2312" w:hAnsi="仿宋_GB2312" w:eastAsia="仿宋_GB2312" w:cs="仿宋_GB2312"/>
          <w:color w:val="000000"/>
          <w:spacing w:val="0"/>
          <w:w w:val="100"/>
          <w:position w:val="0"/>
          <w:sz w:val="32"/>
          <w:szCs w:val="32"/>
          <w:lang w:eastAsia="zh-CN"/>
        </w:rPr>
        <w:t>2020</w:t>
      </w:r>
      <w:r>
        <w:rPr>
          <w:rFonts w:hint="eastAsia" w:ascii="仿宋_GB2312" w:hAnsi="仿宋_GB2312" w:eastAsia="仿宋_GB2312" w:cs="仿宋_GB2312"/>
          <w:color w:val="000000"/>
          <w:spacing w:val="0"/>
          <w:w w:val="100"/>
          <w:position w:val="0"/>
          <w:sz w:val="32"/>
          <w:szCs w:val="32"/>
        </w:rPr>
        <w:t>年增加</w:t>
      </w:r>
      <w:r>
        <w:rPr>
          <w:rFonts w:hint="eastAsia" w:ascii="仿宋_GB2312" w:hAnsi="仿宋_GB2312" w:eastAsia="仿宋_GB2312" w:cs="仿宋_GB2312"/>
          <w:color w:val="000000"/>
          <w:spacing w:val="0"/>
          <w:w w:val="100"/>
          <w:position w:val="0"/>
          <w:sz w:val="32"/>
          <w:szCs w:val="32"/>
          <w:lang w:val="en-US" w:eastAsia="zh-CN" w:bidi="en-US"/>
        </w:rPr>
        <w:t>0</w:t>
      </w:r>
      <w:r>
        <w:rPr>
          <w:rFonts w:hint="eastAsia" w:ascii="仿宋_GB2312" w:hAnsi="仿宋_GB2312" w:eastAsia="仿宋_GB2312" w:cs="仿宋_GB2312"/>
          <w:color w:val="000000"/>
          <w:spacing w:val="0"/>
          <w:w w:val="100"/>
          <w:position w:val="0"/>
          <w:sz w:val="32"/>
          <w:szCs w:val="32"/>
        </w:rPr>
        <w:t>元，增长</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九</w:t>
      </w:r>
      <w:r>
        <w:rPr>
          <w:rFonts w:hint="eastAsia" w:ascii="仿宋_GB2312" w:hAnsi="仿宋_GB2312" w:eastAsia="仿宋_GB2312" w:cs="仿宋_GB2312"/>
          <w:b/>
          <w:bCs/>
          <w:i w:val="0"/>
          <w:iCs w:val="0"/>
          <w:smallCaps w:val="0"/>
          <w:strike w:val="0"/>
          <w:color w:val="000000"/>
          <w:spacing w:val="0"/>
          <w:w w:val="100"/>
          <w:position w:val="0"/>
          <w:sz w:val="32"/>
          <w:szCs w:val="32"/>
        </w:rPr>
        <w:t>、国有资产占用情况说明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截至</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年12月31日，本部门（本单位）共有车辆</w:t>
      </w:r>
      <w:r>
        <w:rPr>
          <w:rFonts w:hint="eastAsia" w:ascii="仿宋_GB2312" w:hAnsi="仿宋_GB2312" w:eastAsia="仿宋_GB2312" w:cs="仿宋_GB2312"/>
          <w:color w:val="000000"/>
          <w:spacing w:val="0"/>
          <w:w w:val="100"/>
          <w:position w:val="0"/>
          <w:sz w:val="32"/>
          <w:szCs w:val="32"/>
          <w:lang w:val="en-US" w:eastAsia="zh-CN" w:bidi="en-US"/>
        </w:rPr>
        <w:t>1</w:t>
      </w:r>
      <w:r>
        <w:rPr>
          <w:rFonts w:hint="eastAsia" w:ascii="仿宋_GB2312" w:hAnsi="仿宋_GB2312" w:eastAsia="仿宋_GB2312" w:cs="仿宋_GB2312"/>
          <w:color w:val="000000"/>
          <w:spacing w:val="0"/>
          <w:w w:val="100"/>
          <w:position w:val="0"/>
          <w:sz w:val="32"/>
          <w:szCs w:val="32"/>
        </w:rPr>
        <w:t>辆，其中：主要领导干部用车</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辆、机要通信用车</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辆、应急保障用车</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辆、执法执勤用车</w:t>
      </w:r>
      <w:r>
        <w:rPr>
          <w:rFonts w:hint="eastAsia" w:ascii="仿宋_GB2312" w:hAnsi="仿宋_GB2312" w:eastAsia="仿宋_GB2312" w:cs="仿宋_GB2312"/>
          <w:color w:val="000000"/>
          <w:spacing w:val="0"/>
          <w:w w:val="100"/>
          <w:position w:val="0"/>
          <w:sz w:val="32"/>
          <w:szCs w:val="32"/>
          <w:lang w:val="en-US" w:eastAsia="zh-CN"/>
        </w:rPr>
        <w:t>1</w:t>
      </w:r>
      <w:r>
        <w:rPr>
          <w:rFonts w:hint="eastAsia" w:ascii="仿宋_GB2312" w:hAnsi="仿宋_GB2312" w:eastAsia="仿宋_GB2312" w:cs="仿宋_GB2312"/>
          <w:color w:val="000000"/>
          <w:spacing w:val="0"/>
          <w:w w:val="100"/>
          <w:position w:val="0"/>
          <w:sz w:val="32"/>
          <w:szCs w:val="32"/>
        </w:rPr>
        <w:t>辆、特种专业技术用车其</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辆、离退休干部用车</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辆、其他用车</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辆。单价50万元以上通用设备</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台（套），单价100万元以上专用设备</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台（套）。</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十</w:t>
      </w:r>
      <w:r>
        <w:rPr>
          <w:rFonts w:hint="eastAsia" w:ascii="仿宋_GB2312" w:hAnsi="仿宋_GB2312" w:eastAsia="仿宋_GB2312" w:cs="仿宋_GB2312"/>
          <w:b/>
          <w:bCs/>
          <w:i w:val="0"/>
          <w:iCs w:val="0"/>
          <w:smallCaps w:val="0"/>
          <w:strike w:val="0"/>
          <w:color w:val="000000"/>
          <w:spacing w:val="0"/>
          <w:w w:val="100"/>
          <w:position w:val="0"/>
          <w:sz w:val="32"/>
          <w:szCs w:val="32"/>
        </w:rPr>
        <w:t>、政府采购支出情况说明</w:t>
      </w:r>
    </w:p>
    <w:p>
      <w:pPr>
        <w:pStyle w:val="13"/>
        <w:keepNext w:val="0"/>
        <w:keepLines w:val="0"/>
        <w:pageBreakBefore w:val="0"/>
        <w:widowControl w:val="0"/>
        <w:shd w:val="clear" w:color="auto" w:fill="auto"/>
        <w:tabs>
          <w:tab w:val="left" w:leader="dot" w:pos="6139"/>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年本部门（本单位）政府采购支出合计</w:t>
      </w:r>
      <w:r>
        <w:rPr>
          <w:rFonts w:hint="eastAsia" w:ascii="仿宋_GB2312" w:hAnsi="仿宋_GB2312" w:eastAsia="仿宋_GB2312" w:cs="仿宋_GB2312"/>
          <w:color w:val="000000"/>
          <w:spacing w:val="0"/>
          <w:w w:val="100"/>
          <w:position w:val="0"/>
          <w:sz w:val="32"/>
          <w:szCs w:val="32"/>
          <w:lang w:val="en-US" w:eastAsia="zh-CN" w:bidi="en-US"/>
        </w:rPr>
        <w:t>181096</w:t>
      </w:r>
      <w:r>
        <w:rPr>
          <w:rFonts w:hint="eastAsia" w:ascii="仿宋_GB2312" w:hAnsi="仿宋_GB2312" w:eastAsia="仿宋_GB2312" w:cs="仿宋_GB2312"/>
          <w:color w:val="000000"/>
          <w:spacing w:val="0"/>
          <w:w w:val="100"/>
          <w:position w:val="0"/>
          <w:sz w:val="32"/>
          <w:szCs w:val="32"/>
        </w:rPr>
        <w:t>元，其中：政府釆购货物支出</w:t>
      </w:r>
      <w:r>
        <w:rPr>
          <w:rFonts w:hint="eastAsia" w:ascii="仿宋_GB2312" w:hAnsi="仿宋_GB2312" w:eastAsia="仿宋_GB2312" w:cs="仿宋_GB2312"/>
          <w:color w:val="000000"/>
          <w:spacing w:val="0"/>
          <w:w w:val="100"/>
          <w:position w:val="0"/>
          <w:sz w:val="32"/>
          <w:szCs w:val="32"/>
          <w:lang w:val="en-US" w:eastAsia="zh-CN" w:bidi="en-US"/>
        </w:rPr>
        <w:t>181096</w:t>
      </w:r>
      <w:r>
        <w:rPr>
          <w:rFonts w:hint="eastAsia" w:ascii="仿宋_GB2312" w:hAnsi="仿宋_GB2312" w:eastAsia="仿宋_GB2312" w:cs="仿宋_GB2312"/>
          <w:color w:val="000000"/>
          <w:spacing w:val="0"/>
          <w:w w:val="100"/>
          <w:position w:val="0"/>
          <w:sz w:val="32"/>
          <w:szCs w:val="32"/>
        </w:rPr>
        <w:t>元。主要用于釆购</w:t>
      </w:r>
      <w:r>
        <w:rPr>
          <w:rFonts w:hint="eastAsia" w:ascii="仿宋_GB2312" w:hAnsi="仿宋_GB2312" w:eastAsia="仿宋_GB2312" w:cs="仿宋_GB2312"/>
          <w:color w:val="000000"/>
          <w:spacing w:val="0"/>
          <w:w w:val="100"/>
          <w:position w:val="0"/>
          <w:sz w:val="32"/>
          <w:szCs w:val="32"/>
          <w:lang w:val="en-US" w:eastAsia="zh-CN"/>
        </w:rPr>
        <w:t>电脑、打印机</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十一</w:t>
      </w:r>
      <w:r>
        <w:rPr>
          <w:rFonts w:hint="eastAsia" w:ascii="仿宋_GB2312" w:hAnsi="仿宋_GB2312" w:eastAsia="仿宋_GB2312" w:cs="仿宋_GB2312"/>
          <w:b/>
          <w:bCs/>
          <w:i w:val="0"/>
          <w:iCs w:val="0"/>
          <w:smallCaps w:val="0"/>
          <w:strike w:val="0"/>
          <w:color w:val="000000"/>
          <w:spacing w:val="0"/>
          <w:w w:val="100"/>
          <w:position w:val="0"/>
          <w:sz w:val="32"/>
          <w:szCs w:val="32"/>
        </w:rPr>
        <w:t>、政府性基金预算财政拨款收支决算情况说明</w:t>
      </w:r>
    </w:p>
    <w:p>
      <w:pPr>
        <w:pStyle w:val="13"/>
        <w:keepNext w:val="0"/>
        <w:keepLines w:val="0"/>
        <w:pageBreakBefore w:val="0"/>
        <w:widowControl w:val="0"/>
        <w:shd w:val="clear" w:color="auto" w:fill="auto"/>
        <w:tabs>
          <w:tab w:val="left" w:leader="dot" w:pos="4531"/>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年度政府性基金预算财政拨款收入34775462元，</w:t>
      </w:r>
      <w:r>
        <w:rPr>
          <w:rFonts w:hint="eastAsia" w:ascii="仿宋_GB2312" w:hAnsi="仿宋_GB2312" w:eastAsia="仿宋_GB2312" w:cs="仿宋_GB2312"/>
          <w:color w:val="000000"/>
          <w:spacing w:val="0"/>
          <w:w w:val="100"/>
          <w:position w:val="0"/>
          <w:sz w:val="32"/>
          <w:szCs w:val="32"/>
          <w:lang w:val="zh-CN" w:eastAsia="zh-CN" w:bidi="zh-CN"/>
        </w:rPr>
        <w:t>支出</w:t>
      </w:r>
      <w:r>
        <w:rPr>
          <w:rFonts w:hint="eastAsia" w:ascii="仿宋_GB2312" w:hAnsi="仿宋_GB2312" w:eastAsia="仿宋_GB2312" w:cs="仿宋_GB2312"/>
          <w:color w:val="000000"/>
          <w:spacing w:val="0"/>
          <w:w w:val="100"/>
          <w:position w:val="0"/>
          <w:sz w:val="32"/>
          <w:szCs w:val="32"/>
          <w:lang w:val="en-US" w:eastAsia="zh-CN" w:bidi="zh-CN"/>
        </w:rPr>
        <w:t>34775462</w:t>
      </w:r>
      <w:r>
        <w:rPr>
          <w:rFonts w:hint="eastAsia" w:ascii="仿宋_GB2312" w:hAnsi="仿宋_GB2312" w:eastAsia="仿宋_GB2312" w:cs="仿宋_GB2312"/>
          <w:color w:val="000000"/>
          <w:spacing w:val="0"/>
          <w:w w:val="100"/>
          <w:position w:val="0"/>
          <w:sz w:val="32"/>
          <w:szCs w:val="32"/>
        </w:rPr>
        <w:t>元，结余</w:t>
      </w:r>
      <w:r>
        <w:rPr>
          <w:rFonts w:hint="eastAsia" w:ascii="仿宋_GB2312" w:hAnsi="仿宋_GB2312" w:eastAsia="仿宋_GB2312" w:cs="仿宋_GB2312"/>
          <w:color w:val="000000"/>
          <w:spacing w:val="0"/>
          <w:w w:val="100"/>
          <w:position w:val="0"/>
          <w:sz w:val="32"/>
          <w:szCs w:val="32"/>
          <w:lang w:val="en-US" w:eastAsia="en-US" w:bidi="en-US"/>
        </w:rPr>
        <w:t>34775462</w:t>
      </w:r>
      <w:r>
        <w:rPr>
          <w:rFonts w:hint="eastAsia" w:ascii="仿宋_GB2312" w:hAnsi="仿宋_GB2312" w:eastAsia="仿宋_GB2312" w:cs="仿宋_GB2312"/>
          <w:color w:val="000000"/>
          <w:spacing w:val="0"/>
          <w:w w:val="100"/>
          <w:position w:val="0"/>
          <w:sz w:val="32"/>
          <w:szCs w:val="32"/>
        </w:rPr>
        <w:t>元，主要用于</w:t>
      </w:r>
      <w:r>
        <w:rPr>
          <w:rFonts w:hint="eastAsia" w:ascii="仿宋_GB2312" w:hAnsi="仿宋_GB2312" w:eastAsia="仿宋_GB2312" w:cs="仿宋_GB2312"/>
          <w:color w:val="000000"/>
          <w:spacing w:val="0"/>
          <w:w w:val="100"/>
          <w:position w:val="0"/>
          <w:sz w:val="32"/>
          <w:szCs w:val="32"/>
          <w:lang w:val="en-US" w:eastAsia="zh-CN"/>
        </w:rPr>
        <w:t>基础设施建设</w:t>
      </w:r>
      <w:r>
        <w:rPr>
          <w:rFonts w:hint="eastAsia" w:ascii="仿宋_GB2312" w:hAnsi="仿宋_GB2312" w:eastAsia="仿宋_GB2312" w:cs="仿宋_GB2312"/>
          <w:color w:val="000000"/>
          <w:spacing w:val="0"/>
          <w:w w:val="100"/>
          <w:position w:val="0"/>
          <w:sz w:val="32"/>
          <w:szCs w:val="32"/>
          <w:lang w:eastAsia="zh-CN"/>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十二</w:t>
      </w:r>
      <w:r>
        <w:rPr>
          <w:rFonts w:hint="eastAsia" w:ascii="仿宋_GB2312" w:hAnsi="仿宋_GB2312" w:eastAsia="仿宋_GB2312" w:cs="仿宋_GB2312"/>
          <w:b/>
          <w:bCs/>
          <w:i w:val="0"/>
          <w:iCs w:val="0"/>
          <w:smallCaps w:val="0"/>
          <w:strike w:val="0"/>
          <w:color w:val="000000"/>
          <w:spacing w:val="0"/>
          <w:w w:val="100"/>
          <w:position w:val="0"/>
          <w:sz w:val="32"/>
          <w:szCs w:val="32"/>
        </w:rPr>
        <w:t>、国有资本经营预算财政拨款支出情况说明</w:t>
      </w:r>
    </w:p>
    <w:p>
      <w:pPr>
        <w:pStyle w:val="13"/>
        <w:keepNext w:val="0"/>
        <w:keepLines w:val="0"/>
        <w:pageBreakBefore w:val="0"/>
        <w:widowControl w:val="0"/>
        <w:shd w:val="clear" w:color="auto" w:fill="auto"/>
        <w:tabs>
          <w:tab w:val="left" w:leader="dot" w:pos="1498"/>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年度国有资本经营预算财政拨款本年支出</w:t>
      </w:r>
      <w:r>
        <w:rPr>
          <w:rFonts w:hint="eastAsia" w:ascii="仿宋_GB2312" w:hAnsi="仿宋_GB2312" w:eastAsia="仿宋_GB2312" w:cs="仿宋_GB2312"/>
          <w:color w:val="000000"/>
          <w:spacing w:val="0"/>
          <w:w w:val="100"/>
          <w:position w:val="0"/>
          <w:sz w:val="32"/>
          <w:szCs w:val="32"/>
          <w:lang w:val="en-US" w:eastAsia="zh-CN" w:bidi="en-US"/>
        </w:rPr>
        <w:t>无</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十三</w:t>
      </w:r>
      <w:r>
        <w:rPr>
          <w:rFonts w:hint="eastAsia" w:ascii="仿宋_GB2312" w:hAnsi="仿宋_GB2312" w:eastAsia="仿宋_GB2312" w:cs="仿宋_GB2312"/>
          <w:b/>
          <w:bCs/>
          <w:i w:val="0"/>
          <w:iCs w:val="0"/>
          <w:smallCaps w:val="0"/>
          <w:strike w:val="0"/>
          <w:color w:val="000000"/>
          <w:spacing w:val="0"/>
          <w:w w:val="100"/>
          <w:position w:val="0"/>
          <w:sz w:val="32"/>
          <w:szCs w:val="32"/>
        </w:rPr>
        <w:t>、预算绩效情况说明</w:t>
      </w:r>
    </w:p>
    <w:p>
      <w:pPr>
        <w:pStyle w:val="13"/>
        <w:keepNext w:val="0"/>
        <w:keepLines w:val="0"/>
        <w:pageBreakBefore w:val="0"/>
        <w:widowControl w:val="0"/>
        <w:shd w:val="clear" w:color="auto" w:fill="auto"/>
        <w:tabs>
          <w:tab w:val="left" w:pos="1658"/>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bookmarkStart w:id="15" w:name="bookmark31"/>
      <w:r>
        <w:rPr>
          <w:rFonts w:hint="eastAsia" w:ascii="仿宋_GB2312" w:hAnsi="仿宋_GB2312" w:eastAsia="仿宋_GB2312" w:cs="仿宋_GB2312"/>
          <w:b/>
          <w:bCs/>
          <w:i w:val="0"/>
          <w:iCs w:val="0"/>
          <w:smallCaps w:val="0"/>
          <w:strike w:val="0"/>
          <w:color w:val="000000"/>
          <w:spacing w:val="0"/>
          <w:w w:val="100"/>
          <w:position w:val="0"/>
          <w:sz w:val="32"/>
          <w:szCs w:val="32"/>
        </w:rPr>
        <w:t>（</w:t>
      </w:r>
      <w:bookmarkEnd w:id="15"/>
      <w:r>
        <w:rPr>
          <w:rFonts w:hint="eastAsia" w:ascii="仿宋_GB2312" w:hAnsi="仿宋_GB2312" w:eastAsia="仿宋_GB2312" w:cs="仿宋_GB2312"/>
          <w:b/>
          <w:bCs/>
          <w:i w:val="0"/>
          <w:iCs w:val="0"/>
          <w:smallCaps w:val="0"/>
          <w:strike w:val="0"/>
          <w:color w:val="000000"/>
          <w:spacing w:val="0"/>
          <w:w w:val="100"/>
          <w:position w:val="0"/>
          <w:sz w:val="32"/>
          <w:szCs w:val="32"/>
        </w:rPr>
        <w:t>一）</w:t>
      </w:r>
      <w:r>
        <w:rPr>
          <w:rFonts w:hint="eastAsia" w:ascii="仿宋_GB2312" w:hAnsi="仿宋_GB2312" w:eastAsia="仿宋_GB2312" w:cs="仿宋_GB2312"/>
          <w:b/>
          <w:bCs/>
          <w:i w:val="0"/>
          <w:iCs w:val="0"/>
          <w:smallCaps w:val="0"/>
          <w:strike w:val="0"/>
          <w:color w:val="000000"/>
          <w:spacing w:val="0"/>
          <w:w w:val="100"/>
          <w:position w:val="0"/>
          <w:sz w:val="32"/>
          <w:szCs w:val="32"/>
        </w:rPr>
        <w:tab/>
      </w:r>
      <w:r>
        <w:rPr>
          <w:rFonts w:hint="eastAsia" w:ascii="仿宋_GB2312" w:hAnsi="仿宋_GB2312" w:eastAsia="仿宋_GB2312" w:cs="仿宋_GB2312"/>
          <w:b/>
          <w:bCs/>
          <w:i w:val="0"/>
          <w:iCs w:val="0"/>
          <w:smallCaps w:val="0"/>
          <w:strike w:val="0"/>
          <w:color w:val="000000"/>
          <w:spacing w:val="0"/>
          <w:w w:val="100"/>
          <w:position w:val="0"/>
          <w:sz w:val="32"/>
          <w:szCs w:val="32"/>
        </w:rPr>
        <w:t>预算绩效管理工作开展情况</w:t>
      </w:r>
    </w:p>
    <w:p>
      <w:pPr>
        <w:pStyle w:val="13"/>
        <w:keepNext w:val="0"/>
        <w:keepLines w:val="0"/>
        <w:pageBreakBefore w:val="0"/>
        <w:widowControl w:val="0"/>
        <w:shd w:val="clear" w:color="auto" w:fill="auto"/>
        <w:tabs>
          <w:tab w:val="left" w:leader="dot" w:pos="3600"/>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rPr>
        <w:t>根据《临夏州州级预算绩效管理办法》，我部门（我单位）组织实施了</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年度预算绩效评价工作，共涉及资金</w:t>
      </w:r>
      <w:r>
        <w:rPr>
          <w:rFonts w:hint="eastAsia" w:ascii="仿宋_GB2312" w:hAnsi="仿宋_GB2312" w:eastAsia="仿宋_GB2312" w:cs="仿宋_GB2312"/>
          <w:color w:val="000000"/>
          <w:spacing w:val="0"/>
          <w:w w:val="100"/>
          <w:position w:val="0"/>
          <w:sz w:val="32"/>
          <w:szCs w:val="32"/>
          <w:lang w:val="en-US" w:eastAsia="zh-CN" w:bidi="en-US"/>
        </w:rPr>
        <w:t>683000000</w:t>
      </w:r>
      <w:r>
        <w:rPr>
          <w:rFonts w:hint="eastAsia" w:ascii="仿宋_GB2312" w:hAnsi="仿宋_GB2312" w:eastAsia="仿宋_GB2312" w:cs="仿宋_GB2312"/>
          <w:color w:val="000000"/>
          <w:spacing w:val="0"/>
          <w:w w:val="100"/>
          <w:position w:val="0"/>
          <w:sz w:val="32"/>
          <w:szCs w:val="32"/>
        </w:rPr>
        <w:t>元。具体情况：</w:t>
      </w:r>
      <w:r>
        <w:rPr>
          <w:rFonts w:hint="eastAsia" w:ascii="仿宋_GB2312" w:hAnsi="仿宋_GB2312" w:eastAsia="仿宋_GB2312" w:cs="仿宋_GB2312"/>
          <w:color w:val="000000"/>
          <w:spacing w:val="0"/>
          <w:w w:val="100"/>
          <w:position w:val="0"/>
          <w:sz w:val="32"/>
          <w:szCs w:val="32"/>
          <w:lang w:eastAsia="zh-CN"/>
        </w:rPr>
        <w:t>1.东乡县达板镇易地扶贫搬迁后续产业园道路及配套设施建设项目：该项目主要包含东乡经济技术开发区北片区产业园道路内共计7条市政道路及基础设施，路线总长6.124公里。其中4条主干路红线宽度24米，双向四车道规模，主干道路线长3.738公里；3条次干路红线宽度16米，双向两车道规模，次干路长2.386公里。全线共设置中桥1座，涵洞5道。主要含道路工程、支挡防护工程、桥涵工程、交通安全设施工程、给排水工程、绿化工程、电气工程及其他附属工程，总投资2.19亿元。2.S230线何家湾大桥至达板公路工程项目：该项目估算总投资2.1亿元，全长20.84公里。项目起点位于唐汪镇白咀村，向东南经塔石沟村、照壁山村、河沿村，后沿汪家村、唐汪镇、舀水村北侧空地经过，至马巷村接入旧路，后沿公拜豁豁东侧经过，至黑石山村后向洮河河岸侧布设，经东乡牛羊交易市场、上黑石山，终点位于红庄村接达板镇规划工业园区北2号路。主线长15.51公里，何家湾桥连接线及唐汪镇连接线、牛羊交易市场连接线总长5.33公里。3.东乡县农贸市场至伊哈池村产业道路工程：东乡县白后路至农贸市场产业道路工程建设项目起点位于伊哈池村接X059线白后公路，向西展线下山从砖厂北侧通过，后沿农贸市场南侧山坡降坡跨越排洪渠，接东乡县城农贸市场接场区硬化路。路线总体走向由东向西，建设路线全长4.264km，设置小桥10m/1座，涵洞5道，避险车道1处，项目总投资2213万元。4.2021年自然村组道路硬化工程（为民办实事项目）：共涉及我县17个乡镇、55个村，实施里程为97公里，总投资7200万元。5.东乡县2021年生命安全防护工程：总投资1514.594万元，为全县14条91公里农村公路村道设置生命安全防护工程。6.东乡县48个巩固提升重点村道路建设项目：总投资6787万元。项目实施巷道硬化197.33公里;新建村组道路0.15公里，在关卜乡胭脂村建设桥梁1座。7.赵家乡墙头村、克什间村村组道路硬化工程：总投资687.3076万元，路线全长15.7公里。8.东塬乡产业扶贫发展道路建设项目：总投资639.96万元，路线总长1.169公里，建桥梁一座，桥梁长50米。9.S309线锁南至折桥段公路王家隧道维修工程项目： S309线锁南至折桥段公路王家隧道全长802米，项目总投资998.73万元。10.东乡族自治县2020年巷道硬化工程补充设计项目：总投资2652.85万元，补充建设2020年第一、二批巷道66.402公里。11.第三批巷道、村组道路硬化续建项目：总投资1573.06万元，续建2020年第三批村组、巷道硬化短板问题。12.北岭、河滩等乡镇水毁抢修工程项目：该项目总投资1526万元，涉及北岭、河滩等13个乡镇38个村水毁路段。</w:t>
      </w:r>
    </w:p>
    <w:p>
      <w:pPr>
        <w:pStyle w:val="13"/>
        <w:keepNext w:val="0"/>
        <w:keepLines w:val="0"/>
        <w:pageBreakBefore w:val="0"/>
        <w:widowControl w:val="0"/>
        <w:shd w:val="clear" w:color="auto" w:fill="auto"/>
        <w:tabs>
          <w:tab w:val="left" w:pos="1658"/>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bookmarkStart w:id="16" w:name="bookmark32"/>
      <w:r>
        <w:rPr>
          <w:rFonts w:hint="eastAsia" w:ascii="仿宋_GB2312" w:hAnsi="仿宋_GB2312" w:eastAsia="仿宋_GB2312" w:cs="仿宋_GB2312"/>
          <w:b/>
          <w:bCs/>
          <w:i w:val="0"/>
          <w:iCs w:val="0"/>
          <w:smallCaps w:val="0"/>
          <w:strike w:val="0"/>
          <w:color w:val="000000"/>
          <w:spacing w:val="0"/>
          <w:w w:val="100"/>
          <w:position w:val="0"/>
          <w:sz w:val="32"/>
          <w:szCs w:val="32"/>
        </w:rPr>
        <w:t>（</w:t>
      </w:r>
      <w:bookmarkEnd w:id="16"/>
      <w:r>
        <w:rPr>
          <w:rFonts w:hint="eastAsia" w:ascii="仿宋_GB2312" w:hAnsi="仿宋_GB2312" w:eastAsia="仿宋_GB2312" w:cs="仿宋_GB2312"/>
          <w:b/>
          <w:bCs/>
          <w:i w:val="0"/>
          <w:iCs w:val="0"/>
          <w:smallCaps w:val="0"/>
          <w:strike w:val="0"/>
          <w:color w:val="000000"/>
          <w:spacing w:val="0"/>
          <w:w w:val="100"/>
          <w:position w:val="0"/>
          <w:sz w:val="32"/>
          <w:szCs w:val="32"/>
        </w:rPr>
        <w:t>二）</w:t>
      </w:r>
      <w:r>
        <w:rPr>
          <w:rFonts w:hint="eastAsia" w:ascii="仿宋_GB2312" w:hAnsi="仿宋_GB2312" w:eastAsia="仿宋_GB2312" w:cs="仿宋_GB2312"/>
          <w:b/>
          <w:bCs/>
          <w:i w:val="0"/>
          <w:iCs w:val="0"/>
          <w:smallCaps w:val="0"/>
          <w:strike w:val="0"/>
          <w:color w:val="000000"/>
          <w:spacing w:val="0"/>
          <w:w w:val="100"/>
          <w:position w:val="0"/>
          <w:sz w:val="32"/>
          <w:szCs w:val="32"/>
        </w:rPr>
        <w:tab/>
      </w:r>
      <w:r>
        <w:rPr>
          <w:rFonts w:hint="eastAsia" w:ascii="仿宋_GB2312" w:hAnsi="仿宋_GB2312" w:eastAsia="仿宋_GB2312" w:cs="仿宋_GB2312"/>
          <w:b/>
          <w:bCs/>
          <w:i w:val="0"/>
          <w:iCs w:val="0"/>
          <w:smallCaps w:val="0"/>
          <w:strike w:val="0"/>
          <w:color w:val="000000"/>
          <w:spacing w:val="0"/>
          <w:w w:val="100"/>
          <w:position w:val="0"/>
          <w:sz w:val="32"/>
          <w:szCs w:val="32"/>
        </w:rPr>
        <w:t>绩效自评结果</w:t>
      </w:r>
    </w:p>
    <w:p>
      <w:pPr>
        <w:pStyle w:val="13"/>
        <w:keepNext w:val="0"/>
        <w:keepLines w:val="0"/>
        <w:pageBreakBefore w:val="0"/>
        <w:widowControl w:val="0"/>
        <w:shd w:val="clear" w:color="auto" w:fill="auto"/>
        <w:tabs>
          <w:tab w:val="left" w:pos="1658"/>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default" w:ascii="仿宋_GB2312" w:hAnsi="仿宋_GB2312" w:eastAsia="仿宋_GB2312" w:cs="仿宋_GB2312"/>
          <w:b/>
          <w:bCs/>
          <w:i w:val="0"/>
          <w:iCs w:val="0"/>
          <w:smallCaps w:val="0"/>
          <w:strike w:val="0"/>
          <w:color w:val="000000"/>
          <w:spacing w:val="0"/>
          <w:w w:val="100"/>
          <w:position w:val="0"/>
          <w:sz w:val="32"/>
          <w:szCs w:val="32"/>
          <w:lang w:val="en-US" w:eastAsia="zh-CN"/>
        </w:rPr>
      </w:pPr>
      <w:r>
        <w:rPr>
          <w:rFonts w:hint="eastAsia" w:ascii="仿宋_GB2312" w:hAnsi="仿宋_GB2312" w:eastAsia="仿宋_GB2312" w:cs="仿宋_GB2312"/>
          <w:b/>
          <w:bCs/>
          <w:i w:val="0"/>
          <w:iCs w:val="0"/>
          <w:smallCaps w:val="0"/>
          <w:strike w:val="0"/>
          <w:color w:val="000000"/>
          <w:spacing w:val="0"/>
          <w:w w:val="100"/>
          <w:position w:val="0"/>
          <w:sz w:val="32"/>
          <w:szCs w:val="32"/>
        </w:rPr>
        <w:t>通过</w:t>
      </w:r>
      <w:r>
        <w:rPr>
          <w:rFonts w:hint="eastAsia" w:ascii="仿宋_GB2312" w:hAnsi="仿宋_GB2312" w:eastAsia="仿宋_GB2312" w:cs="仿宋_GB2312"/>
          <w:b/>
          <w:bCs/>
          <w:i w:val="0"/>
          <w:iCs w:val="0"/>
          <w:smallCaps w:val="0"/>
          <w:strike w:val="0"/>
          <w:color w:val="000000"/>
          <w:spacing w:val="0"/>
          <w:w w:val="100"/>
          <w:position w:val="0"/>
          <w:sz w:val="32"/>
          <w:szCs w:val="32"/>
          <w:lang w:val="en-US" w:eastAsia="zh-CN"/>
        </w:rPr>
        <w:t>本单位自评</w:t>
      </w:r>
      <w:r>
        <w:rPr>
          <w:rFonts w:hint="eastAsia" w:ascii="仿宋_GB2312" w:hAnsi="仿宋_GB2312" w:eastAsia="仿宋_GB2312" w:cs="仿宋_GB2312"/>
          <w:b/>
          <w:bCs/>
          <w:i w:val="0"/>
          <w:iCs w:val="0"/>
          <w:smallCaps w:val="0"/>
          <w:strike w:val="0"/>
          <w:color w:val="000000"/>
          <w:spacing w:val="0"/>
          <w:w w:val="100"/>
          <w:position w:val="0"/>
          <w:sz w:val="32"/>
          <w:szCs w:val="32"/>
        </w:rPr>
        <w:t>分析，评价等级为“</w:t>
      </w:r>
      <w:r>
        <w:rPr>
          <w:rFonts w:hint="eastAsia" w:ascii="仿宋_GB2312" w:hAnsi="仿宋_GB2312" w:eastAsia="仿宋_GB2312" w:cs="仿宋_GB2312"/>
          <w:b/>
          <w:bCs/>
          <w:i w:val="0"/>
          <w:iCs w:val="0"/>
          <w:smallCaps w:val="0"/>
          <w:strike w:val="0"/>
          <w:color w:val="000000"/>
          <w:spacing w:val="0"/>
          <w:w w:val="100"/>
          <w:position w:val="0"/>
          <w:sz w:val="32"/>
          <w:szCs w:val="32"/>
          <w:lang w:val="en-US" w:eastAsia="zh-CN"/>
        </w:rPr>
        <w:t>良</w:t>
      </w:r>
      <w:r>
        <w:rPr>
          <w:rFonts w:hint="eastAsia" w:ascii="仿宋_GB2312" w:hAnsi="仿宋_GB2312" w:eastAsia="仿宋_GB2312" w:cs="仿宋_GB2312"/>
          <w:b/>
          <w:bCs/>
          <w:i w:val="0"/>
          <w:iCs w:val="0"/>
          <w:smallCaps w:val="0"/>
          <w:strike w:val="0"/>
          <w:color w:val="000000"/>
          <w:spacing w:val="0"/>
          <w:w w:val="100"/>
          <w:position w:val="0"/>
          <w:sz w:val="32"/>
          <w:szCs w:val="32"/>
        </w:rPr>
        <w:t>”。</w:t>
      </w:r>
      <w:r>
        <w:rPr>
          <w:rFonts w:hint="eastAsia" w:ascii="仿宋_GB2312" w:hAnsi="仿宋_GB2312" w:eastAsia="仿宋_GB2312" w:cs="仿宋_GB2312"/>
          <w:b/>
          <w:bCs/>
          <w:i w:val="0"/>
          <w:iCs w:val="0"/>
          <w:smallCaps w:val="0"/>
          <w:strike w:val="0"/>
          <w:color w:val="000000"/>
          <w:spacing w:val="0"/>
          <w:w w:val="100"/>
          <w:position w:val="0"/>
          <w:sz w:val="32"/>
          <w:szCs w:val="32"/>
          <w:lang w:val="en-US" w:eastAsia="zh-CN"/>
        </w:rPr>
        <w:t>完成工作情况如下：</w:t>
      </w:r>
    </w:p>
    <w:p>
      <w:pPr>
        <w:pStyle w:val="13"/>
        <w:keepNext w:val="0"/>
        <w:keepLines w:val="0"/>
        <w:pageBreakBefore w:val="0"/>
        <w:widowControl w:val="0"/>
        <w:numPr>
          <w:ilvl w:val="0"/>
          <w:numId w:val="0"/>
        </w:numPr>
        <w:shd w:val="clear" w:color="auto" w:fill="auto"/>
        <w:tabs>
          <w:tab w:val="left" w:pos="1658"/>
        </w:tabs>
        <w:kinsoku/>
        <w:wordWrap/>
        <w:overflowPunct/>
        <w:topLinePunct w:val="0"/>
        <w:autoSpaceDE/>
        <w:autoSpaceDN/>
        <w:bidi w:val="0"/>
        <w:adjustRightInd/>
        <w:snapToGrid/>
        <w:spacing w:before="0" w:after="0" w:line="360" w:lineRule="auto"/>
        <w:ind w:leftChars="0" w:right="0" w:rightChars="0" w:firstLine="640" w:firstLineChars="200"/>
        <w:jc w:val="both"/>
        <w:textAlignment w:val="auto"/>
        <w:rPr>
          <w:rFonts w:hint="eastAsia" w:ascii="仿宋_GB2312" w:hAnsi="仿宋_GB2312" w:eastAsia="仿宋_GB2312" w:cs="仿宋_GB2312"/>
          <w:b w:val="0"/>
          <w:bCs w:val="0"/>
          <w:i w:val="0"/>
          <w:iCs w:val="0"/>
          <w:smallCaps w:val="0"/>
          <w:strike w:val="0"/>
          <w:color w:val="000000"/>
          <w:spacing w:val="0"/>
          <w:w w:val="100"/>
          <w:position w:val="0"/>
          <w:sz w:val="32"/>
          <w:szCs w:val="32"/>
        </w:rPr>
      </w:pPr>
      <w:r>
        <w:rPr>
          <w:rFonts w:hint="eastAsia" w:ascii="仿宋_GB2312" w:hAnsi="仿宋_GB2312" w:eastAsia="仿宋_GB2312" w:cs="仿宋_GB2312"/>
          <w:b w:val="0"/>
          <w:bCs w:val="0"/>
          <w:i w:val="0"/>
          <w:iCs w:val="0"/>
          <w:smallCaps w:val="0"/>
          <w:strike w:val="0"/>
          <w:color w:val="000000"/>
          <w:spacing w:val="0"/>
          <w:w w:val="100"/>
          <w:position w:val="0"/>
          <w:sz w:val="32"/>
          <w:szCs w:val="32"/>
        </w:rPr>
        <w:t>（一）强化学习，不断提高政治理论水平。</w:t>
      </w:r>
    </w:p>
    <w:p>
      <w:pPr>
        <w:pStyle w:val="13"/>
        <w:keepNext w:val="0"/>
        <w:keepLines w:val="0"/>
        <w:pageBreakBefore w:val="0"/>
        <w:widowControl w:val="0"/>
        <w:numPr>
          <w:ilvl w:val="0"/>
          <w:numId w:val="0"/>
        </w:numPr>
        <w:shd w:val="clear" w:color="auto" w:fill="auto"/>
        <w:tabs>
          <w:tab w:val="left" w:pos="1658"/>
        </w:tabs>
        <w:kinsoku/>
        <w:wordWrap/>
        <w:overflowPunct/>
        <w:topLinePunct w:val="0"/>
        <w:autoSpaceDE/>
        <w:autoSpaceDN/>
        <w:bidi w:val="0"/>
        <w:adjustRightInd/>
        <w:snapToGrid/>
        <w:spacing w:before="0" w:after="0" w:line="360" w:lineRule="auto"/>
        <w:ind w:leftChars="0" w:right="0" w:rightChars="0" w:firstLine="640" w:firstLineChars="200"/>
        <w:jc w:val="both"/>
        <w:textAlignment w:val="auto"/>
        <w:rPr>
          <w:rFonts w:hint="eastAsia" w:ascii="仿宋_GB2312" w:hAnsi="仿宋_GB2312" w:eastAsia="仿宋_GB2312" w:cs="仿宋_GB2312"/>
          <w:b w:val="0"/>
          <w:bCs w:val="0"/>
          <w:i w:val="0"/>
          <w:iCs w:val="0"/>
          <w:smallCaps w:val="0"/>
          <w:strike w:val="0"/>
          <w:color w:val="000000"/>
          <w:spacing w:val="0"/>
          <w:w w:val="100"/>
          <w:position w:val="0"/>
          <w:sz w:val="32"/>
          <w:szCs w:val="32"/>
        </w:rPr>
      </w:pPr>
      <w:r>
        <w:rPr>
          <w:rFonts w:hint="eastAsia" w:ascii="仿宋_GB2312" w:hAnsi="仿宋_GB2312" w:eastAsia="仿宋_GB2312" w:cs="仿宋_GB2312"/>
          <w:b w:val="0"/>
          <w:bCs w:val="0"/>
          <w:i w:val="0"/>
          <w:iCs w:val="0"/>
          <w:smallCaps w:val="0"/>
          <w:strike w:val="0"/>
          <w:color w:val="000000"/>
          <w:spacing w:val="0"/>
          <w:w w:val="100"/>
          <w:position w:val="0"/>
          <w:sz w:val="32"/>
          <w:szCs w:val="32"/>
        </w:rPr>
        <w:t>举办读书班32期，开展“红色周五”志愿服务活动9次，研讨交流活动4次、党史学习教育成果测试3次。专题组织召开学习贯彻党的十九届六中全会精神会议，邀请县级分管领导作了专题宣讲，深刻学习领会全会精神，切实把会议精神转化为推动工作的强大动力和举措。</w:t>
      </w:r>
    </w:p>
    <w:p>
      <w:pPr>
        <w:pStyle w:val="13"/>
        <w:keepNext w:val="0"/>
        <w:keepLines w:val="0"/>
        <w:pageBreakBefore w:val="0"/>
        <w:widowControl w:val="0"/>
        <w:numPr>
          <w:ilvl w:val="0"/>
          <w:numId w:val="6"/>
        </w:numPr>
        <w:shd w:val="clear" w:color="auto" w:fill="auto"/>
        <w:tabs>
          <w:tab w:val="left" w:pos="1658"/>
        </w:tabs>
        <w:kinsoku/>
        <w:wordWrap/>
        <w:overflowPunct/>
        <w:topLinePunct w:val="0"/>
        <w:autoSpaceDE/>
        <w:autoSpaceDN/>
        <w:bidi w:val="0"/>
        <w:adjustRightInd/>
        <w:snapToGrid/>
        <w:spacing w:before="0" w:after="0" w:line="360" w:lineRule="auto"/>
        <w:ind w:leftChars="0" w:right="0" w:rightChars="0" w:firstLine="640" w:firstLineChars="200"/>
        <w:jc w:val="both"/>
        <w:textAlignment w:val="auto"/>
        <w:rPr>
          <w:rFonts w:hint="eastAsia" w:ascii="仿宋_GB2312" w:hAnsi="仿宋_GB2312" w:eastAsia="仿宋_GB2312" w:cs="仿宋_GB2312"/>
          <w:b w:val="0"/>
          <w:bCs w:val="0"/>
          <w:i w:val="0"/>
          <w:iCs w:val="0"/>
          <w:smallCaps w:val="0"/>
          <w:strike w:val="0"/>
          <w:color w:val="000000"/>
          <w:spacing w:val="0"/>
          <w:w w:val="100"/>
          <w:position w:val="0"/>
          <w:sz w:val="32"/>
          <w:szCs w:val="32"/>
        </w:rPr>
      </w:pPr>
      <w:r>
        <w:rPr>
          <w:rFonts w:hint="eastAsia" w:ascii="仿宋_GB2312" w:hAnsi="仿宋_GB2312" w:eastAsia="仿宋_GB2312" w:cs="仿宋_GB2312"/>
          <w:b w:val="0"/>
          <w:bCs w:val="0"/>
          <w:i w:val="0"/>
          <w:iCs w:val="0"/>
          <w:smallCaps w:val="0"/>
          <w:strike w:val="0"/>
          <w:color w:val="000000"/>
          <w:spacing w:val="0"/>
          <w:w w:val="100"/>
          <w:position w:val="0"/>
          <w:sz w:val="32"/>
          <w:szCs w:val="32"/>
        </w:rPr>
        <w:t>紧盯短板弱项，帮办一批为民实事。</w:t>
      </w:r>
    </w:p>
    <w:p>
      <w:pPr>
        <w:pStyle w:val="13"/>
        <w:keepNext w:val="0"/>
        <w:keepLines w:val="0"/>
        <w:pageBreakBefore w:val="0"/>
        <w:widowControl w:val="0"/>
        <w:numPr>
          <w:ilvl w:val="0"/>
          <w:numId w:val="0"/>
        </w:numPr>
        <w:shd w:val="clear" w:color="auto" w:fill="auto"/>
        <w:tabs>
          <w:tab w:val="left" w:pos="1658"/>
        </w:tabs>
        <w:kinsoku/>
        <w:wordWrap/>
        <w:overflowPunct/>
        <w:topLinePunct w:val="0"/>
        <w:autoSpaceDE/>
        <w:autoSpaceDN/>
        <w:bidi w:val="0"/>
        <w:adjustRightInd/>
        <w:snapToGrid/>
        <w:spacing w:before="0" w:after="0" w:line="360" w:lineRule="auto"/>
        <w:ind w:leftChars="0" w:right="0" w:rightChars="0" w:firstLine="640" w:firstLineChars="200"/>
        <w:jc w:val="both"/>
        <w:textAlignment w:val="auto"/>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pPr>
      <w:r>
        <w:rPr>
          <w:rFonts w:hint="eastAsia" w:ascii="仿宋_GB2312" w:hAnsi="仿宋_GB2312" w:eastAsia="仿宋_GB2312" w:cs="仿宋_GB2312"/>
          <w:b w:val="0"/>
          <w:bCs w:val="0"/>
          <w:i w:val="0"/>
          <w:iCs w:val="0"/>
          <w:smallCaps w:val="0"/>
          <w:strike w:val="0"/>
          <w:color w:val="000000"/>
          <w:spacing w:val="0"/>
          <w:w w:val="100"/>
          <w:position w:val="0"/>
          <w:sz w:val="32"/>
          <w:szCs w:val="32"/>
        </w:rPr>
        <w:t>研究谋划实施东乡县农贸市场至伊哈池村产业道路工程、S309线锁南至折桥段公路王家隧道维修工程、2021年自然村组道路硬化工程、东乡族自治县2020年巷道硬化工程补充设计项目，东乡县2021年生命安全防护工程、危桥改造工程等一批为民办实事项目</w:t>
      </w:r>
      <w:r>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t>。</w:t>
      </w:r>
    </w:p>
    <w:p>
      <w:pPr>
        <w:pStyle w:val="13"/>
        <w:keepNext w:val="0"/>
        <w:keepLines w:val="0"/>
        <w:pageBreakBefore w:val="0"/>
        <w:widowControl w:val="0"/>
        <w:numPr>
          <w:ilvl w:val="0"/>
          <w:numId w:val="6"/>
        </w:numPr>
        <w:shd w:val="clear" w:color="auto" w:fill="auto"/>
        <w:tabs>
          <w:tab w:val="left" w:pos="1658"/>
        </w:tabs>
        <w:kinsoku/>
        <w:wordWrap/>
        <w:overflowPunct/>
        <w:topLinePunct w:val="0"/>
        <w:autoSpaceDE/>
        <w:autoSpaceDN/>
        <w:bidi w:val="0"/>
        <w:adjustRightInd/>
        <w:snapToGrid/>
        <w:spacing w:before="0" w:after="0" w:line="360" w:lineRule="auto"/>
        <w:ind w:left="0" w:leftChars="0" w:right="0" w:rightChars="0" w:firstLine="640" w:firstLineChars="200"/>
        <w:jc w:val="both"/>
        <w:textAlignment w:val="auto"/>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pPr>
      <w:r>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t>认真执行党风廉政建设责任制。</w:t>
      </w:r>
    </w:p>
    <w:p>
      <w:pPr>
        <w:pStyle w:val="13"/>
        <w:keepNext w:val="0"/>
        <w:keepLines w:val="0"/>
        <w:pageBreakBefore w:val="0"/>
        <w:widowControl w:val="0"/>
        <w:numPr>
          <w:ilvl w:val="0"/>
          <w:numId w:val="0"/>
        </w:numPr>
        <w:shd w:val="clear" w:color="auto" w:fill="auto"/>
        <w:tabs>
          <w:tab w:val="left" w:pos="1658"/>
        </w:tabs>
        <w:kinsoku/>
        <w:wordWrap/>
        <w:overflowPunct/>
        <w:topLinePunct w:val="0"/>
        <w:autoSpaceDE/>
        <w:autoSpaceDN/>
        <w:bidi w:val="0"/>
        <w:adjustRightInd/>
        <w:snapToGrid/>
        <w:spacing w:before="0" w:after="0" w:line="360" w:lineRule="auto"/>
        <w:ind w:leftChars="0" w:right="0" w:rightChars="0" w:firstLine="640" w:firstLineChars="200"/>
        <w:jc w:val="both"/>
        <w:textAlignment w:val="auto"/>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pPr>
      <w:r>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t>一年来，县交通局未发现任何“四风”问题和违反“八项规定”的问题。</w:t>
      </w:r>
    </w:p>
    <w:p>
      <w:pPr>
        <w:pStyle w:val="13"/>
        <w:keepNext w:val="0"/>
        <w:keepLines w:val="0"/>
        <w:pageBreakBefore w:val="0"/>
        <w:widowControl w:val="0"/>
        <w:numPr>
          <w:ilvl w:val="0"/>
          <w:numId w:val="0"/>
        </w:numPr>
        <w:shd w:val="clear" w:color="auto" w:fill="auto"/>
        <w:tabs>
          <w:tab w:val="left" w:pos="1658"/>
        </w:tabs>
        <w:kinsoku/>
        <w:wordWrap/>
        <w:overflowPunct/>
        <w:topLinePunct w:val="0"/>
        <w:autoSpaceDE/>
        <w:autoSpaceDN/>
        <w:bidi w:val="0"/>
        <w:adjustRightInd/>
        <w:snapToGrid/>
        <w:spacing w:before="0" w:after="0" w:line="360" w:lineRule="auto"/>
        <w:ind w:leftChars="0" w:right="0" w:rightChars="0" w:firstLine="640" w:firstLineChars="200"/>
        <w:jc w:val="both"/>
        <w:textAlignment w:val="auto"/>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pPr>
      <w:r>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t>（</w:t>
      </w:r>
      <w:r>
        <w:rPr>
          <w:rFonts w:hint="eastAsia" w:ascii="仿宋_GB2312" w:hAnsi="仿宋_GB2312" w:eastAsia="仿宋_GB2312" w:cs="仿宋_GB2312"/>
          <w:b w:val="0"/>
          <w:bCs w:val="0"/>
          <w:i w:val="0"/>
          <w:iCs w:val="0"/>
          <w:smallCaps w:val="0"/>
          <w:strike w:val="0"/>
          <w:color w:val="000000"/>
          <w:spacing w:val="0"/>
          <w:w w:val="100"/>
          <w:position w:val="0"/>
          <w:sz w:val="32"/>
          <w:szCs w:val="32"/>
          <w:lang w:val="en-US" w:eastAsia="zh-CN"/>
        </w:rPr>
        <w:t>四</w:t>
      </w:r>
      <w:r>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t>）积极学习探索先进经验，创新公路养护方式。</w:t>
      </w:r>
    </w:p>
    <w:p>
      <w:pPr>
        <w:pStyle w:val="13"/>
        <w:keepNext w:val="0"/>
        <w:keepLines w:val="0"/>
        <w:pageBreakBefore w:val="0"/>
        <w:widowControl w:val="0"/>
        <w:numPr>
          <w:ilvl w:val="0"/>
          <w:numId w:val="0"/>
        </w:numPr>
        <w:shd w:val="clear" w:color="auto" w:fill="auto"/>
        <w:tabs>
          <w:tab w:val="left" w:pos="1658"/>
        </w:tabs>
        <w:kinsoku/>
        <w:wordWrap/>
        <w:overflowPunct/>
        <w:topLinePunct w:val="0"/>
        <w:autoSpaceDE/>
        <w:autoSpaceDN/>
        <w:bidi w:val="0"/>
        <w:adjustRightInd/>
        <w:snapToGrid/>
        <w:spacing w:before="0" w:after="0" w:line="360" w:lineRule="auto"/>
        <w:ind w:leftChars="0" w:right="0" w:rightChars="0" w:firstLine="640" w:firstLineChars="200"/>
        <w:jc w:val="both"/>
        <w:textAlignment w:val="auto"/>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pPr>
      <w:r>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t>成立了由20名公益性岗位人员组成的东乡县道路应急抢修队，对全县重点道路定期进行养护、巡护，及时落实管护措施，并将全县1033公里农村道路纳入农村公路灾毁保险范畴，一定程度上提高了农村公路抵御自然灾害能力。截至目前，全县共有公路1419条，总里程达2629.13公里。其中，二级公路111.635公里，三级公路236.835公里，四级公路1415.838公里，等外公路874.194公里。全县229个行政村全部通水泥硬化路，通畅率达100%。</w:t>
      </w:r>
    </w:p>
    <w:p>
      <w:pPr>
        <w:pStyle w:val="13"/>
        <w:keepNext w:val="0"/>
        <w:keepLines w:val="0"/>
        <w:pageBreakBefore w:val="0"/>
        <w:widowControl w:val="0"/>
        <w:numPr>
          <w:ilvl w:val="0"/>
          <w:numId w:val="0"/>
        </w:numPr>
        <w:shd w:val="clear" w:color="auto" w:fill="auto"/>
        <w:tabs>
          <w:tab w:val="left" w:pos="1658"/>
        </w:tabs>
        <w:kinsoku/>
        <w:wordWrap/>
        <w:overflowPunct/>
        <w:topLinePunct w:val="0"/>
        <w:autoSpaceDE/>
        <w:autoSpaceDN/>
        <w:bidi w:val="0"/>
        <w:adjustRightInd/>
        <w:snapToGrid/>
        <w:spacing w:before="0" w:after="0" w:line="360" w:lineRule="auto"/>
        <w:ind w:leftChars="0" w:right="0" w:rightChars="0" w:firstLine="640" w:firstLineChars="200"/>
        <w:jc w:val="both"/>
        <w:textAlignment w:val="auto"/>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pPr>
      <w:r>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t>（</w:t>
      </w:r>
      <w:r>
        <w:rPr>
          <w:rFonts w:hint="eastAsia" w:ascii="仿宋_GB2312" w:hAnsi="仿宋_GB2312" w:eastAsia="仿宋_GB2312" w:cs="仿宋_GB2312"/>
          <w:b w:val="0"/>
          <w:bCs w:val="0"/>
          <w:i w:val="0"/>
          <w:iCs w:val="0"/>
          <w:smallCaps w:val="0"/>
          <w:strike w:val="0"/>
          <w:color w:val="000000"/>
          <w:spacing w:val="0"/>
          <w:w w:val="100"/>
          <w:position w:val="0"/>
          <w:sz w:val="32"/>
          <w:szCs w:val="32"/>
          <w:lang w:val="en-US" w:eastAsia="zh-CN"/>
        </w:rPr>
        <w:t>五</w:t>
      </w:r>
      <w:r>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t>）积极开展安全隐患专项整治，打击非法运营。</w:t>
      </w:r>
    </w:p>
    <w:p>
      <w:pPr>
        <w:pStyle w:val="13"/>
        <w:keepNext w:val="0"/>
        <w:keepLines w:val="0"/>
        <w:pageBreakBefore w:val="0"/>
        <w:widowControl w:val="0"/>
        <w:numPr>
          <w:ilvl w:val="0"/>
          <w:numId w:val="0"/>
        </w:numPr>
        <w:shd w:val="clear" w:color="auto" w:fill="auto"/>
        <w:tabs>
          <w:tab w:val="left" w:pos="1658"/>
        </w:tabs>
        <w:kinsoku/>
        <w:wordWrap/>
        <w:overflowPunct/>
        <w:topLinePunct w:val="0"/>
        <w:autoSpaceDE/>
        <w:autoSpaceDN/>
        <w:bidi w:val="0"/>
        <w:adjustRightInd/>
        <w:snapToGrid/>
        <w:spacing w:before="0" w:after="0" w:line="360" w:lineRule="auto"/>
        <w:ind w:leftChars="0" w:right="0" w:rightChars="0" w:firstLine="640" w:firstLineChars="200"/>
        <w:jc w:val="both"/>
        <w:textAlignment w:val="auto"/>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pPr>
      <w:r>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t xml:space="preserve">积极开展客运企业安全隐患排查治理和路检路查工作。一是今年以来深入企业开展安全排查14次,参与检查人员共计48余人次,下发安全隐患整改通知书14份;二是积极开展路检路查和打非治违工作,共计出动执法人员1960人次,执法车辆360辆次，检查车辆2120辆,查扣证件159本 ,查扣黑车98辆，查扣私自改装货车45辆，批评教育142起，处罚金56万元整,确保了我县运输市场和谐稳定。 </w:t>
      </w:r>
    </w:p>
    <w:p>
      <w:pPr>
        <w:pStyle w:val="13"/>
        <w:keepNext w:val="0"/>
        <w:keepLines w:val="0"/>
        <w:pageBreakBefore w:val="0"/>
        <w:widowControl w:val="0"/>
        <w:numPr>
          <w:ilvl w:val="0"/>
          <w:numId w:val="0"/>
        </w:numPr>
        <w:shd w:val="clear" w:color="auto" w:fill="auto"/>
        <w:tabs>
          <w:tab w:val="left" w:pos="1658"/>
        </w:tabs>
        <w:kinsoku/>
        <w:wordWrap/>
        <w:overflowPunct/>
        <w:topLinePunct w:val="0"/>
        <w:autoSpaceDE/>
        <w:autoSpaceDN/>
        <w:bidi w:val="0"/>
        <w:adjustRightInd/>
        <w:snapToGrid/>
        <w:spacing w:before="0" w:after="0" w:line="360" w:lineRule="auto"/>
        <w:ind w:leftChars="0" w:right="0" w:rightChars="0" w:firstLine="640" w:firstLineChars="200"/>
        <w:jc w:val="both"/>
        <w:textAlignment w:val="auto"/>
        <w:rPr>
          <w:rFonts w:hint="default" w:ascii="仿宋_GB2312" w:hAnsi="仿宋_GB2312" w:eastAsia="仿宋_GB2312" w:cs="仿宋_GB2312"/>
          <w:b w:val="0"/>
          <w:bCs w:val="0"/>
          <w:i w:val="0"/>
          <w:iCs w:val="0"/>
          <w:smallCaps w:val="0"/>
          <w:strike w:val="0"/>
          <w:color w:val="000000"/>
          <w:spacing w:val="0"/>
          <w:w w:val="100"/>
          <w:position w:val="0"/>
          <w:sz w:val="32"/>
          <w:szCs w:val="32"/>
          <w:lang w:val="en-US" w:eastAsia="zh-CN"/>
        </w:rPr>
      </w:pPr>
      <w:r>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t>（</w:t>
      </w:r>
      <w:r>
        <w:rPr>
          <w:rFonts w:hint="eastAsia" w:ascii="仿宋_GB2312" w:hAnsi="仿宋_GB2312" w:eastAsia="仿宋_GB2312" w:cs="仿宋_GB2312"/>
          <w:b w:val="0"/>
          <w:bCs w:val="0"/>
          <w:i w:val="0"/>
          <w:iCs w:val="0"/>
          <w:smallCaps w:val="0"/>
          <w:strike w:val="0"/>
          <w:color w:val="000000"/>
          <w:spacing w:val="0"/>
          <w:w w:val="100"/>
          <w:position w:val="0"/>
          <w:sz w:val="32"/>
          <w:szCs w:val="32"/>
          <w:lang w:val="en-US" w:eastAsia="zh-CN"/>
        </w:rPr>
        <w:t>六</w:t>
      </w:r>
      <w:r>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t>）</w:t>
      </w:r>
      <w:r>
        <w:rPr>
          <w:rFonts w:hint="eastAsia" w:ascii="仿宋_GB2312" w:hAnsi="仿宋_GB2312" w:eastAsia="仿宋_GB2312" w:cs="仿宋_GB2312"/>
          <w:b w:val="0"/>
          <w:bCs w:val="0"/>
          <w:i w:val="0"/>
          <w:iCs w:val="0"/>
          <w:smallCaps w:val="0"/>
          <w:strike w:val="0"/>
          <w:color w:val="000000"/>
          <w:spacing w:val="0"/>
          <w:w w:val="100"/>
          <w:position w:val="0"/>
          <w:sz w:val="32"/>
          <w:szCs w:val="32"/>
          <w:lang w:val="en-US" w:eastAsia="zh-CN"/>
        </w:rPr>
        <w:t>项目实施方面</w:t>
      </w:r>
    </w:p>
    <w:p>
      <w:pPr>
        <w:pStyle w:val="13"/>
        <w:keepNext w:val="0"/>
        <w:keepLines w:val="0"/>
        <w:pageBreakBefore w:val="0"/>
        <w:widowControl w:val="0"/>
        <w:numPr>
          <w:ilvl w:val="0"/>
          <w:numId w:val="0"/>
        </w:numPr>
        <w:shd w:val="clear" w:color="auto" w:fill="auto"/>
        <w:tabs>
          <w:tab w:val="left" w:pos="1658"/>
        </w:tabs>
        <w:kinsoku/>
        <w:wordWrap/>
        <w:overflowPunct/>
        <w:topLinePunct w:val="0"/>
        <w:autoSpaceDE/>
        <w:autoSpaceDN/>
        <w:bidi w:val="0"/>
        <w:adjustRightInd/>
        <w:snapToGrid/>
        <w:spacing w:before="0" w:after="0" w:line="360" w:lineRule="auto"/>
        <w:ind w:leftChars="0" w:right="0" w:rightChars="0" w:firstLine="640" w:firstLineChars="200"/>
        <w:jc w:val="both"/>
        <w:textAlignment w:val="auto"/>
        <w:rPr>
          <w:rFonts w:hint="eastAsia" w:ascii="仿宋_GB2312" w:hAnsi="仿宋_GB2312" w:eastAsia="仿宋_GB2312" w:cs="仿宋_GB2312"/>
          <w:b w:val="0"/>
          <w:bCs w:val="0"/>
          <w:i w:val="0"/>
          <w:iCs w:val="0"/>
          <w:smallCaps w:val="0"/>
          <w:strike w:val="0"/>
          <w:color w:val="000000"/>
          <w:spacing w:val="0"/>
          <w:w w:val="100"/>
          <w:position w:val="0"/>
          <w:sz w:val="32"/>
          <w:szCs w:val="32"/>
        </w:rPr>
      </w:pPr>
      <w:r>
        <w:rPr>
          <w:rFonts w:hint="eastAsia" w:ascii="仿宋_GB2312" w:hAnsi="仿宋_GB2312" w:eastAsia="仿宋_GB2312" w:cs="仿宋_GB2312"/>
          <w:b w:val="0"/>
          <w:bCs w:val="0"/>
          <w:i w:val="0"/>
          <w:iCs w:val="0"/>
          <w:smallCaps w:val="0"/>
          <w:strike w:val="0"/>
          <w:color w:val="000000"/>
          <w:spacing w:val="0"/>
          <w:w w:val="100"/>
          <w:position w:val="0"/>
          <w:sz w:val="32"/>
          <w:szCs w:val="32"/>
        </w:rPr>
        <w:t>1.东乡县达板镇易地扶贫搬迁后续产业园道路及配套设施建设项目：目前，项目正在实施路基工程。2.S230线何家湾大桥至达板公路工程项目：该项目估算总投资2.1亿元，全长20.84公里。目前该项目已完成招投标。3.东乡县农贸市场至伊哈池村产业道路工程：目前该项目已完成招投标，计划于2022年3月开工建设。4.2021年自然村组道路硬化工程（为民办实事项目）：目前该项目已完成建设。5.东乡县2021年生命安全防护工程：目前该项目已完成建设。6.东乡县48个巩固提升重点村道路建设项目：目前，巷道硬化项目已完成154公里，关卜乡胭脂村桥已修建完成。7.赵家乡墙头村、克什间村村组道路硬化工程：已建成13公里，现处于冬季停工阶段，3月复工建设。8.东塬乡产业扶贫发展道路建设项目：目前该项目已完成70%工程量，预计于2022年6月完成建设。9.S309线锁南至折桥段公路王家隧道维修工程项目：目前项目已完成招投标。10.东乡族自治县2020年巷道硬化工程补充设计项目：目前该项目已完成建设。11.第三批巷道、村组道路硬化续建项目：目前该项目已完成80%工程量。12.北岭、河滩等乡镇水毁抢修工程项目：目前该项目已完成建设。</w:t>
      </w:r>
    </w:p>
    <w:p>
      <w:pPr>
        <w:pStyle w:val="13"/>
        <w:keepNext w:val="0"/>
        <w:keepLines w:val="0"/>
        <w:pageBreakBefore w:val="0"/>
        <w:widowControl w:val="0"/>
        <w:numPr>
          <w:ilvl w:val="0"/>
          <w:numId w:val="0"/>
        </w:numPr>
        <w:shd w:val="clear" w:color="auto" w:fill="auto"/>
        <w:tabs>
          <w:tab w:val="left" w:pos="763"/>
        </w:tabs>
        <w:kinsoku/>
        <w:wordWrap/>
        <w:overflowPunct/>
        <w:topLinePunct w:val="0"/>
        <w:autoSpaceDE/>
        <w:autoSpaceDN/>
        <w:bidi w:val="0"/>
        <w:adjustRightInd/>
        <w:snapToGrid/>
        <w:spacing w:before="0" w:after="0" w:line="360" w:lineRule="auto"/>
        <w:ind w:leftChars="0" w:right="0" w:rightChars="0" w:firstLine="640" w:firstLineChars="200"/>
        <w:jc w:val="both"/>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val="0"/>
          <w:bCs w:val="0"/>
          <w:i w:val="0"/>
          <w:iCs w:val="0"/>
          <w:smallCaps w:val="0"/>
          <w:strike w:val="0"/>
          <w:color w:val="000000"/>
          <w:spacing w:val="0"/>
          <w:w w:val="100"/>
          <w:position w:val="0"/>
          <w:sz w:val="32"/>
          <w:szCs w:val="32"/>
          <w:lang w:eastAsia="zh-CN"/>
        </w:rPr>
        <w:tab/>
      </w:r>
      <w:bookmarkStart w:id="17" w:name="bookmark33"/>
      <w:r>
        <w:rPr>
          <w:rFonts w:hint="eastAsia" w:ascii="仿宋_GB2312" w:hAnsi="仿宋_GB2312" w:eastAsia="仿宋_GB2312" w:cs="仿宋_GB2312"/>
          <w:b/>
          <w:bCs/>
          <w:i w:val="0"/>
          <w:iCs w:val="0"/>
          <w:smallCaps w:val="0"/>
          <w:strike w:val="0"/>
          <w:color w:val="000000"/>
          <w:spacing w:val="0"/>
          <w:w w:val="100"/>
          <w:position w:val="0"/>
          <w:sz w:val="32"/>
          <w:szCs w:val="32"/>
        </w:rPr>
        <w:t>（</w:t>
      </w:r>
      <w:bookmarkEnd w:id="17"/>
      <w:r>
        <w:rPr>
          <w:rFonts w:hint="eastAsia" w:ascii="仿宋_GB2312" w:hAnsi="仿宋_GB2312" w:eastAsia="仿宋_GB2312" w:cs="仿宋_GB2312"/>
          <w:b/>
          <w:bCs/>
          <w:i w:val="0"/>
          <w:iCs w:val="0"/>
          <w:smallCaps w:val="0"/>
          <w:strike w:val="0"/>
          <w:color w:val="000000"/>
          <w:spacing w:val="0"/>
          <w:w w:val="100"/>
          <w:position w:val="0"/>
          <w:sz w:val="32"/>
          <w:szCs w:val="32"/>
        </w:rPr>
        <w:t>三）重点绩效评价结果</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通过本单位自评分析，</w:t>
      </w:r>
      <w:r>
        <w:rPr>
          <w:rFonts w:hint="eastAsia" w:ascii="仿宋_GB2312" w:hAnsi="仿宋_GB2312" w:eastAsia="仿宋_GB2312" w:cs="仿宋_GB2312"/>
          <w:b/>
          <w:bCs/>
          <w:color w:val="000000"/>
          <w:spacing w:val="0"/>
          <w:w w:val="100"/>
          <w:position w:val="0"/>
          <w:sz w:val="32"/>
          <w:szCs w:val="32"/>
          <w:lang w:val="en-US" w:eastAsia="zh-CN"/>
        </w:rPr>
        <w:t>重点项目实施情况良好</w:t>
      </w:r>
      <w:r>
        <w:rPr>
          <w:rFonts w:hint="eastAsia" w:ascii="仿宋_GB2312" w:hAnsi="仿宋_GB2312" w:eastAsia="仿宋_GB2312" w:cs="仿宋_GB2312"/>
          <w:b/>
          <w:bCs/>
          <w:color w:val="000000"/>
          <w:spacing w:val="0"/>
          <w:w w:val="100"/>
          <w:position w:val="0"/>
          <w:sz w:val="32"/>
          <w:szCs w:val="32"/>
        </w:rPr>
        <w:t>。完成工作情况如下：</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rPr>
        <w:t>2021年共实施项目19项，总投资6.83亿元。其中投资500万元以上项目12项，具体如下</w:t>
      </w:r>
      <w:r>
        <w:rPr>
          <w:rFonts w:hint="eastAsia" w:ascii="仿宋_GB2312" w:hAnsi="仿宋_GB2312" w:eastAsia="仿宋_GB2312" w:cs="仿宋_GB2312"/>
          <w:color w:val="000000"/>
          <w:spacing w:val="0"/>
          <w:w w:val="100"/>
          <w:position w:val="0"/>
          <w:sz w:val="32"/>
          <w:szCs w:val="32"/>
          <w:lang w:eastAsia="zh-CN"/>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1.东乡县达板镇易地扶贫搬迁后续产业园道路及配套设施建设项目：该项目主要包含东乡经济技术开发区北片区产业园道路内共计7条市政道路及基础设施，路线总长6.124公里。其中4条主干路红线宽度24米，双向四车道规模，主干道路线长3.738公里；3条次干路红线宽度16米，双向两车道规模，次干路长2.386公里。全线共设置中桥1座，涵洞5道。主要含道路工程、支挡防护工程、桥涵工程、交通安全设施工程、给排水工程、绿化工程、电气工程及其他附属工程，总投资2.19亿元。目前，项目正在实施路基工程。2.S230线何家湾大桥至达板公路工程项目：该项目估算总投资2.1亿元，全长20.84公里。项目起点位于唐汪镇白咀村，向东南经塔石沟村、照壁山村、河沿村，后沿汪家村、唐汪镇、舀水村北侧空地经过，至马巷村接入旧路，后沿公拜豁豁东侧经过，至黑石山村后向洮河河岸侧布设，经东乡牛羊交易市场、上黑石山，终点位于红庄村接达板镇规划工业园区北2号路。主线长15.51公里，何家湾桥连接线及唐汪镇连接线、牛羊交易市场连接线总长5.33公里。目前该项目已完成招投标。3.东乡县农贸市场至伊哈池村产业道路工程：东乡县白后路至农贸市场产业道路工程建设项目起点位于伊哈池村接X059线白后公路，向西展线下山从砖厂北侧通过，后沿农贸市场南侧山坡降坡跨越排洪渠，接东乡县城农贸市场接场区硬化路。路线总体走向由东向西，建设路线全长4.264km，设置小桥10m/1座，涵洞5道，避险车道1处，项目总投资2213万元。目前该项目已完成招投标，计划于2022年3月开工建设。4.2021年自然村组道路硬化工程（为民办实事项目）：共涉及我县17个乡镇、55个村，实施里程为97公里，总投资7200万元。目前该项目已完成建设。5.东乡县2021年生命安全防护工程：总投资1514.594万元，为全县14条91公里农村公路村道设置生命安全防护工程。目前该项目已完成建设。6.东乡县48个巩固提升重点村道路建设项目：总投资6787万元。项目实施巷道硬化197.33公里;新建村组道路0.15公里，在关卜乡胭脂村建设桥梁1座。目前，巷道硬化项目已完成154公里，关卜乡胭脂村桥已修建完成。7.赵家乡墙头村、克什间村村组道路硬化工程：总投资687.3076万元，路线全长15.7公里。已建成13公里，现处于冬季停工阶段，3月复工建设。8.东塬乡产业扶贫发展道路建设项目：总投资639.96万元，路线总长1.169公里，建桥梁一座，桥梁长50米。目前该项目已完成70%工程量，预计于2022年6月完成建设。9.S309线锁南至折桥段公路王家隧道维修工程项目： S309线锁南至折桥段公路王家隧道全长802米，项目总投资998.73万元。目前项目已完成招投标。10.东乡族自治县2020年巷道硬化工程补充设计项目：总投资2652.85万元，补充建设2020年第一、二批巷道66.402公里。目前该项目已完成建设。11.第三批巷道、村组道路硬化续建项目：总投资1573.06万元，续建2020年第三批村组、巷道硬化短板问题。目前该项目已完成80%工程量。12.北岭、河滩等乡镇水毁抢修工程项目：该项目总投资1526万元，涉及北岭、河滩等13个乡镇38个村水毁路段。目前该项目已完成建设。</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rPr>
        <w:t>第四部分</w:t>
      </w:r>
      <w:r>
        <w:rPr>
          <w:rFonts w:hint="eastAsia" w:ascii="仿宋_GB2312" w:hAnsi="仿宋_GB2312" w:eastAsia="仿宋_GB2312" w:cs="仿宋_GB2312"/>
          <w:b/>
          <w:bCs/>
          <w:i w:val="0"/>
          <w:iCs w:val="0"/>
          <w:smallCaps w:val="0"/>
          <w:strike w:val="0"/>
          <w:color w:val="000000"/>
          <w:spacing w:val="0"/>
          <w:w w:val="100"/>
          <w:position w:val="0"/>
          <w:sz w:val="32"/>
          <w:szCs w:val="32"/>
          <w:lang w:val="en-US" w:eastAsia="zh-CN"/>
        </w:rPr>
        <w:t xml:space="preserve">   </w:t>
      </w:r>
      <w:r>
        <w:rPr>
          <w:rFonts w:hint="eastAsia" w:ascii="仿宋_GB2312" w:hAnsi="仿宋_GB2312" w:eastAsia="仿宋_GB2312" w:cs="仿宋_GB2312"/>
          <w:b/>
          <w:bCs/>
          <w:i w:val="0"/>
          <w:iCs w:val="0"/>
          <w:smallCaps w:val="0"/>
          <w:strike w:val="0"/>
          <w:color w:val="000000"/>
          <w:spacing w:val="0"/>
          <w:w w:val="100"/>
          <w:position w:val="0"/>
          <w:sz w:val="32"/>
          <w:szCs w:val="32"/>
        </w:rPr>
        <w:t>名词解释</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一、财政拨款收入：指本年度从本级财政部门取得的财政拨款，包括一般公共预算财政拨款和政府性基金预算财政拨款。</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二、事业收入：指事业单位开展专业业务活动及其辅助活动取得的现金流入；事业单位收到的财政专户实际核拨的教育收费等资金在此反映。</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三、经营收入：指事业单位在专业业务活动及其辅助活动之外开展非独立核算经营活动取得的现金流入。</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四、其他收入：指单位取得的除“财政拨款收入”、“事业收入”、“经营收入”等以外 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五、用事业基金弥补收支差额：指事业单位在当年的“财政拨款收入”、“事业收入”、“经营收入”、“其他收入”等不足以安排当年支出的情况下，使用以前年度积累的事业基金（事业单位当年收支相抵后按国家规定提取、用于弥补以后年度收支差额的基金）弥补本年度收支缺口的资金。</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六、年初结转和结余：指单位上年结转本年使用的基本支出结转、项目支出结转和结余、经营结余。</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七、结余分配：指单位按照国家有关规定，缴纳所得税、提取专用基金、转入事业基金等当年结余的分配情况。</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八、年末结转和结余：指单位结转下年的基本支出结转、项目支出结转和结余、经营结余。</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九、基本支出：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十、项目支出：指在基本支出之外为完成特定行政任务和事业发展目标所发生的支出。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十一、经营支出：指事业单位在专业业务活动及其辅助活动之外开展非独立核算经营活动发生的支出。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十二、“三公”经费： 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 留的公务用车燃料费、维修费、过路过桥费、保险费、安全奖励费用等支出；公务接待费反映单位按规定开支的各类公务接待（含外宾接待）支出。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十三、机关运行经费：为保障行政单位（含参照公务员法管理的事业单位）运行用于购买 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十四、工资福利支出（支出经济分类科目类级）：反映单位开支的在职职工和编制外长期聘用人员的各类劳动报酬，以及为上述人员缴纳的各项社会保险费等。</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十五、商品和服务支出（支出经济分类科目类级）：反映单位购买商品和服务的支出（不包括用于购置固定资产的支出、战略性和应急储备支出）。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十六、对个人和家庭的补助（支出经济分类科目类级）：反映用于对个人和家庭的补助支出。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七、其他资本性支出（支出经济分类科目类级）：反映非各级发展与改革部门集中安排的用于购置固定资产、战略性和应急性储备、土地和无形资产，以及构建基础设施、大型修缮和财政支持企业更新改造所发生的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center"/>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b/>
          <w:bCs/>
          <w:color w:val="000000"/>
          <w:spacing w:val="0"/>
          <w:w w:val="100"/>
          <w:position w:val="0"/>
          <w:sz w:val="32"/>
          <w:szCs w:val="32"/>
        </w:rPr>
        <w:t>注</w:t>
      </w:r>
      <w:r>
        <w:rPr>
          <w:rFonts w:hint="eastAsia" w:ascii="仿宋_GB2312" w:hAnsi="仿宋_GB2312" w:eastAsia="仿宋_GB2312" w:cs="仿宋_GB2312"/>
          <w:color w:val="000000"/>
          <w:spacing w:val="0"/>
          <w:w w:val="100"/>
          <w:position w:val="0"/>
          <w:sz w:val="32"/>
          <w:szCs w:val="32"/>
        </w:rPr>
        <w:t>：本部分至少应包含以上信息，不得删减。）</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附件1：</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年度部门决算公开表（9张）</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p>
    <w:sectPr>
      <w:footerReference r:id="rId6" w:type="default"/>
      <w:footnotePr>
        <w:numFmt w:val="decimal"/>
      </w:footnotePr>
      <w:type w:val="continuous"/>
      <w:pgSz w:w="11900" w:h="16840"/>
      <w:pgMar w:top="1226" w:right="1820" w:bottom="1662" w:left="1632" w:header="798"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DB103862-D96F-461A-A360-B8F75E1E9F56}"/>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embedRegular r:id="rId2" w:fontKey="{DEC9EF58-D056-499C-A3A0-6CA44D58FE6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auto"/>
    <w:pitch w:val="default"/>
    <w:sig w:usb0="E10002FF" w:usb1="4000FCFF" w:usb2="00000009" w:usb3="00000000" w:csb0="6000019F" w:csb1="DFD70000"/>
  </w:font>
  <w:font w:name="仿宋_GB2312">
    <w:altName w:val="FangSong"/>
    <w:panose1 w:val="02010609030101010101"/>
    <w:charset w:val="86"/>
    <w:family w:val="auto"/>
    <w:pitch w:val="default"/>
    <w:sig w:usb0="00000000" w:usb1="00000000" w:usb2="00000000" w:usb3="00000000" w:csb0="00040000" w:csb1="00000000"/>
    <w:embedRegular r:id="rId3" w:fontKey="{D0D1395C-F2D6-45BD-BD6E-0A9D3D1BCB78}"/>
  </w:font>
  <w:font w:name="FZXiaoBiaoSong-B05">
    <w:panose1 w:val="02000000000000000000"/>
    <w:charset w:val="86"/>
    <w:family w:val="auto"/>
    <w:pitch w:val="default"/>
    <w:sig w:usb0="A00002BF" w:usb1="38CF7CFA" w:usb2="00082016" w:usb3="00000000" w:csb0="00040001" w:csb1="00000000"/>
    <w:embedRegular r:id="rId4" w:fontKey="{5E7F2422-D21C-4618-87F0-45D6F582F6ED}"/>
  </w:font>
  <w:font w:name="方正小标宋简体">
    <w:altName w:val="SimHei"/>
    <w:panose1 w:val="02010601030101010101"/>
    <w:charset w:val="86"/>
    <w:family w:val="auto"/>
    <w:pitch w:val="default"/>
    <w:sig w:usb0="00000000" w:usb1="00000000" w:usb2="00000000" w:usb3="00000000" w:csb0="00040000" w:csb1="00000000"/>
    <w:embedRegular r:id="rId5" w:fontKey="{1C205B06-13B8-4F1A-987A-CC8F0040B868}"/>
  </w:font>
  <w:font w:name="楷体_GB2312">
    <w:altName w:val="KaiTi"/>
    <w:panose1 w:val="02010609030101010101"/>
    <w:charset w:val="86"/>
    <w:family w:val="auto"/>
    <w:pitch w:val="default"/>
    <w:sig w:usb0="00000000" w:usb1="00000000" w:usb2="00000000" w:usb3="00000000" w:csb0="00040000" w:csb1="00000000"/>
    <w:embedRegular r:id="rId6" w:fontKey="{DB1C6385-9CC9-4486-82E4-C71E725E39DE}"/>
  </w:font>
  <w:font w:name="FangSong">
    <w:panose1 w:val="02010609060101010101"/>
    <w:charset w:val="86"/>
    <w:family w:val="auto"/>
    <w:pitch w:val="default"/>
    <w:sig w:usb0="800002BF" w:usb1="38CF7CFA" w:usb2="00000016" w:usb3="00000000" w:csb0="00040001" w:csb1="00000000"/>
  </w:font>
  <w:font w:name="KaiTi">
    <w:panose1 w:val="02010609060101010101"/>
    <w:charset w:val="86"/>
    <w:family w:val="auto"/>
    <w:pitch w:val="default"/>
    <w:sig w:usb0="800002BF" w:usb1="38CF7CFA" w:usb2="00000016" w:usb3="00000000" w:csb0="00040001" w:csb1="00000000"/>
  </w:font>
  <w:font w:name="仿宋_GB2312">
    <w:altName w:val="FangSong"/>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3642360</wp:posOffset>
              </wp:positionH>
              <wp:positionV relativeFrom="page">
                <wp:posOffset>9921240</wp:posOffset>
              </wp:positionV>
              <wp:extent cx="45720" cy="76200"/>
              <wp:effectExtent l="0" t="0" r="0" b="0"/>
              <wp:wrapNone/>
              <wp:docPr id="1" name="Shape 1"/>
              <wp:cNvGraphicFramePr/>
              <a:graphic xmlns:a="http://schemas.openxmlformats.org/drawingml/2006/main">
                <a:graphicData uri="http://schemas.microsoft.com/office/word/2010/wordprocessingShape">
                  <wps:wsp>
                    <wps:cNvSpPr txBox="1"/>
                    <wps:spPr>
                      <a:xfrm>
                        <a:off x="0" y="0"/>
                        <a:ext cx="45720" cy="76200"/>
                      </a:xfrm>
                      <a:prstGeom prst="rect">
                        <a:avLst/>
                      </a:prstGeom>
                      <a:noFill/>
                    </wps:spPr>
                    <wps:txbx>
                      <w:txbxContent>
                        <w:p>
                          <w:pPr>
                            <w:pStyle w:val="15"/>
                            <w:keepNext w:val="0"/>
                            <w:keepLines w:val="0"/>
                            <w:widowControl w:val="0"/>
                            <w:shd w:val="clear" w:color="auto" w:fill="auto"/>
                            <w:bidi w:val="0"/>
                            <w:spacing w:before="0" w:after="0" w:line="240" w:lineRule="auto"/>
                            <w:ind w:left="0" w:right="0" w:firstLine="0"/>
                            <w:jc w:val="left"/>
                            <w:rPr>
                              <w:sz w:val="17"/>
                              <w:szCs w:val="17"/>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p>
                      </w:txbxContent>
                    </wps:txbx>
                    <wps:bodyPr wrap="none" lIns="0" tIns="0" rIns="0" bIns="0">
                      <a:spAutoFit/>
                    </wps:bodyPr>
                  </wps:wsp>
                </a:graphicData>
              </a:graphic>
            </wp:anchor>
          </w:drawing>
        </mc:Choice>
        <mc:Fallback>
          <w:pict>
            <v:shape id="Shape 1" o:spid="_x0000_s1026" o:spt="202" type="#_x0000_t202" style="position:absolute;left:0pt;margin-left:286.8pt;margin-top:781.2pt;height:6pt;width:3.6pt;mso-position-horizontal-relative:page;mso-position-vertical-relative:page;mso-wrap-style:none;z-index:-251657216;mso-width-relative:page;mso-height-relative:page;" filled="f" stroked="f" coordsize="21600,21600" o:gfxdata="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HhuL52AAAAA0B&#10;AAAPAAAAAAAAAAEAIAAAACIAAABkcnMvZG93bnJldi54bWxQSwECFAAUAAAACACHTuJAvr2ADKkB&#10;AABtAwAADgAAAAAAAAABACAAAAAnAQAAZHJzL2Uyb0RvYy54bWxQSwUGAAAAAAYABgBZAQAAQgUA&#10;AAAA&#10;">
              <v:fill on="f" focussize="0,0"/>
              <v:stroke on="f"/>
              <v:imagedata o:title=""/>
              <o:lock v:ext="edit" aspectratio="f"/>
              <v:textbox inset="0mm,0mm,0mm,0mm" style="mso-fit-shape-to-text:t;">
                <w:txbxContent>
                  <w:p>
                    <w:pPr>
                      <w:pStyle w:val="15"/>
                      <w:keepNext w:val="0"/>
                      <w:keepLines w:val="0"/>
                      <w:widowControl w:val="0"/>
                      <w:shd w:val="clear" w:color="auto" w:fill="auto"/>
                      <w:bidi w:val="0"/>
                      <w:spacing w:before="0" w:after="0" w:line="240" w:lineRule="auto"/>
                      <w:ind w:left="0" w:right="0" w:firstLine="0"/>
                      <w:jc w:val="left"/>
                      <w:rPr>
                        <w:sz w:val="17"/>
                        <w:szCs w:val="17"/>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3676015</wp:posOffset>
              </wp:positionH>
              <wp:positionV relativeFrom="page">
                <wp:posOffset>9904095</wp:posOffset>
              </wp:positionV>
              <wp:extent cx="100330" cy="73025"/>
              <wp:effectExtent l="0" t="0" r="0" b="0"/>
              <wp:wrapNone/>
              <wp:docPr id="9" name="Shape 9"/>
              <wp:cNvGraphicFramePr/>
              <a:graphic xmlns:a="http://schemas.openxmlformats.org/drawingml/2006/main">
                <a:graphicData uri="http://schemas.microsoft.com/office/word/2010/wordprocessingShape">
                  <wps:wsp>
                    <wps:cNvSpPr txBox="1"/>
                    <wps:spPr>
                      <a:xfrm>
                        <a:off x="0" y="0"/>
                        <a:ext cx="100330" cy="73025"/>
                      </a:xfrm>
                      <a:prstGeom prst="rect">
                        <a:avLst/>
                      </a:prstGeom>
                      <a:noFill/>
                    </wps:spPr>
                    <wps:txbx>
                      <w:txbxContent>
                        <w:p>
                          <w:pPr>
                            <w:pStyle w:val="1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17</w:t>
                          </w:r>
                        </w:p>
                      </w:txbxContent>
                    </wps:txbx>
                    <wps:bodyPr wrap="none" lIns="0" tIns="0" rIns="0" bIns="0">
                      <a:spAutoFit/>
                    </wps:bodyPr>
                  </wps:wsp>
                </a:graphicData>
              </a:graphic>
            </wp:anchor>
          </w:drawing>
        </mc:Choice>
        <mc:Fallback>
          <w:pict>
            <v:shape id="Shape 9" o:spid="_x0000_s1026" o:spt="202" type="#_x0000_t202" style="position:absolute;left:0pt;margin-left:289.45pt;margin-top:779.85pt;height:5.75pt;width:7.9pt;mso-position-horizontal-relative:page;mso-position-vertical-relative:page;mso-wrap-style:none;z-index:-251657216;mso-width-relative:page;mso-height-relative:page;" filled="f" stroked="f" coordsize="21600,21600" o:gfxdata="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Xy6yzYAAAA&#10;DQEAAA8AAAAAAAAAAQAgAAAAIgAAAGRycy9kb3ducmV2LnhtbFBLAQIUABQAAAAIAIdO4kBIqTov&#10;qwEAAG4DAAAOAAAAAAAAAAEAIAAAACcBAABkcnMvZTJvRG9jLnhtbFBLBQYAAAAABgAGAFkBAABE&#10;BQAAAAA=&#10;">
              <v:fill on="f" focussize="0,0"/>
              <v:stroke on="f"/>
              <v:imagedata o:title=""/>
              <o:lock v:ext="edit" aspectratio="f"/>
              <v:textbox inset="0mm,0mm,0mm,0mm" style="mso-fit-shape-to-text:t;">
                <w:txbxContent>
                  <w:p>
                    <w:pPr>
                      <w:pStyle w:val="1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17</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1CE1D"/>
    <w:multiLevelType w:val="singleLevel"/>
    <w:tmpl w:val="8501CE1D"/>
    <w:lvl w:ilvl="0" w:tentative="0">
      <w:start w:val="2"/>
      <w:numFmt w:val="chineseCounting"/>
      <w:suff w:val="nothing"/>
      <w:lvlText w:val="（%1）"/>
      <w:lvlJc w:val="left"/>
      <w:rPr>
        <w:rFonts w:hint="eastAsia"/>
      </w:rPr>
    </w:lvl>
  </w:abstractNum>
  <w:abstractNum w:abstractNumId="1">
    <w:nsid w:val="37BE8353"/>
    <w:multiLevelType w:val="singleLevel"/>
    <w:tmpl w:val="37BE8353"/>
    <w:lvl w:ilvl="0" w:tentative="0">
      <w:start w:val="3"/>
      <w:numFmt w:val="chineseCounting"/>
      <w:suff w:val="space"/>
      <w:lvlText w:val="第%1部分"/>
      <w:lvlJc w:val="left"/>
      <w:rPr>
        <w:rFonts w:hint="eastAsia"/>
      </w:rPr>
    </w:lvl>
  </w:abstractNum>
  <w:abstractNum w:abstractNumId="2">
    <w:nsid w:val="3D05D704"/>
    <w:multiLevelType w:val="singleLevel"/>
    <w:tmpl w:val="3D05D704"/>
    <w:lvl w:ilvl="0" w:tentative="0">
      <w:start w:val="3"/>
      <w:numFmt w:val="chineseCounting"/>
      <w:suff w:val="nothing"/>
      <w:lvlText w:val="（%1）"/>
      <w:lvlJc w:val="left"/>
      <w:rPr>
        <w:rFonts w:hint="eastAsia"/>
      </w:rPr>
    </w:lvl>
  </w:abstractNum>
  <w:abstractNum w:abstractNumId="3">
    <w:nsid w:val="3FA184EB"/>
    <w:multiLevelType w:val="singleLevel"/>
    <w:tmpl w:val="3FA184EB"/>
    <w:lvl w:ilvl="0" w:tentative="0">
      <w:start w:val="8"/>
      <w:numFmt w:val="chineseCounting"/>
      <w:lvlText w:val="%1、"/>
      <w:lvlJc w:val="left"/>
      <w:rPr>
        <w:rFonts w:hint="eastAsia"/>
      </w:rPr>
    </w:lvl>
  </w:abstractNum>
  <w:abstractNum w:abstractNumId="4">
    <w:nsid w:val="5E125B85"/>
    <w:multiLevelType w:val="singleLevel"/>
    <w:tmpl w:val="5E125B85"/>
    <w:lvl w:ilvl="0" w:tentative="0">
      <w:start w:val="4"/>
      <w:numFmt w:val="chineseCounting"/>
      <w:suff w:val="nothing"/>
      <w:lvlText w:val="（%1）"/>
      <w:lvlJc w:val="left"/>
      <w:pPr>
        <w:ind w:left="80"/>
      </w:pPr>
      <w:rPr>
        <w:rFonts w:hint="eastAsia"/>
      </w:rPr>
    </w:lvl>
  </w:abstractNum>
  <w:abstractNum w:abstractNumId="5">
    <w:nsid w:val="76DED8B6"/>
    <w:multiLevelType w:val="singleLevel"/>
    <w:tmpl w:val="76DED8B6"/>
    <w:lvl w:ilvl="0" w:tentative="0">
      <w:start w:val="2"/>
      <w:numFmt w:val="chineseCounting"/>
      <w:suff w:val="space"/>
      <w:lvlText w:val="第%1部分"/>
      <w:lvlJc w:val="left"/>
      <w:rPr>
        <w:rFonts w:hint="eastAsia"/>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
  <w:docVars>
    <w:docVar w:name="commondata" w:val="eyJoZGlkIjoiZWQxOTU4OWVmNWRhODU0ODZjNzg2MjNkM2ZhN2ViNDgifQ=="/>
  </w:docVars>
  <w:rsids>
    <w:rsidRoot w:val="00000000"/>
    <w:rsid w:val="0511788F"/>
    <w:rsid w:val="06AA1511"/>
    <w:rsid w:val="0A4C6688"/>
    <w:rsid w:val="1739327C"/>
    <w:rsid w:val="19BA4320"/>
    <w:rsid w:val="1B205130"/>
    <w:rsid w:val="1E712589"/>
    <w:rsid w:val="1F523B54"/>
    <w:rsid w:val="25A65663"/>
    <w:rsid w:val="25FD0C5D"/>
    <w:rsid w:val="29C05E6C"/>
    <w:rsid w:val="2F990904"/>
    <w:rsid w:val="3887682B"/>
    <w:rsid w:val="39F46F0A"/>
    <w:rsid w:val="3ABD5DEE"/>
    <w:rsid w:val="3BD710AD"/>
    <w:rsid w:val="41670196"/>
    <w:rsid w:val="42736B67"/>
    <w:rsid w:val="43D445BB"/>
    <w:rsid w:val="46253C74"/>
    <w:rsid w:val="487616F9"/>
    <w:rsid w:val="4B60103E"/>
    <w:rsid w:val="4F1428B3"/>
    <w:rsid w:val="51D93597"/>
    <w:rsid w:val="52600AF1"/>
    <w:rsid w:val="537062B7"/>
    <w:rsid w:val="57D535F7"/>
    <w:rsid w:val="58806626"/>
    <w:rsid w:val="60D720E0"/>
    <w:rsid w:val="62922058"/>
    <w:rsid w:val="720E4E8D"/>
    <w:rsid w:val="726D3C91"/>
    <w:rsid w:val="745D61E5"/>
    <w:rsid w:val="785A5C57"/>
    <w:rsid w:val="794C38BE"/>
    <w:rsid w:val="7C584EE5"/>
    <w:rsid w:val="7CF449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4">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0" w:after="150" w:afterAutospacing="0"/>
      <w:ind w:left="0" w:right="0"/>
      <w:jc w:val="left"/>
    </w:pPr>
    <w:rPr>
      <w:kern w:val="0"/>
      <w:sz w:val="24"/>
      <w:lang w:val="en-US" w:eastAsia="zh-CN" w:bidi="ar"/>
    </w:rPr>
  </w:style>
  <w:style w:type="character" w:styleId="5">
    <w:name w:val="Strong"/>
    <w:basedOn w:val="4"/>
    <w:qFormat/>
    <w:uiPriority w:val="0"/>
    <w:rPr>
      <w:b/>
      <w:bCs/>
    </w:rPr>
  </w:style>
  <w:style w:type="character" w:styleId="6">
    <w:name w:val="FollowedHyperlink"/>
    <w:basedOn w:val="4"/>
    <w:qFormat/>
    <w:uiPriority w:val="0"/>
    <w:rPr>
      <w:color w:val="333333"/>
      <w:u w:val="none"/>
    </w:rPr>
  </w:style>
  <w:style w:type="character" w:styleId="7">
    <w:name w:val="HTML Definition"/>
    <w:basedOn w:val="4"/>
    <w:qFormat/>
    <w:uiPriority w:val="0"/>
    <w:rPr>
      <w:i/>
      <w:iCs/>
    </w:rPr>
  </w:style>
  <w:style w:type="character" w:styleId="8">
    <w:name w:val="Hyperlink"/>
    <w:basedOn w:val="4"/>
    <w:qFormat/>
    <w:uiPriority w:val="0"/>
    <w:rPr>
      <w:color w:val="333333"/>
      <w:u w:val="none"/>
    </w:rPr>
  </w:style>
  <w:style w:type="character" w:styleId="9">
    <w:name w:val="HTML Code"/>
    <w:basedOn w:val="4"/>
    <w:qFormat/>
    <w:uiPriority w:val="0"/>
    <w:rPr>
      <w:rFonts w:ascii="Consolas" w:hAnsi="Consolas" w:eastAsia="Consolas" w:cs="Consolas"/>
      <w:color w:val="C7254E"/>
      <w:sz w:val="21"/>
      <w:szCs w:val="21"/>
      <w:shd w:val="clear" w:fill="F9F2F4"/>
    </w:rPr>
  </w:style>
  <w:style w:type="character" w:styleId="10">
    <w:name w:val="HTML Keyboard"/>
    <w:basedOn w:val="4"/>
    <w:qFormat/>
    <w:uiPriority w:val="0"/>
    <w:rPr>
      <w:rFonts w:hint="default" w:ascii="Consolas" w:hAnsi="Consolas" w:eastAsia="Consolas" w:cs="Consolas"/>
      <w:color w:val="FFFFFF"/>
      <w:sz w:val="21"/>
      <w:szCs w:val="21"/>
      <w:shd w:val="clear" w:fill="333333"/>
    </w:rPr>
  </w:style>
  <w:style w:type="character" w:styleId="11">
    <w:name w:val="HTML Sample"/>
    <w:basedOn w:val="4"/>
    <w:qFormat/>
    <w:uiPriority w:val="0"/>
    <w:rPr>
      <w:rFonts w:hint="default" w:ascii="Consolas" w:hAnsi="Consolas" w:eastAsia="Consolas" w:cs="Consolas"/>
      <w:sz w:val="21"/>
      <w:szCs w:val="21"/>
    </w:rPr>
  </w:style>
  <w:style w:type="character" w:customStyle="1" w:styleId="12">
    <w:name w:val="Body text|1_"/>
    <w:basedOn w:val="4"/>
    <w:link w:val="13"/>
    <w:qFormat/>
    <w:uiPriority w:val="0"/>
    <w:rPr>
      <w:rFonts w:ascii="SimSun" w:hAnsi="SimSun" w:eastAsia="SimSun" w:cs="SimSun"/>
      <w:sz w:val="30"/>
      <w:szCs w:val="30"/>
      <w:u w:val="none"/>
      <w:shd w:val="clear" w:color="auto" w:fill="auto"/>
      <w:lang w:val="zh-TW" w:eastAsia="zh-TW" w:bidi="zh-TW"/>
    </w:rPr>
  </w:style>
  <w:style w:type="paragraph" w:customStyle="1" w:styleId="13">
    <w:name w:val="Body text|1"/>
    <w:basedOn w:val="1"/>
    <w:link w:val="12"/>
    <w:qFormat/>
    <w:uiPriority w:val="0"/>
    <w:pPr>
      <w:widowControl w:val="0"/>
      <w:shd w:val="clear" w:color="auto" w:fill="auto"/>
      <w:spacing w:line="437" w:lineRule="auto"/>
      <w:ind w:firstLine="400"/>
    </w:pPr>
    <w:rPr>
      <w:rFonts w:ascii="SimSun" w:hAnsi="SimSun" w:eastAsia="SimSun" w:cs="SimSun"/>
      <w:sz w:val="30"/>
      <w:szCs w:val="30"/>
      <w:u w:val="none"/>
      <w:shd w:val="clear" w:color="auto" w:fill="auto"/>
      <w:lang w:val="zh-TW" w:eastAsia="zh-TW" w:bidi="zh-TW"/>
    </w:rPr>
  </w:style>
  <w:style w:type="character" w:customStyle="1" w:styleId="14">
    <w:name w:val="Header or footer|2_"/>
    <w:basedOn w:val="4"/>
    <w:link w:val="15"/>
    <w:qFormat/>
    <w:uiPriority w:val="0"/>
    <w:rPr>
      <w:sz w:val="20"/>
      <w:szCs w:val="20"/>
      <w:u w:val="none"/>
      <w:shd w:val="clear" w:color="auto" w:fill="auto"/>
      <w:lang w:val="zh-TW" w:eastAsia="zh-TW" w:bidi="zh-TW"/>
    </w:rPr>
  </w:style>
  <w:style w:type="paragraph" w:customStyle="1" w:styleId="15">
    <w:name w:val="Header or footer|2"/>
    <w:basedOn w:val="1"/>
    <w:link w:val="14"/>
    <w:qFormat/>
    <w:uiPriority w:val="0"/>
    <w:pPr>
      <w:widowControl w:val="0"/>
      <w:shd w:val="clear" w:color="auto" w:fill="auto"/>
    </w:pPr>
    <w:rPr>
      <w:sz w:val="20"/>
      <w:szCs w:val="20"/>
      <w:u w:val="none"/>
      <w:shd w:val="clear" w:color="auto" w:fill="auto"/>
      <w:lang w:val="zh-TW" w:eastAsia="zh-TW" w:bidi="zh-TW"/>
    </w:rPr>
  </w:style>
  <w:style w:type="character" w:customStyle="1" w:styleId="16">
    <w:name w:val="Heading #1|1_"/>
    <w:basedOn w:val="4"/>
    <w:link w:val="17"/>
    <w:qFormat/>
    <w:uiPriority w:val="0"/>
    <w:rPr>
      <w:rFonts w:ascii="SimSun" w:hAnsi="SimSun" w:eastAsia="SimSun" w:cs="SimSun"/>
      <w:sz w:val="34"/>
      <w:szCs w:val="34"/>
      <w:u w:val="none"/>
      <w:shd w:val="clear" w:color="auto" w:fill="FFFFFF"/>
      <w:lang w:val="zh-TW" w:eastAsia="zh-TW" w:bidi="zh-TW"/>
    </w:rPr>
  </w:style>
  <w:style w:type="paragraph" w:customStyle="1" w:styleId="17">
    <w:name w:val="Heading #1|1"/>
    <w:basedOn w:val="1"/>
    <w:link w:val="16"/>
    <w:qFormat/>
    <w:uiPriority w:val="0"/>
    <w:pPr>
      <w:widowControl w:val="0"/>
      <w:shd w:val="clear" w:color="auto" w:fill="auto"/>
      <w:spacing w:line="1262" w:lineRule="exact"/>
      <w:outlineLvl w:val="0"/>
    </w:pPr>
    <w:rPr>
      <w:rFonts w:ascii="SimSun" w:hAnsi="SimSun" w:eastAsia="SimSun" w:cs="SimSun"/>
      <w:sz w:val="34"/>
      <w:szCs w:val="34"/>
      <w:u w:val="none"/>
      <w:shd w:val="clear" w:color="auto" w:fill="FFFFFF"/>
      <w:lang w:val="zh-TW" w:eastAsia="zh-TW" w:bidi="zh-TW"/>
    </w:rPr>
  </w:style>
  <w:style w:type="character" w:customStyle="1" w:styleId="18">
    <w:name w:val="Header or footer|1_"/>
    <w:basedOn w:val="4"/>
    <w:link w:val="19"/>
    <w:qFormat/>
    <w:uiPriority w:val="0"/>
    <w:rPr>
      <w:sz w:val="17"/>
      <w:szCs w:val="17"/>
      <w:u w:val="none"/>
      <w:shd w:val="clear" w:color="auto" w:fill="auto"/>
      <w:lang w:val="zh-TW" w:eastAsia="zh-TW" w:bidi="zh-TW"/>
    </w:rPr>
  </w:style>
  <w:style w:type="paragraph" w:customStyle="1" w:styleId="19">
    <w:name w:val="Header or footer|1"/>
    <w:basedOn w:val="1"/>
    <w:link w:val="18"/>
    <w:qFormat/>
    <w:uiPriority w:val="0"/>
    <w:pPr>
      <w:widowControl w:val="0"/>
      <w:shd w:val="clear" w:color="auto" w:fill="auto"/>
    </w:pPr>
    <w:rPr>
      <w:sz w:val="17"/>
      <w:szCs w:val="17"/>
      <w:u w:val="none"/>
      <w:shd w:val="clear" w:color="auto" w:fill="auto"/>
      <w:lang w:val="zh-TW" w:eastAsia="zh-TW" w:bidi="zh-TW"/>
    </w:rPr>
  </w:style>
  <w:style w:type="character" w:customStyle="1" w:styleId="20">
    <w:name w:val="Table of contents|1_"/>
    <w:basedOn w:val="4"/>
    <w:link w:val="21"/>
    <w:qFormat/>
    <w:uiPriority w:val="0"/>
    <w:rPr>
      <w:rFonts w:ascii="SimSun" w:hAnsi="SimSun" w:eastAsia="SimSun" w:cs="SimSun"/>
      <w:sz w:val="30"/>
      <w:szCs w:val="30"/>
      <w:u w:val="none"/>
      <w:shd w:val="clear" w:color="auto" w:fill="auto"/>
      <w:lang w:val="zh-TW" w:eastAsia="zh-TW" w:bidi="zh-TW"/>
    </w:rPr>
  </w:style>
  <w:style w:type="paragraph" w:customStyle="1" w:styleId="21">
    <w:name w:val="Table of contents|1"/>
    <w:basedOn w:val="1"/>
    <w:link w:val="20"/>
    <w:qFormat/>
    <w:uiPriority w:val="0"/>
    <w:pPr>
      <w:widowControl w:val="0"/>
      <w:shd w:val="clear" w:color="auto" w:fill="auto"/>
      <w:spacing w:after="260"/>
      <w:ind w:firstLine="320"/>
    </w:pPr>
    <w:rPr>
      <w:rFonts w:ascii="SimSun" w:hAnsi="SimSun" w:eastAsia="SimSun" w:cs="SimSun"/>
      <w:sz w:val="30"/>
      <w:szCs w:val="30"/>
      <w:u w:val="none"/>
      <w:shd w:val="clear" w:color="auto" w:fill="auto"/>
      <w:lang w:val="zh-TW" w:eastAsia="zh-TW" w:bidi="zh-TW"/>
    </w:rPr>
  </w:style>
  <w:style w:type="character" w:customStyle="1" w:styleId="22">
    <w:name w:val="zwxxgk_bnt6"/>
    <w:basedOn w:val="4"/>
    <w:qFormat/>
    <w:uiPriority w:val="0"/>
  </w:style>
  <w:style w:type="character" w:customStyle="1" w:styleId="23">
    <w:name w:val="zwxxgk_bnt61"/>
    <w:basedOn w:val="4"/>
    <w:qFormat/>
    <w:uiPriority w:val="0"/>
  </w:style>
  <w:style w:type="character" w:customStyle="1" w:styleId="24">
    <w:name w:val="zwxxgk_bnt62"/>
    <w:basedOn w:val="4"/>
    <w:qFormat/>
    <w:uiPriority w:val="0"/>
  </w:style>
  <w:style w:type="character" w:customStyle="1" w:styleId="25">
    <w:name w:val="zwxxgk_bnt5"/>
    <w:basedOn w:val="4"/>
    <w:qFormat/>
    <w:uiPriority w:val="0"/>
  </w:style>
  <w:style w:type="character" w:customStyle="1" w:styleId="26">
    <w:name w:val="zwxxgk_bnt51"/>
    <w:basedOn w:val="4"/>
    <w:qFormat/>
    <w:uiPriority w:val="0"/>
  </w:style>
  <w:style w:type="character" w:customStyle="1" w:styleId="27">
    <w:name w:val="zwxxgk_bnt52"/>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NUL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26</Pages>
  <Words>9022</Words>
  <Characters>10034</Characters>
  <TotalTime>6</TotalTime>
  <ScaleCrop>false</ScaleCrop>
  <LinksUpToDate>false</LinksUpToDate>
  <CharactersWithSpaces>10076</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2022-08-24T07:12:00Z</dcterms:created>
  <dc:creator>lenovo</dc:creator>
  <cp:lastModifiedBy>Xiang xiang</cp:lastModifiedBy>
  <cp:lastPrinted>2022-08-31T08:40:00Z</cp:lastPrinted>
  <dcterms:modified xsi:type="dcterms:W3CDTF">2023-06-08T02:20:47Z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61EAB319B90C45E4AD8CF139DC0CFD50_13</vt:lpwstr>
  </property>
</Properties>
</file>